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spacing w:after="0"/>
        <w:rPr>
          <w:rFonts w:ascii="Times New Roman"/>
          <w:sz w:val="27"/>
        </w:rPr>
        <w:sectPr>
          <w:type w:val="continuous"/>
          <w:pgSz w:w="11910" w:h="16840"/>
          <w:pgMar w:top="1580" w:bottom="280" w:left="1200" w:right="1140"/>
        </w:sectPr>
      </w:pPr>
    </w:p>
    <w:p>
      <w:pPr>
        <w:pStyle w:val="Heading3"/>
        <w:ind w:left="1469"/>
        <w:jc w:val="left"/>
      </w:pPr>
      <w:r>
        <w:rPr/>
        <w:drawing>
          <wp:anchor distT="0" distB="0" distL="0" distR="0" allowOverlap="1" layoutInCell="1" locked="0" behindDoc="0" simplePos="0" relativeHeight="1072">
            <wp:simplePos x="0" y="0"/>
            <wp:positionH relativeFrom="page">
              <wp:posOffset>1122680</wp:posOffset>
            </wp:positionH>
            <wp:positionV relativeFrom="paragraph">
              <wp:posOffset>-93888</wp:posOffset>
            </wp:positionV>
            <wp:extent cx="457200" cy="45275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7200" cy="452754"/>
                    </a:xfrm>
                    <a:prstGeom prst="rect">
                      <a:avLst/>
                    </a:prstGeom>
                  </pic:spPr>
                </pic:pic>
              </a:graphicData>
            </a:graphic>
          </wp:anchor>
        </w:drawing>
      </w:r>
      <w:r>
        <w:rPr/>
        <w:t>宿迁公共资源交易</w:t>
      </w:r>
    </w:p>
    <w:p>
      <w:pPr>
        <w:pStyle w:val="BodyText"/>
        <w:spacing w:before="1"/>
        <w:rPr>
          <w:rFonts w:ascii="Microsoft YaHei"/>
          <w:sz w:val="37"/>
        </w:rPr>
      </w:pPr>
      <w:r>
        <w:rPr/>
        <w:br w:type="column"/>
      </w:r>
      <w:r>
        <w:rPr>
          <w:rFonts w:ascii="Microsoft YaHei"/>
          <w:sz w:val="37"/>
        </w:rPr>
      </w:r>
    </w:p>
    <w:p>
      <w:pPr>
        <w:spacing w:before="0"/>
        <w:ind w:left="567" w:right="0" w:firstLine="0"/>
        <w:jc w:val="left"/>
        <w:rPr>
          <w:rFonts w:ascii="Microsoft YaHei" w:eastAsia="Microsoft YaHei" w:hint="eastAsia"/>
          <w:sz w:val="44"/>
        </w:rPr>
      </w:pPr>
      <w:r>
        <w:rPr>
          <w:rFonts w:ascii="Microsoft YaHei" w:eastAsia="Microsoft YaHei" w:hint="eastAsia"/>
          <w:sz w:val="44"/>
        </w:rPr>
        <w:t>政府采贩</w:t>
      </w:r>
    </w:p>
    <w:p>
      <w:pPr>
        <w:spacing w:after="0"/>
        <w:jc w:val="left"/>
        <w:rPr>
          <w:rFonts w:ascii="Microsoft YaHei" w:eastAsia="Microsoft YaHei" w:hint="eastAsia"/>
          <w:sz w:val="44"/>
        </w:rPr>
        <w:sectPr>
          <w:type w:val="continuous"/>
          <w:pgSz w:w="11910" w:h="16840"/>
          <w:pgMar w:top="1580" w:bottom="280" w:left="1200" w:right="1140"/>
          <w:cols w:num="2" w:equalWidth="0">
            <w:col w:w="4071" w:space="2836"/>
            <w:col w:w="2663"/>
          </w:cols>
        </w:sectPr>
      </w:pPr>
    </w:p>
    <w:p>
      <w:pPr>
        <w:pStyle w:val="BodyText"/>
        <w:rPr>
          <w:rFonts w:ascii="Microsoft YaHei"/>
          <w:sz w:val="20"/>
        </w:rPr>
      </w:pPr>
      <w:r>
        <w:rPr/>
        <w:drawing>
          <wp:anchor distT="0" distB="0" distL="0" distR="0" allowOverlap="1" layoutInCell="1" locked="0" behindDoc="1" simplePos="0" relativeHeight="268349255">
            <wp:simplePos x="0" y="0"/>
            <wp:positionH relativeFrom="page">
              <wp:posOffset>203309</wp:posOffset>
            </wp:positionH>
            <wp:positionV relativeFrom="page">
              <wp:posOffset>944714</wp:posOffset>
            </wp:positionV>
            <wp:extent cx="7115825" cy="974766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6176" filled="true" fillcolor="#ffffff" stroked="false">
            <v:fill type="solid"/>
            <w10:wrap type="none"/>
          </v:rect>
        </w:pict>
      </w:r>
    </w:p>
    <w:p>
      <w:pPr>
        <w:pStyle w:val="BodyText"/>
        <w:rPr>
          <w:rFonts w:ascii="Microsoft YaHei"/>
          <w:sz w:val="20"/>
        </w:rPr>
      </w:pPr>
    </w:p>
    <w:p>
      <w:pPr>
        <w:pStyle w:val="BodyText"/>
        <w:rPr>
          <w:rFonts w:ascii="Microsoft YaHei"/>
          <w:sz w:val="20"/>
        </w:rPr>
      </w:pPr>
    </w:p>
    <w:p>
      <w:pPr>
        <w:pStyle w:val="BodyText"/>
        <w:rPr>
          <w:rFonts w:ascii="Microsoft YaHei"/>
          <w:sz w:val="20"/>
        </w:rPr>
      </w:pPr>
    </w:p>
    <w:p>
      <w:pPr>
        <w:pStyle w:val="BodyText"/>
        <w:rPr>
          <w:rFonts w:ascii="Microsoft YaHei"/>
          <w:sz w:val="20"/>
        </w:rPr>
      </w:pPr>
    </w:p>
    <w:p>
      <w:pPr>
        <w:pStyle w:val="BodyText"/>
        <w:spacing w:before="7"/>
        <w:rPr>
          <w:rFonts w:ascii="Microsoft YaHei"/>
          <w:sz w:val="11"/>
        </w:rPr>
      </w:pPr>
    </w:p>
    <w:p>
      <w:pPr>
        <w:tabs>
          <w:tab w:pos="3581" w:val="left" w:leader="none"/>
          <w:tab w:pos="5221" w:val="left" w:leader="none"/>
          <w:tab w:pos="6860" w:val="left" w:leader="none"/>
        </w:tabs>
        <w:spacing w:line="1037" w:lineRule="exact" w:before="0"/>
        <w:ind w:left="1942" w:right="0" w:firstLine="0"/>
        <w:jc w:val="left"/>
        <w:rPr>
          <w:sz w:val="82"/>
        </w:rPr>
      </w:pPr>
      <w:r>
        <w:rPr>
          <w:sz w:val="82"/>
        </w:rPr>
        <w:t>招</w:t>
        <w:tab/>
        <w:t>标</w:t>
        <w:tab/>
        <w:t>文</w:t>
        <w:tab/>
        <w:t>件</w:t>
      </w:r>
    </w:p>
    <w:p>
      <w:pPr>
        <w:pStyle w:val="BodyText"/>
        <w:rPr>
          <w:sz w:val="82"/>
        </w:rPr>
      </w:pPr>
    </w:p>
    <w:p>
      <w:pPr>
        <w:spacing w:line="259" w:lineRule="auto" w:before="588"/>
        <w:ind w:left="3293" w:right="819" w:hanging="1952"/>
        <w:jc w:val="left"/>
        <w:rPr>
          <w:sz w:val="36"/>
        </w:rPr>
      </w:pPr>
      <w:r>
        <w:rPr>
          <w:sz w:val="36"/>
        </w:rPr>
        <w:t>分包名称： 泗阳县交运港务有限公司电缆采购项目(二次)</w:t>
      </w:r>
    </w:p>
    <w:p>
      <w:pPr>
        <w:spacing w:before="5"/>
        <w:ind w:left="1342" w:right="0" w:firstLine="0"/>
        <w:jc w:val="left"/>
        <w:rPr>
          <w:sz w:val="36"/>
        </w:rPr>
      </w:pPr>
      <w:r>
        <w:rPr>
          <w:sz w:val="36"/>
        </w:rPr>
        <w:t>分包编号： E3213010313201710015-1</w:t>
      </w:r>
    </w:p>
    <w:p>
      <w:pPr>
        <w:pStyle w:val="BodyText"/>
        <w:rPr>
          <w:sz w:val="36"/>
        </w:rPr>
      </w:pPr>
    </w:p>
    <w:p>
      <w:pPr>
        <w:pStyle w:val="BodyText"/>
        <w:rPr>
          <w:sz w:val="36"/>
        </w:rPr>
      </w:pPr>
    </w:p>
    <w:p>
      <w:pPr>
        <w:pStyle w:val="BodyText"/>
        <w:rPr>
          <w:sz w:val="36"/>
        </w:rPr>
      </w:pPr>
    </w:p>
    <w:p>
      <w:pPr>
        <w:tabs>
          <w:tab w:pos="4008" w:val="left" w:leader="none"/>
        </w:tabs>
        <w:spacing w:before="255"/>
        <w:ind w:left="1205" w:right="0" w:firstLine="0"/>
        <w:jc w:val="left"/>
        <w:rPr>
          <w:sz w:val="36"/>
        </w:rPr>
      </w:pPr>
      <w:r>
        <w:rPr/>
        <w:drawing>
          <wp:anchor distT="0" distB="0" distL="0" distR="0" allowOverlap="1" layoutInCell="1" locked="0" behindDoc="1" simplePos="0" relativeHeight="268349327">
            <wp:simplePos x="0" y="0"/>
            <wp:positionH relativeFrom="page">
              <wp:posOffset>3924300</wp:posOffset>
            </wp:positionH>
            <wp:positionV relativeFrom="paragraph">
              <wp:posOffset>-321055</wp:posOffset>
            </wp:positionV>
            <wp:extent cx="2032000" cy="20447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032000" cy="2044700"/>
                    </a:xfrm>
                    <a:prstGeom prst="rect">
                      <a:avLst/>
                    </a:prstGeom>
                  </pic:spPr>
                </pic:pic>
              </a:graphicData>
            </a:graphic>
          </wp:anchor>
        </w:drawing>
      </w:r>
      <w:r>
        <w:rPr>
          <w:sz w:val="36"/>
        </w:rPr>
        <w:t>采购人：</w:t>
        <w:tab/>
        <w:t>泗阳县交运港务有限公司</w:t>
      </w:r>
    </w:p>
    <w:p>
      <w:pPr>
        <w:tabs>
          <w:tab w:pos="4008" w:val="left" w:leader="none"/>
        </w:tabs>
        <w:spacing w:before="163"/>
        <w:ind w:left="1205" w:right="0" w:firstLine="0"/>
        <w:jc w:val="left"/>
        <w:rPr>
          <w:sz w:val="36"/>
        </w:rPr>
      </w:pPr>
      <w:r>
        <w:rPr>
          <w:sz w:val="36"/>
        </w:rPr>
        <w:t>采购代理机构：</w:t>
        <w:tab/>
      </w:r>
      <w:r>
        <w:rPr>
          <w:spacing w:val="26"/>
          <w:sz w:val="36"/>
        </w:rPr>
        <w:t>江苏钟山工</w:t>
      </w:r>
      <w:r>
        <w:rPr>
          <w:spacing w:val="30"/>
          <w:sz w:val="36"/>
        </w:rPr>
        <w:t>程</w:t>
      </w:r>
      <w:r>
        <w:rPr>
          <w:spacing w:val="26"/>
          <w:sz w:val="36"/>
        </w:rPr>
        <w:t>项目管理有</w:t>
      </w:r>
      <w:r>
        <w:rPr>
          <w:spacing w:val="30"/>
          <w:sz w:val="36"/>
        </w:rPr>
        <w:t>限</w:t>
      </w:r>
      <w:r>
        <w:rPr>
          <w:sz w:val="36"/>
        </w:rPr>
        <w:t>公</w:t>
      </w:r>
    </w:p>
    <w:p>
      <w:pPr>
        <w:spacing w:before="163"/>
        <w:ind w:left="0" w:right="1186" w:firstLine="0"/>
        <w:jc w:val="center"/>
        <w:rPr>
          <w:sz w:val="36"/>
        </w:rPr>
      </w:pPr>
      <w:r>
        <w:rPr>
          <w:sz w:val="36"/>
        </w:rPr>
        <w:t>司</w:t>
      </w:r>
    </w:p>
    <w:p>
      <w:pPr>
        <w:tabs>
          <w:tab w:pos="1925" w:val="left" w:leader="none"/>
          <w:tab w:pos="4008" w:val="left" w:leader="none"/>
        </w:tabs>
        <w:spacing w:before="163"/>
        <w:ind w:left="1205" w:right="0" w:firstLine="0"/>
        <w:jc w:val="left"/>
        <w:rPr>
          <w:sz w:val="36"/>
        </w:rPr>
      </w:pPr>
      <w:r>
        <w:rPr>
          <w:sz w:val="36"/>
        </w:rPr>
        <w:t>日</w:t>
        <w:tab/>
        <w:t>期：</w:t>
        <w:tab/>
        <w:t>2017</w:t>
      </w:r>
      <w:r>
        <w:rPr>
          <w:spacing w:val="-90"/>
          <w:sz w:val="36"/>
        </w:rPr>
        <w:t> </w:t>
      </w:r>
      <w:r>
        <w:rPr>
          <w:sz w:val="36"/>
        </w:rPr>
        <w:t>年</w:t>
      </w:r>
      <w:r>
        <w:rPr>
          <w:spacing w:val="-90"/>
          <w:sz w:val="36"/>
        </w:rPr>
        <w:t> </w:t>
      </w:r>
      <w:r>
        <w:rPr>
          <w:sz w:val="36"/>
        </w:rPr>
        <w:t>10</w:t>
      </w:r>
      <w:r>
        <w:rPr>
          <w:spacing w:val="-93"/>
          <w:sz w:val="36"/>
        </w:rPr>
        <w:t> </w:t>
      </w:r>
      <w:r>
        <w:rPr>
          <w:sz w:val="36"/>
        </w:rPr>
        <w:t>月</w:t>
      </w:r>
      <w:r>
        <w:rPr>
          <w:spacing w:val="-90"/>
          <w:sz w:val="36"/>
        </w:rPr>
        <w:t> </w:t>
      </w:r>
      <w:r>
        <w:rPr>
          <w:sz w:val="36"/>
        </w:rPr>
        <w:t>24</w:t>
      </w:r>
      <w:r>
        <w:rPr>
          <w:spacing w:val="-90"/>
          <w:sz w:val="36"/>
        </w:rPr>
        <w:t> </w:t>
      </w:r>
      <w:r>
        <w:rPr>
          <w:sz w:val="36"/>
        </w:rPr>
        <w:t>日</w:t>
      </w:r>
    </w:p>
    <w:p>
      <w:pPr>
        <w:spacing w:after="0"/>
        <w:jc w:val="left"/>
        <w:rPr>
          <w:sz w:val="36"/>
        </w:rPr>
        <w:sectPr>
          <w:type w:val="continuous"/>
          <w:pgSz w:w="11910" w:h="16840"/>
          <w:pgMar w:top="1580" w:bottom="280" w:left="1200" w:right="1140"/>
        </w:sectPr>
      </w:pPr>
    </w:p>
    <w:p>
      <w:pPr>
        <w:pStyle w:val="BodyText"/>
        <w:spacing w:before="12"/>
        <w:rPr>
          <w:sz w:val="15"/>
        </w:rPr>
      </w:pPr>
      <w:r>
        <w:rPr/>
        <w:drawing>
          <wp:anchor distT="0" distB="0" distL="0" distR="0" allowOverlap="1" layoutInCell="1" locked="0" behindDoc="1" simplePos="0" relativeHeight="268349351">
            <wp:simplePos x="0" y="0"/>
            <wp:positionH relativeFrom="page">
              <wp:posOffset>203309</wp:posOffset>
            </wp:positionH>
            <wp:positionV relativeFrom="page">
              <wp:posOffset>944714</wp:posOffset>
            </wp:positionV>
            <wp:extent cx="7115825" cy="9747669"/>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6080" filled="true" fillcolor="#ffffff" stroked="false">
            <v:fill type="solid"/>
            <w10:wrap type="none"/>
          </v:rect>
        </w:pict>
      </w:r>
    </w:p>
    <w:p>
      <w:pPr>
        <w:tabs>
          <w:tab w:pos="1022" w:val="left" w:leader="none"/>
        </w:tabs>
        <w:spacing w:line="537" w:lineRule="exact" w:before="0"/>
        <w:ind w:left="57" w:right="0" w:firstLine="0"/>
        <w:jc w:val="center"/>
        <w:rPr>
          <w:rFonts w:ascii="Microsoft JhengHei" w:eastAsia="Microsoft JhengHei" w:hint="eastAsia"/>
          <w:b/>
          <w:sz w:val="32"/>
        </w:rPr>
      </w:pPr>
      <w:r>
        <w:rPr>
          <w:rFonts w:ascii="Microsoft JhengHei" w:eastAsia="Microsoft JhengHei" w:hint="eastAsia"/>
          <w:b/>
          <w:sz w:val="32"/>
        </w:rPr>
        <w:t>目</w:t>
        <w:tab/>
        <w:t>录</w:t>
      </w:r>
    </w:p>
    <w:sdt>
      <w:sdtPr>
        <w:docPartObj>
          <w:docPartGallery w:val="Table of Contents"/>
          <w:docPartUnique/>
        </w:docPartObj>
      </w:sdtPr>
      <w:sdtEndPr/>
      <w:sdtContent>
        <w:p>
          <w:pPr>
            <w:pStyle w:val="TOC1"/>
            <w:tabs>
              <w:tab w:pos="1394" w:val="left" w:leader="none"/>
              <w:tab w:pos="9225" w:val="right" w:leader="dot"/>
            </w:tabs>
            <w:spacing w:before="308"/>
            <w:rPr>
              <w:rFonts w:ascii="Calibri" w:eastAsia="Calibri"/>
            </w:rPr>
          </w:pPr>
          <w:r>
            <w:fldChar w:fldCharType="begin"/>
          </w:r>
          <w:r>
            <w:instrText>TOC \o "1-2" \h \z \u </w:instrText>
          </w:r>
          <w:r>
            <w:fldChar w:fldCharType="separate"/>
          </w:r>
          <w:hyperlink w:history="true" w:anchor="_TOC_250034">
            <w:r>
              <w:rPr/>
              <w:t>第一部分</w:t>
              <w:tab/>
              <w:t>投标邀请函</w:t>
              <w:tab/>
            </w:r>
            <w:r>
              <w:rPr>
                <w:rFonts w:ascii="Calibri" w:eastAsia="Calibri"/>
              </w:rPr>
              <w:t>1</w:t>
            </w:r>
          </w:hyperlink>
        </w:p>
        <w:p>
          <w:pPr>
            <w:pStyle w:val="TOC1"/>
            <w:tabs>
              <w:tab w:pos="1394" w:val="left" w:leader="none"/>
              <w:tab w:pos="9225" w:val="right" w:leader="dot"/>
            </w:tabs>
            <w:rPr>
              <w:rFonts w:ascii="Calibri" w:eastAsia="Calibri"/>
            </w:rPr>
          </w:pPr>
          <w:hyperlink w:history="true" w:anchor="_TOC_250033">
            <w:r>
              <w:rPr/>
              <w:t>第二部分</w:t>
              <w:tab/>
              <w:t>投标人须知</w:t>
              <w:tab/>
            </w:r>
            <w:r>
              <w:rPr>
                <w:rFonts w:ascii="Calibri" w:eastAsia="Calibri"/>
              </w:rPr>
              <w:t>4</w:t>
            </w:r>
          </w:hyperlink>
        </w:p>
        <w:p>
          <w:pPr>
            <w:pStyle w:val="TOC2"/>
            <w:tabs>
              <w:tab w:pos="9225" w:val="right" w:leader="dot"/>
            </w:tabs>
            <w:spacing w:before="130"/>
            <w:rPr>
              <w:rFonts w:ascii="Calibri" w:eastAsia="Calibri"/>
            </w:rPr>
          </w:pPr>
          <w:hyperlink w:history="true" w:anchor="_TOC_250032">
            <w:r>
              <w:rPr/>
              <w:t>投标人须知前附表：</w:t>
              <w:tab/>
            </w:r>
            <w:r>
              <w:rPr>
                <w:rFonts w:ascii="Calibri" w:eastAsia="Calibri"/>
              </w:rPr>
              <w:t>4</w:t>
            </w:r>
          </w:hyperlink>
        </w:p>
        <w:p>
          <w:pPr>
            <w:pStyle w:val="TOC2"/>
            <w:tabs>
              <w:tab w:pos="9225" w:val="right" w:leader="dot"/>
            </w:tabs>
            <w:rPr>
              <w:rFonts w:ascii="Calibri" w:eastAsia="Calibri"/>
            </w:rPr>
          </w:pPr>
          <w:hyperlink w:history="true" w:anchor="_TOC_250031">
            <w:r>
              <w:rPr/>
              <w:t>一、总</w:t>
            </w:r>
            <w:r>
              <w:rPr>
                <w:spacing w:val="-20"/>
              </w:rPr>
              <w:t> </w:t>
            </w:r>
            <w:r>
              <w:rPr/>
              <w:t>则</w:t>
              <w:tab/>
            </w:r>
            <w:r>
              <w:rPr>
                <w:rFonts w:ascii="Calibri" w:eastAsia="Calibri"/>
              </w:rPr>
              <w:t>5</w:t>
            </w:r>
          </w:hyperlink>
        </w:p>
        <w:p>
          <w:pPr>
            <w:pStyle w:val="TOC2"/>
            <w:tabs>
              <w:tab w:pos="9225" w:val="right" w:leader="dot"/>
            </w:tabs>
            <w:rPr>
              <w:rFonts w:ascii="Calibri" w:eastAsia="Calibri"/>
            </w:rPr>
          </w:pPr>
          <w:hyperlink w:history="true" w:anchor="_TOC_250030">
            <w:r>
              <w:rPr/>
              <w:t>二、招标文件</w:t>
              <w:tab/>
            </w:r>
            <w:r>
              <w:rPr>
                <w:rFonts w:ascii="Calibri" w:eastAsia="Calibri"/>
              </w:rPr>
              <w:t>6</w:t>
            </w:r>
          </w:hyperlink>
        </w:p>
        <w:p>
          <w:pPr>
            <w:pStyle w:val="TOC2"/>
            <w:tabs>
              <w:tab w:pos="9225" w:val="right" w:leader="dot"/>
            </w:tabs>
            <w:spacing w:before="55"/>
            <w:rPr>
              <w:rFonts w:ascii="Calibri" w:eastAsia="Calibri"/>
            </w:rPr>
          </w:pPr>
          <w:hyperlink w:history="true" w:anchor="_TOC_250029">
            <w:r>
              <w:rPr/>
              <w:t>三、投标文件的编制</w:t>
              <w:tab/>
            </w:r>
            <w:r>
              <w:rPr>
                <w:rFonts w:ascii="Calibri" w:eastAsia="Calibri"/>
              </w:rPr>
              <w:t>7</w:t>
            </w:r>
          </w:hyperlink>
        </w:p>
        <w:p>
          <w:pPr>
            <w:pStyle w:val="TOC2"/>
            <w:tabs>
              <w:tab w:pos="9225" w:val="right" w:leader="dot"/>
            </w:tabs>
            <w:rPr>
              <w:rFonts w:ascii="Calibri" w:eastAsia="Calibri"/>
            </w:rPr>
          </w:pPr>
          <w:hyperlink w:history="true" w:anchor="_TOC_250028">
            <w:r>
              <w:rPr/>
              <w:t>四、投标文件的提交</w:t>
              <w:tab/>
            </w:r>
            <w:r>
              <w:rPr>
                <w:rFonts w:ascii="Calibri" w:eastAsia="Calibri"/>
              </w:rPr>
              <w:t>10</w:t>
            </w:r>
          </w:hyperlink>
        </w:p>
        <w:p>
          <w:pPr>
            <w:pStyle w:val="TOC2"/>
            <w:tabs>
              <w:tab w:pos="9225" w:val="right" w:leader="dot"/>
            </w:tabs>
            <w:rPr>
              <w:rFonts w:ascii="Calibri" w:eastAsia="Calibri"/>
            </w:rPr>
          </w:pPr>
          <w:hyperlink w:history="true" w:anchor="_TOC_250027">
            <w:r>
              <w:rPr/>
              <w:t>五、无效标、废标、串通投标认定条款</w:t>
              <w:tab/>
            </w:r>
            <w:r>
              <w:rPr>
                <w:rFonts w:ascii="Calibri" w:eastAsia="Calibri"/>
              </w:rPr>
              <w:t>11</w:t>
            </w:r>
          </w:hyperlink>
        </w:p>
        <w:p>
          <w:pPr>
            <w:pStyle w:val="TOC2"/>
            <w:tabs>
              <w:tab w:pos="9225" w:val="right" w:leader="dot"/>
            </w:tabs>
            <w:rPr>
              <w:rFonts w:ascii="Calibri" w:eastAsia="Calibri"/>
            </w:rPr>
          </w:pPr>
          <w:hyperlink w:history="true" w:anchor="_TOC_250026">
            <w:r>
              <w:rPr/>
              <w:t>六、开标、资格审查、评标程序</w:t>
              <w:tab/>
            </w:r>
            <w:r>
              <w:rPr>
                <w:rFonts w:ascii="Calibri" w:eastAsia="Calibri"/>
              </w:rPr>
              <w:t>13</w:t>
            </w:r>
          </w:hyperlink>
        </w:p>
        <w:p>
          <w:pPr>
            <w:pStyle w:val="TOC2"/>
            <w:tabs>
              <w:tab w:pos="9225" w:val="right" w:leader="dot"/>
            </w:tabs>
            <w:rPr>
              <w:rFonts w:ascii="Calibri" w:eastAsia="Calibri"/>
            </w:rPr>
          </w:pPr>
          <w:hyperlink w:history="true" w:anchor="_TOC_250025">
            <w:r>
              <w:rPr/>
              <w:t>七、中标及合同签订</w:t>
              <w:tab/>
            </w:r>
            <w:r>
              <w:rPr>
                <w:rFonts w:ascii="Calibri" w:eastAsia="Calibri"/>
              </w:rPr>
              <w:t>15</w:t>
            </w:r>
          </w:hyperlink>
        </w:p>
        <w:p>
          <w:pPr>
            <w:pStyle w:val="TOC2"/>
            <w:tabs>
              <w:tab w:pos="9220" w:val="right" w:leader="dot"/>
            </w:tabs>
            <w:rPr>
              <w:rFonts w:ascii="Calibri" w:eastAsia="Calibri"/>
            </w:rPr>
          </w:pPr>
          <w:hyperlink w:history="true" w:anchor="_TOC_250024">
            <w:r>
              <w:rPr/>
              <w:t>八、验收及付款</w:t>
              <w:tab/>
            </w:r>
            <w:r>
              <w:rPr>
                <w:rFonts w:ascii="Calibri" w:eastAsia="Calibri"/>
                <w:spacing w:val="-3"/>
              </w:rPr>
              <w:t>17</w:t>
            </w:r>
          </w:hyperlink>
        </w:p>
        <w:p>
          <w:pPr>
            <w:pStyle w:val="TOC2"/>
            <w:tabs>
              <w:tab w:pos="9220" w:val="right" w:leader="dot"/>
            </w:tabs>
            <w:spacing w:before="55"/>
            <w:rPr>
              <w:rFonts w:ascii="Calibri" w:eastAsia="Calibri"/>
            </w:rPr>
          </w:pPr>
          <w:hyperlink w:history="true" w:anchor="_TOC_250023">
            <w:r>
              <w:rPr/>
              <w:t>九、质疑与投诉</w:t>
              <w:tab/>
            </w:r>
            <w:r>
              <w:rPr>
                <w:rFonts w:ascii="Calibri" w:eastAsia="Calibri"/>
                <w:spacing w:val="-3"/>
              </w:rPr>
              <w:t>17</w:t>
            </w:r>
          </w:hyperlink>
        </w:p>
        <w:p>
          <w:pPr>
            <w:pStyle w:val="TOC1"/>
            <w:tabs>
              <w:tab w:pos="1394" w:val="left" w:leader="none"/>
              <w:tab w:pos="9225" w:val="right" w:leader="dot"/>
            </w:tabs>
            <w:spacing w:before="110"/>
            <w:rPr>
              <w:rFonts w:ascii="Calibri" w:eastAsia="Calibri"/>
            </w:rPr>
          </w:pPr>
          <w:hyperlink w:history="true" w:anchor="_TOC_250022">
            <w:r>
              <w:rPr/>
              <w:t>第三部分</w:t>
              <w:tab/>
              <w:t>资格审查及评标办法</w:t>
              <w:tab/>
            </w:r>
            <w:r>
              <w:rPr>
                <w:rFonts w:ascii="Calibri" w:eastAsia="Calibri"/>
              </w:rPr>
              <w:t>20</w:t>
            </w:r>
          </w:hyperlink>
        </w:p>
        <w:p>
          <w:pPr>
            <w:pStyle w:val="TOC1"/>
            <w:tabs>
              <w:tab w:pos="1394" w:val="left" w:leader="none"/>
              <w:tab w:pos="9225" w:val="right" w:leader="dot"/>
            </w:tabs>
            <w:rPr>
              <w:rFonts w:ascii="Calibri" w:eastAsia="Calibri"/>
            </w:rPr>
          </w:pPr>
          <w:hyperlink w:history="true" w:anchor="_TOC_250021">
            <w:r>
              <w:rPr/>
              <w:t>第四部分</w:t>
              <w:tab/>
              <w:t>采购需求</w:t>
              <w:tab/>
            </w:r>
            <w:r>
              <w:rPr>
                <w:rFonts w:ascii="Calibri" w:eastAsia="Calibri"/>
              </w:rPr>
              <w:t>21</w:t>
            </w:r>
          </w:hyperlink>
        </w:p>
        <w:p>
          <w:pPr>
            <w:pStyle w:val="TOC1"/>
            <w:tabs>
              <w:tab w:pos="1394" w:val="left" w:leader="none"/>
              <w:tab w:pos="9225" w:val="right" w:leader="dot"/>
            </w:tabs>
            <w:spacing w:before="65"/>
            <w:rPr>
              <w:rFonts w:ascii="Calibri" w:eastAsia="Calibri"/>
            </w:rPr>
          </w:pPr>
          <w:hyperlink w:history="true" w:anchor="_TOC_250020">
            <w:r>
              <w:rPr/>
              <w:t>第五部分</w:t>
              <w:tab/>
              <w:t>合同格式及条款</w:t>
              <w:tab/>
            </w:r>
            <w:r>
              <w:rPr>
                <w:rFonts w:ascii="Calibri" w:eastAsia="Calibri"/>
              </w:rPr>
              <w:t>22</w:t>
            </w:r>
          </w:hyperlink>
        </w:p>
        <w:p>
          <w:pPr>
            <w:pStyle w:val="TOC1"/>
            <w:tabs>
              <w:tab w:pos="1394" w:val="left" w:leader="none"/>
              <w:tab w:pos="9225" w:val="right" w:leader="dot"/>
            </w:tabs>
            <w:rPr>
              <w:rFonts w:ascii="Calibri" w:eastAsia="Calibri"/>
            </w:rPr>
          </w:pPr>
          <w:hyperlink w:history="true" w:anchor="_TOC_250019">
            <w:r>
              <w:rPr/>
              <w:t>第六部分</w:t>
              <w:tab/>
              <w:t>投标文件格式</w:t>
              <w:tab/>
            </w:r>
            <w:r>
              <w:rPr>
                <w:rFonts w:ascii="Calibri" w:eastAsia="Calibri"/>
              </w:rPr>
              <w:t>31</w:t>
            </w:r>
          </w:hyperlink>
        </w:p>
        <w:p>
          <w:pPr>
            <w:pStyle w:val="TOC2"/>
            <w:tabs>
              <w:tab w:pos="9225" w:val="right" w:leader="dot"/>
            </w:tabs>
            <w:spacing w:before="131"/>
            <w:rPr>
              <w:rFonts w:ascii="Calibri" w:eastAsia="Calibri"/>
            </w:rPr>
          </w:pPr>
          <w:hyperlink w:history="true" w:anchor="_TOC_250018">
            <w:r>
              <w:rPr/>
              <w:t>封面</w:t>
              <w:tab/>
            </w:r>
            <w:r>
              <w:rPr>
                <w:rFonts w:ascii="Calibri" w:eastAsia="Calibri"/>
              </w:rPr>
              <w:t>32</w:t>
            </w:r>
          </w:hyperlink>
        </w:p>
        <w:p>
          <w:pPr>
            <w:pStyle w:val="TOC2"/>
            <w:tabs>
              <w:tab w:pos="9225" w:val="right" w:leader="dot"/>
            </w:tabs>
            <w:spacing w:before="55"/>
            <w:rPr>
              <w:rFonts w:ascii="Calibri" w:eastAsia="Calibri"/>
            </w:rPr>
          </w:pPr>
          <w:hyperlink w:history="true" w:anchor="_TOC_250017">
            <w:r>
              <w:rPr/>
              <w:t>目录</w:t>
              <w:tab/>
            </w:r>
            <w:r>
              <w:rPr>
                <w:rFonts w:ascii="Calibri" w:eastAsia="Calibri"/>
              </w:rPr>
              <w:t>33</w:t>
            </w:r>
          </w:hyperlink>
        </w:p>
        <w:p>
          <w:pPr>
            <w:pStyle w:val="TOC2"/>
            <w:tabs>
              <w:tab w:pos="9225" w:val="right" w:leader="dot"/>
            </w:tabs>
            <w:rPr>
              <w:rFonts w:ascii="Calibri" w:eastAsia="Calibri"/>
            </w:rPr>
          </w:pPr>
          <w:hyperlink w:history="true" w:anchor="_TOC_250016">
            <w:r>
              <w:rPr/>
              <w:t>一、投标人基本情况</w:t>
              <w:tab/>
            </w:r>
            <w:r>
              <w:rPr>
                <w:rFonts w:ascii="Calibri" w:eastAsia="Calibri"/>
              </w:rPr>
              <w:t>34</w:t>
            </w:r>
          </w:hyperlink>
        </w:p>
        <w:p>
          <w:pPr>
            <w:pStyle w:val="TOC2"/>
            <w:tabs>
              <w:tab w:pos="9225" w:val="right" w:leader="dot"/>
            </w:tabs>
            <w:rPr>
              <w:rFonts w:ascii="Calibri" w:eastAsia="Calibri"/>
            </w:rPr>
          </w:pPr>
          <w:hyperlink w:history="true" w:anchor="_TOC_250015">
            <w:r>
              <w:rPr/>
              <w:t>二、投标人资质</w:t>
              <w:tab/>
            </w:r>
            <w:r>
              <w:rPr>
                <w:rFonts w:ascii="Calibri" w:eastAsia="Calibri"/>
              </w:rPr>
              <w:t>35</w:t>
            </w:r>
          </w:hyperlink>
        </w:p>
        <w:p>
          <w:pPr>
            <w:pStyle w:val="TOC2"/>
            <w:tabs>
              <w:tab w:pos="9225" w:val="right" w:leader="dot"/>
            </w:tabs>
            <w:rPr>
              <w:rFonts w:ascii="Calibri" w:eastAsia="Calibri"/>
            </w:rPr>
          </w:pPr>
          <w:hyperlink w:history="true" w:anchor="_TOC_250014">
            <w:r>
              <w:rPr/>
              <w:t>三、投标人财务状况报告</w:t>
              <w:tab/>
            </w:r>
            <w:r>
              <w:rPr>
                <w:rFonts w:ascii="Calibri" w:eastAsia="Calibri"/>
              </w:rPr>
              <w:t>36</w:t>
            </w:r>
          </w:hyperlink>
        </w:p>
        <w:p>
          <w:pPr>
            <w:pStyle w:val="TOC2"/>
            <w:tabs>
              <w:tab w:pos="9217" w:val="right" w:leader="dot"/>
            </w:tabs>
            <w:spacing w:before="55"/>
            <w:rPr>
              <w:rFonts w:ascii="Calibri" w:eastAsia="Calibri"/>
            </w:rPr>
          </w:pPr>
          <w:hyperlink w:history="true" w:anchor="_TOC_250013">
            <w:r>
              <w:rPr/>
              <w:t>四、无重大违法行为声明</w:t>
              <w:tab/>
            </w:r>
            <w:r>
              <w:rPr>
                <w:rFonts w:ascii="Calibri" w:eastAsia="Calibri"/>
                <w:spacing w:val="-5"/>
              </w:rPr>
              <w:t>37</w:t>
            </w:r>
          </w:hyperlink>
        </w:p>
        <w:p>
          <w:pPr>
            <w:pStyle w:val="TOC2"/>
            <w:tabs>
              <w:tab w:pos="9225" w:val="right" w:leader="dot"/>
            </w:tabs>
            <w:rPr>
              <w:rFonts w:ascii="Calibri" w:eastAsia="Calibri"/>
            </w:rPr>
          </w:pPr>
          <w:hyperlink w:history="true" w:anchor="_TOC_250012">
            <w:r>
              <w:rPr/>
              <w:t>五、投标函</w:t>
              <w:tab/>
            </w:r>
            <w:r>
              <w:rPr>
                <w:rFonts w:ascii="Calibri" w:eastAsia="Calibri"/>
              </w:rPr>
              <w:t>38</w:t>
            </w:r>
          </w:hyperlink>
        </w:p>
        <w:p>
          <w:pPr>
            <w:pStyle w:val="TOC2"/>
            <w:tabs>
              <w:tab w:pos="9225" w:val="right" w:leader="dot"/>
            </w:tabs>
            <w:rPr>
              <w:rFonts w:ascii="Calibri" w:eastAsia="Calibri"/>
            </w:rPr>
          </w:pPr>
          <w:hyperlink w:history="true" w:anchor="_TOC_250011">
            <w:r>
              <w:rPr/>
              <w:t>六、法定代表人身份证明或授权委托书</w:t>
              <w:tab/>
            </w:r>
            <w:r>
              <w:rPr>
                <w:rFonts w:ascii="Calibri" w:eastAsia="Calibri"/>
              </w:rPr>
              <w:t>39</w:t>
            </w:r>
          </w:hyperlink>
        </w:p>
        <w:p>
          <w:pPr>
            <w:pStyle w:val="TOC2"/>
            <w:tabs>
              <w:tab w:pos="9225" w:val="right" w:leader="dot"/>
            </w:tabs>
            <w:rPr>
              <w:rFonts w:ascii="Calibri" w:eastAsia="Calibri"/>
            </w:rPr>
          </w:pPr>
          <w:hyperlink w:history="true" w:anchor="_TOC_250010">
            <w:r>
              <w:rPr/>
              <w:t>七、开标一览表</w:t>
              <w:tab/>
            </w:r>
            <w:r>
              <w:rPr>
                <w:rFonts w:ascii="Calibri" w:eastAsia="Calibri"/>
              </w:rPr>
              <w:t>41</w:t>
            </w:r>
          </w:hyperlink>
        </w:p>
        <w:p>
          <w:pPr>
            <w:pStyle w:val="TOC2"/>
            <w:tabs>
              <w:tab w:pos="9225" w:val="right" w:leader="dot"/>
            </w:tabs>
            <w:spacing w:before="55"/>
            <w:rPr>
              <w:rFonts w:ascii="Calibri" w:eastAsia="Calibri"/>
            </w:rPr>
          </w:pPr>
          <w:hyperlink w:history="true" w:anchor="_TOC_250009">
            <w:r>
              <w:rPr/>
              <w:t>八、明细报价表</w:t>
              <w:tab/>
            </w:r>
            <w:r>
              <w:rPr>
                <w:rFonts w:ascii="Calibri" w:eastAsia="Calibri"/>
              </w:rPr>
              <w:t>42</w:t>
            </w:r>
          </w:hyperlink>
        </w:p>
        <w:p>
          <w:pPr>
            <w:pStyle w:val="TOC2"/>
            <w:tabs>
              <w:tab w:pos="9225" w:val="right" w:leader="dot"/>
            </w:tabs>
            <w:rPr>
              <w:rFonts w:ascii="Calibri" w:eastAsia="Calibri"/>
            </w:rPr>
          </w:pPr>
          <w:hyperlink w:history="true" w:anchor="_TOC_250008">
            <w:r>
              <w:rPr/>
              <w:t>九、投标保证金</w:t>
              <w:tab/>
            </w:r>
            <w:r>
              <w:rPr>
                <w:rFonts w:ascii="Calibri" w:eastAsia="Calibri"/>
              </w:rPr>
              <w:t>43</w:t>
            </w:r>
          </w:hyperlink>
        </w:p>
        <w:p>
          <w:pPr>
            <w:pStyle w:val="TOC2"/>
            <w:tabs>
              <w:tab w:pos="9222" w:val="right" w:leader="dot"/>
            </w:tabs>
            <w:rPr>
              <w:rFonts w:ascii="Calibri" w:eastAsia="Calibri"/>
            </w:rPr>
          </w:pPr>
          <w:hyperlink w:history="true" w:anchor="_TOC_250007">
            <w:r>
              <w:rPr/>
              <w:t>十、响应偏差表</w:t>
              <w:tab/>
            </w:r>
            <w:r>
              <w:rPr>
                <w:rFonts w:ascii="Calibri" w:eastAsia="Calibri"/>
              </w:rPr>
              <w:t>44</w:t>
            </w:r>
          </w:hyperlink>
        </w:p>
        <w:p>
          <w:pPr>
            <w:pStyle w:val="TOC2"/>
            <w:tabs>
              <w:tab w:pos="9225" w:val="right" w:leader="dot"/>
            </w:tabs>
            <w:rPr>
              <w:rFonts w:ascii="Calibri" w:eastAsia="Calibri"/>
            </w:rPr>
          </w:pPr>
          <w:hyperlink w:history="true" w:anchor="_TOC_250006">
            <w:r>
              <w:rPr/>
              <w:t>十一、所投产品技术资料或样本等</w:t>
              <w:tab/>
            </w:r>
            <w:r>
              <w:rPr>
                <w:rFonts w:ascii="Calibri" w:eastAsia="Calibri"/>
              </w:rPr>
              <w:t>45</w:t>
            </w:r>
          </w:hyperlink>
        </w:p>
        <w:p>
          <w:pPr>
            <w:pStyle w:val="TOC2"/>
            <w:tabs>
              <w:tab w:pos="9225" w:val="right" w:leader="dot"/>
            </w:tabs>
            <w:rPr>
              <w:rFonts w:ascii="Calibri" w:eastAsia="Calibri"/>
            </w:rPr>
          </w:pPr>
          <w:hyperlink w:history="true" w:anchor="_TOC_250005">
            <w:r>
              <w:rPr/>
              <w:t>十二、主要部件、辅材明细表</w:t>
              <w:tab/>
            </w:r>
            <w:r>
              <w:rPr>
                <w:rFonts w:ascii="Calibri" w:eastAsia="Calibri"/>
              </w:rPr>
              <w:t>46</w:t>
            </w:r>
          </w:hyperlink>
        </w:p>
        <w:p>
          <w:pPr>
            <w:pStyle w:val="TOC2"/>
            <w:tabs>
              <w:tab w:pos="9217" w:val="right" w:leader="dot"/>
            </w:tabs>
            <w:rPr>
              <w:rFonts w:ascii="Calibri" w:eastAsia="Calibri"/>
            </w:rPr>
          </w:pPr>
          <w:hyperlink w:history="true" w:anchor="_TOC_250004">
            <w:r>
              <w:rPr/>
              <w:t>十三、项目实施方案</w:t>
              <w:tab/>
            </w:r>
            <w:r>
              <w:rPr>
                <w:rFonts w:ascii="Calibri" w:eastAsia="Calibri"/>
                <w:spacing w:val="-5"/>
              </w:rPr>
              <w:t>47</w:t>
            </w:r>
          </w:hyperlink>
        </w:p>
        <w:p>
          <w:pPr>
            <w:pStyle w:val="TOC2"/>
            <w:tabs>
              <w:tab w:pos="9225" w:val="right" w:leader="dot"/>
            </w:tabs>
            <w:spacing w:before="55"/>
            <w:rPr>
              <w:rFonts w:ascii="Calibri" w:eastAsia="Calibri"/>
            </w:rPr>
          </w:pPr>
          <w:hyperlink w:history="true" w:anchor="_TOC_250003">
            <w:r>
              <w:rPr/>
              <w:t>十四、质量保证及售后服务方案</w:t>
              <w:tab/>
            </w:r>
            <w:r>
              <w:rPr>
                <w:rFonts w:ascii="Calibri" w:eastAsia="Calibri"/>
              </w:rPr>
              <w:t>48</w:t>
            </w:r>
          </w:hyperlink>
        </w:p>
        <w:p>
          <w:pPr>
            <w:pStyle w:val="TOC2"/>
            <w:tabs>
              <w:tab w:pos="9225" w:val="right" w:leader="dot"/>
            </w:tabs>
            <w:rPr>
              <w:rFonts w:ascii="Calibri" w:eastAsia="Calibri"/>
            </w:rPr>
          </w:pPr>
          <w:hyperlink w:history="true" w:anchor="_TOC_250002">
            <w:r>
              <w:rPr/>
              <w:t>十五、项目组人员</w:t>
              <w:tab/>
            </w:r>
            <w:r>
              <w:rPr>
                <w:rFonts w:ascii="Calibri" w:eastAsia="Calibri"/>
              </w:rPr>
              <w:t>49</w:t>
            </w:r>
          </w:hyperlink>
        </w:p>
        <w:p>
          <w:pPr>
            <w:pStyle w:val="TOC2"/>
            <w:tabs>
              <w:tab w:pos="9225" w:val="right" w:leader="dot"/>
            </w:tabs>
            <w:rPr>
              <w:rFonts w:ascii="Calibri" w:eastAsia="Calibri"/>
            </w:rPr>
          </w:pPr>
          <w:hyperlink w:history="true" w:anchor="_TOC_250001">
            <w:r>
              <w:rPr/>
              <w:t>十六、投标人承担类似项目业绩一览表</w:t>
              <w:tab/>
            </w:r>
            <w:r>
              <w:rPr>
                <w:rFonts w:ascii="Calibri" w:eastAsia="Calibri"/>
              </w:rPr>
              <w:t>51</w:t>
            </w:r>
          </w:hyperlink>
        </w:p>
        <w:p>
          <w:pPr>
            <w:pStyle w:val="TOC2"/>
            <w:tabs>
              <w:tab w:pos="9220" w:val="right" w:leader="dot"/>
            </w:tabs>
            <w:rPr>
              <w:rFonts w:ascii="Calibri" w:eastAsia="Calibri"/>
            </w:rPr>
          </w:pPr>
          <w:hyperlink w:history="true" w:anchor="_TOC_250000">
            <w:r>
              <w:rPr/>
              <w:t>十七、投标所需其他材料</w:t>
              <w:tab/>
            </w:r>
            <w:r>
              <w:rPr>
                <w:rFonts w:ascii="Calibri" w:eastAsia="Calibri"/>
                <w:spacing w:val="-3"/>
              </w:rPr>
              <w:t>52</w:t>
            </w:r>
          </w:hyperlink>
        </w:p>
        <w:p>
          <w:pPr/>
          <w:r>
            <w:fldChar w:fldCharType="end"/>
          </w:r>
        </w:p>
      </w:sdtContent>
    </w:sdt>
    <w:p>
      <w:pPr>
        <w:spacing w:after="0"/>
        <w:sectPr>
          <w:pgSz w:w="11910" w:h="16840"/>
          <w:pgMar w:top="1580" w:bottom="280" w:left="1200" w:right="1140"/>
        </w:sectPr>
      </w:pPr>
    </w:p>
    <w:p>
      <w:pPr>
        <w:pStyle w:val="Heading1"/>
        <w:tabs>
          <w:tab w:pos="4810" w:val="left" w:leader="none"/>
        </w:tabs>
      </w:pPr>
      <w:r>
        <w:rPr/>
        <w:drawing>
          <wp:anchor distT="0" distB="0" distL="0" distR="0" allowOverlap="1" layoutInCell="1" locked="0" behindDoc="1" simplePos="0" relativeHeight="268349399">
            <wp:simplePos x="0" y="0"/>
            <wp:positionH relativeFrom="page">
              <wp:posOffset>203309</wp:posOffset>
            </wp:positionH>
            <wp:positionV relativeFrom="page">
              <wp:posOffset>944714</wp:posOffset>
            </wp:positionV>
            <wp:extent cx="7115825" cy="9747669"/>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6032" filled="true" fillcolor="#ffffff" stroked="false">
            <v:fill type="solid"/>
            <w10:wrap type="none"/>
          </v:rect>
        </w:pict>
      </w:r>
      <w:bookmarkStart w:name="_TOC_250034" w:id="1"/>
      <w:bookmarkStart w:name="第一部分  投标邀请函" w:id="2"/>
      <w:r>
        <w:rPr>
          <w:b w:val="0"/>
        </w:rPr>
      </w:r>
      <w:bookmarkEnd w:id="1"/>
      <w:r>
        <w:rPr/>
        <w:t>第一部分</w:t>
        <w:tab/>
        <w:t>投标邀请函</w:t>
      </w:r>
    </w:p>
    <w:p>
      <w:pPr>
        <w:pStyle w:val="BodyText"/>
        <w:spacing w:before="93"/>
        <w:ind w:left="869"/>
      </w:pPr>
      <w:r>
        <w:rPr/>
        <w:t>各投标人：</w:t>
      </w:r>
    </w:p>
    <w:p>
      <w:pPr>
        <w:pStyle w:val="BodyText"/>
        <w:spacing w:line="391" w:lineRule="auto" w:before="191"/>
        <w:ind w:left="809" w:right="332" w:firstLine="480"/>
        <w:jc w:val="both"/>
      </w:pPr>
      <w:r>
        <w:rPr/>
        <w:t>江苏钟山工程项目管理有限公司受泗阳县交运港务有限公司委托，就泗阳县交运港务有限公司电缆采购项目(二次)进行网上公开招标，欢迎合格投标人前来投标。</w:t>
      </w:r>
    </w:p>
    <w:p>
      <w:pPr>
        <w:pStyle w:val="Heading8"/>
        <w:spacing w:line="358" w:lineRule="exact"/>
      </w:pPr>
      <w:r>
        <w:rPr/>
        <w:t>一、项目名称及编号</w:t>
      </w:r>
    </w:p>
    <w:p>
      <w:pPr>
        <w:pStyle w:val="BodyText"/>
        <w:spacing w:before="140"/>
        <w:ind w:left="869"/>
      </w:pPr>
      <w:r>
        <w:rPr/>
        <w:t>（一）项目名称：泗阳县交运港务有限公司电缆采购项目(二次)</w:t>
      </w:r>
    </w:p>
    <w:p>
      <w:pPr>
        <w:pStyle w:val="BodyText"/>
        <w:spacing w:before="192"/>
        <w:ind w:left="869"/>
      </w:pPr>
      <w:r>
        <w:rPr/>
        <w:t>（二）项目编号：E3213010313201710015-1</w:t>
      </w:r>
    </w:p>
    <w:p>
      <w:pPr>
        <w:pStyle w:val="BodyText"/>
        <w:spacing w:before="192"/>
        <w:ind w:left="869"/>
      </w:pPr>
      <w:r>
        <w:rPr/>
        <w:t>（三）项目预算及最高限价：346660 元</w:t>
      </w:r>
    </w:p>
    <w:p>
      <w:pPr>
        <w:pStyle w:val="BodyText"/>
        <w:spacing w:before="194"/>
        <w:ind w:left="869"/>
      </w:pPr>
      <w:r>
        <w:rPr/>
        <w:t>（四）主要内容：上海上实吸粮机及港口 16 吨吊机电缆故障需更换，采购 YJV22</w:t>
      </w:r>
    </w:p>
    <w:p>
      <w:pPr>
        <w:pStyle w:val="BodyText"/>
        <w:spacing w:line="328" w:lineRule="auto" w:before="192"/>
        <w:ind w:left="871" w:right="1313" w:hanging="483"/>
        <w:rPr>
          <w:rFonts w:ascii="Microsoft JhengHei" w:eastAsia="Microsoft JhengHei" w:hint="eastAsia"/>
          <w:b/>
        </w:rPr>
      </w:pPr>
      <w:r>
        <w:rPr/>
        <w:t>4*240</w:t>
      </w:r>
      <w:r>
        <w:rPr>
          <w:spacing w:val="-31"/>
        </w:rPr>
        <w:t> 型号 </w:t>
      </w:r>
      <w:r>
        <w:rPr/>
        <w:t>250</w:t>
      </w:r>
      <w:r>
        <w:rPr>
          <w:spacing w:val="-20"/>
        </w:rPr>
        <w:t> 米、</w:t>
      </w:r>
      <w:r>
        <w:rPr/>
        <w:t>YJV22 4*185</w:t>
      </w:r>
      <w:r>
        <w:rPr>
          <w:spacing w:val="-30"/>
        </w:rPr>
        <w:t> 型号 </w:t>
      </w:r>
      <w:r>
        <w:rPr/>
        <w:t>420</w:t>
      </w:r>
      <w:r>
        <w:rPr>
          <w:spacing w:val="-8"/>
        </w:rPr>
        <w:t> 米电缆；预算价为</w:t>
      </w:r>
      <w:r>
        <w:rPr/>
        <w:t>：346660</w:t>
      </w:r>
      <w:r>
        <w:rPr>
          <w:spacing w:val="-20"/>
        </w:rPr>
        <w:t> 元。</w:t>
      </w:r>
      <w:r>
        <w:rPr>
          <w:rFonts w:ascii="Microsoft JhengHei" w:eastAsia="Microsoft JhengHei" w:hint="eastAsia"/>
          <w:b/>
          <w:spacing w:val="-20"/>
        </w:rPr>
        <w:t>二、供应商资格要求</w:t>
      </w:r>
    </w:p>
    <w:p>
      <w:pPr>
        <w:pStyle w:val="BodyText"/>
        <w:spacing w:line="282" w:lineRule="exact"/>
        <w:ind w:left="869"/>
      </w:pPr>
      <w:r>
        <w:rPr>
          <w:color w:val="0000FF"/>
        </w:rPr>
        <w:t>（一）供应商参加本次政府采购活动应当符合《中华人民共和国政府采购法》第</w:t>
      </w:r>
    </w:p>
    <w:p>
      <w:pPr>
        <w:pStyle w:val="BodyText"/>
        <w:spacing w:line="388" w:lineRule="auto" w:before="191"/>
        <w:ind w:left="389" w:right="294"/>
      </w:pPr>
      <w:r>
        <w:rPr>
          <w:color w:val="0000FF"/>
        </w:rPr>
        <w:t>二十二条、《中华人民共和国政府采购法实施条例》第十七条的规定，并提供下列材料:</w:t>
      </w:r>
    </w:p>
    <w:p>
      <w:pPr>
        <w:pStyle w:val="BodyText"/>
        <w:spacing w:line="388" w:lineRule="auto" w:before="5"/>
        <w:ind w:left="809" w:right="328" w:firstLine="480"/>
      </w:pPr>
      <w:r>
        <w:rPr/>
        <w:t>1</w:t>
      </w:r>
      <w:r>
        <w:rPr>
          <w:spacing w:val="-9"/>
        </w:rPr>
        <w:t>、投标人须是企业财务状况良好，且有较好的商业信誉和经营业绩，具备完全履约能力和较强售后服务能力；</w:t>
      </w:r>
    </w:p>
    <w:p>
      <w:pPr>
        <w:pStyle w:val="BodyText"/>
      </w:pPr>
    </w:p>
    <w:p>
      <w:pPr>
        <w:pStyle w:val="BodyText"/>
        <w:spacing w:line="388" w:lineRule="auto" w:before="196"/>
        <w:ind w:left="809" w:right="211" w:firstLine="480"/>
      </w:pPr>
      <w:r>
        <w:rPr/>
        <w:t>2</w:t>
      </w:r>
      <w:r>
        <w:rPr>
          <w:spacing w:val="-3"/>
        </w:rPr>
        <w:t>、投标人授权委托人必须为其正式员工，提供 </w:t>
      </w:r>
      <w:r>
        <w:rPr/>
        <w:t>2017</w:t>
      </w:r>
      <w:r>
        <w:rPr>
          <w:spacing w:val="-37"/>
        </w:rPr>
        <w:t> 年 </w:t>
      </w:r>
      <w:r>
        <w:rPr/>
        <w:t>3</w:t>
      </w:r>
      <w:r>
        <w:rPr>
          <w:spacing w:val="-8"/>
        </w:rPr>
        <w:t> 月份以来任意一月</w:t>
      </w:r>
      <w:r>
        <w:rPr>
          <w:spacing w:val="-13"/>
        </w:rPr>
        <w:t>投标人为其授权委托人缴纳社会养老保险证明</w:t>
      </w:r>
      <w:r>
        <w:rPr/>
        <w:t>（证明以社保主管部门出具的为准， 法定代表人参与开标会议同此要求）；</w:t>
      </w:r>
    </w:p>
    <w:p>
      <w:pPr>
        <w:pStyle w:val="BodyText"/>
      </w:pPr>
    </w:p>
    <w:p>
      <w:pPr>
        <w:pStyle w:val="BodyText"/>
        <w:spacing w:before="198"/>
        <w:ind w:left="1289"/>
      </w:pPr>
      <w:r>
        <w:rPr/>
        <w:t>3、投标人营业执照中营业范围涵盖本次招标货物的产品制造商或供应商;</w:t>
      </w:r>
    </w:p>
    <w:p>
      <w:pPr>
        <w:pStyle w:val="BodyText"/>
        <w:spacing w:line="391" w:lineRule="auto" w:before="192"/>
        <w:ind w:left="809" w:right="211" w:firstLine="480"/>
      </w:pPr>
      <w:r>
        <w:rPr/>
        <w:t>4</w:t>
      </w:r>
      <w:r>
        <w:rPr>
          <w:spacing w:val="-9"/>
        </w:rPr>
        <w:t>、投标人未被列入失信被执行人、重大税收违法案件当事人名单、政府采购</w:t>
      </w:r>
      <w:r>
        <w:rPr>
          <w:spacing w:val="-10"/>
        </w:rPr>
        <w:t>严重违法失信行为记录名单</w:t>
      </w:r>
      <w:r>
        <w:rPr/>
        <w:t>（</w:t>
      </w:r>
      <w:r>
        <w:rPr>
          <w:spacing w:val="-8"/>
        </w:rPr>
        <w:t>以本公告“四、投标人信用信息”查询结果为准</w:t>
      </w:r>
      <w:r>
        <w:rPr>
          <w:spacing w:val="-20"/>
        </w:rPr>
        <w:t>）</w:t>
      </w:r>
      <w:r>
        <w:rPr/>
        <w:t>。</w:t>
      </w:r>
    </w:p>
    <w:p>
      <w:pPr>
        <w:pStyle w:val="BodyText"/>
        <w:spacing w:before="8"/>
        <w:rPr>
          <w:sz w:val="32"/>
        </w:rPr>
      </w:pPr>
    </w:p>
    <w:p>
      <w:pPr>
        <w:pStyle w:val="Heading8"/>
      </w:pPr>
      <w:r>
        <w:rPr/>
        <w:t>三、评标办法</w:t>
      </w:r>
    </w:p>
    <w:p>
      <w:pPr>
        <w:pStyle w:val="BodyText"/>
        <w:spacing w:before="16"/>
        <w:rPr>
          <w:rFonts w:ascii="Microsoft JhengHei"/>
          <w:b/>
          <w:sz w:val="13"/>
        </w:rPr>
      </w:pPr>
    </w:p>
    <w:p>
      <w:pPr>
        <w:spacing w:before="64"/>
        <w:ind w:left="54" w:right="0" w:firstLine="0"/>
        <w:jc w:val="center"/>
        <w:rPr>
          <w:rFonts w:ascii="Calibri"/>
          <w:sz w:val="18"/>
        </w:rPr>
      </w:pPr>
      <w:r>
        <w:rPr>
          <w:rFonts w:ascii="Calibri"/>
          <w:sz w:val="18"/>
        </w:rPr>
        <w:t>1</w:t>
      </w:r>
    </w:p>
    <w:p>
      <w:pPr>
        <w:spacing w:after="0"/>
        <w:jc w:val="center"/>
        <w:rPr>
          <w:rFonts w:ascii="Calibri"/>
          <w:sz w:val="18"/>
        </w:rPr>
        <w:sectPr>
          <w:pgSz w:w="11910" w:h="16840"/>
          <w:pgMar w:top="1440" w:bottom="280" w:left="1200" w:right="1140"/>
        </w:sectPr>
      </w:pPr>
    </w:p>
    <w:p>
      <w:pPr>
        <w:pStyle w:val="BodyText"/>
        <w:spacing w:line="388" w:lineRule="auto" w:before="43"/>
        <w:ind w:left="389" w:right="327" w:firstLine="479"/>
        <w:jc w:val="both"/>
      </w:pPr>
      <w:r>
        <w:rPr/>
        <w:drawing>
          <wp:anchor distT="0" distB="0" distL="0" distR="0" allowOverlap="1" layoutInCell="1" locked="0" behindDoc="1" simplePos="0" relativeHeight="268349447">
            <wp:simplePos x="0" y="0"/>
            <wp:positionH relativeFrom="page">
              <wp:posOffset>203309</wp:posOffset>
            </wp:positionH>
            <wp:positionV relativeFrom="page">
              <wp:posOffset>944714</wp:posOffset>
            </wp:positionV>
            <wp:extent cx="7115825" cy="9747669"/>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984" filled="true" fillcolor="#ffffff" stroked="false">
            <v:fill type="solid"/>
            <w10:wrap type="none"/>
          </v:rect>
        </w:pict>
      </w:r>
      <w:r>
        <w:rPr/>
        <w:t>本项目采用 </w:t>
      </w:r>
      <w:r>
        <w:rPr>
          <w:rFonts w:ascii="MS UI Gothic" w:hAnsi="MS UI Gothic" w:eastAsia="MS UI Gothic" w:hint="eastAsia"/>
        </w:rPr>
        <w:t>☑ </w:t>
      </w:r>
      <w:r>
        <w:rPr/>
        <w:t>最低评标价法； □ 综合评分法。具体细则详见招标文件第三部分资格审查及评标办法内容。</w:t>
      </w:r>
    </w:p>
    <w:p>
      <w:pPr>
        <w:pStyle w:val="Heading8"/>
        <w:spacing w:line="367" w:lineRule="exact"/>
      </w:pPr>
      <w:r>
        <w:rPr/>
        <w:t>四、投标人信用信息</w:t>
      </w:r>
    </w:p>
    <w:p>
      <w:pPr>
        <w:pStyle w:val="BodyText"/>
        <w:spacing w:line="388" w:lineRule="auto" w:before="137"/>
        <w:ind w:left="389" w:right="329" w:firstLine="479"/>
        <w:jc w:val="both"/>
      </w:pPr>
      <w:r>
        <w:rPr/>
        <w:t>（一</w:t>
      </w:r>
      <w:r>
        <w:rPr>
          <w:spacing w:val="-58"/>
        </w:rPr>
        <w:t>）</w:t>
      </w:r>
      <w:r>
        <w:rPr>
          <w:spacing w:val="-8"/>
        </w:rPr>
        <w:t>信用信息查询渠道为：“信用中国”网</w:t>
      </w:r>
      <w:hyperlink r:id="rId8">
        <w:r>
          <w:rPr/>
          <w:t>（www.creditchina.g</w:t>
        </w:r>
        <w:r>
          <w:rPr>
            <w:spacing w:val="1"/>
          </w:rPr>
          <w:t>o</w:t>
        </w:r>
        <w:r>
          <w:rPr/>
          <w:t>v.cn</w:t>
        </w:r>
      </w:hyperlink>
      <w:r>
        <w:rPr>
          <w:spacing w:val="-120"/>
        </w:rPr>
        <w:t>）</w:t>
      </w:r>
      <w:r>
        <w:rPr/>
        <w:t>、“中国政府采购”网</w:t>
      </w:r>
      <w:r>
        <w:rPr>
          <w:spacing w:val="-1"/>
        </w:rPr>
        <w:t>（</w:t>
      </w:r>
      <w:hyperlink r:id="rId9">
        <w:r>
          <w:rPr/>
          <w:t>www.ccgp.gov.cn</w:t>
        </w:r>
      </w:hyperlink>
      <w:r>
        <w:rPr>
          <w:spacing w:val="-120"/>
        </w:rPr>
        <w:t>）；</w:t>
      </w:r>
    </w:p>
    <w:p>
      <w:pPr>
        <w:pStyle w:val="BodyText"/>
        <w:spacing w:before="4"/>
        <w:ind w:left="869"/>
      </w:pPr>
      <w:r>
        <w:rPr/>
        <w:t>（二）信用信息查询截止时点：资格审查结束前。</w:t>
      </w:r>
    </w:p>
    <w:p>
      <w:pPr>
        <w:pStyle w:val="BodyText"/>
        <w:spacing w:line="391" w:lineRule="auto" w:before="192"/>
        <w:ind w:left="389" w:right="295" w:firstLine="479"/>
        <w:jc w:val="both"/>
      </w:pPr>
      <w:r>
        <w:rPr/>
        <w:t>（三）信用信息查询记录和证据留存的方式：由评标委员会在资格审查现场查询信用信息，网页截屏打印，与其他采购文件一并保存。网页截屏应当留有（或注明） 查询时点的网页地址和网络时间标记。信用查询记录（网页截屏和《政府采购信用信息查询使用情况说明》）由评标委员会签字确认。</w:t>
      </w:r>
    </w:p>
    <w:p>
      <w:pPr>
        <w:pStyle w:val="BodyText"/>
        <w:spacing w:line="391" w:lineRule="auto"/>
        <w:ind w:left="389" w:right="295" w:firstLine="479"/>
        <w:jc w:val="both"/>
      </w:pPr>
      <w:r>
        <w:rPr/>
        <w:t>（四）信用信息的使用规则：评标委员会对供应商信用记录进行甄别，对列入失信被执行人、重大税收违法案件当事人名单、政府采购严重违法失信行为记录名单， 拒绝其参与政府采购活动。</w:t>
      </w:r>
    </w:p>
    <w:p>
      <w:pPr>
        <w:pStyle w:val="Heading8"/>
        <w:spacing w:line="358" w:lineRule="exact"/>
      </w:pPr>
      <w:r>
        <w:rPr/>
        <w:t>五、招标文件获取</w:t>
      </w:r>
    </w:p>
    <w:p>
      <w:pPr>
        <w:pStyle w:val="BodyText"/>
        <w:spacing w:line="388" w:lineRule="auto" w:before="135"/>
        <w:ind w:left="869" w:right="209"/>
      </w:pPr>
      <w:r>
        <w:rPr/>
        <w:t>（一</w:t>
      </w:r>
      <w:r>
        <w:rPr>
          <w:spacing w:val="-108"/>
        </w:rPr>
        <w:t>）</w:t>
      </w:r>
      <w:r>
        <w:rPr>
          <w:spacing w:val="-12"/>
        </w:rPr>
        <w:t>招标文件提供时间：</w:t>
      </w:r>
      <w:r>
        <w:rPr/>
        <w:t>2017</w:t>
      </w:r>
      <w:r>
        <w:rPr>
          <w:spacing w:val="-40"/>
        </w:rPr>
        <w:t> 年 </w:t>
      </w:r>
      <w:r>
        <w:rPr/>
        <w:t>10</w:t>
      </w:r>
      <w:r>
        <w:rPr>
          <w:spacing w:val="-40"/>
        </w:rPr>
        <w:t> 月 </w:t>
      </w:r>
      <w:r>
        <w:rPr/>
        <w:t>24</w:t>
      </w:r>
      <w:r>
        <w:rPr>
          <w:spacing w:val="-40"/>
        </w:rPr>
        <w:t> 日 </w:t>
      </w:r>
      <w:r>
        <w:rPr/>
        <w:t>8:30</w:t>
      </w:r>
      <w:r>
        <w:rPr>
          <w:spacing w:val="-40"/>
        </w:rPr>
        <w:t> 至 </w:t>
      </w:r>
      <w:r>
        <w:rPr/>
        <w:t>2017</w:t>
      </w:r>
      <w:r>
        <w:rPr>
          <w:spacing w:val="-40"/>
        </w:rPr>
        <w:t> 年 </w:t>
      </w:r>
      <w:r>
        <w:rPr/>
        <w:t>10</w:t>
      </w:r>
      <w:r>
        <w:rPr>
          <w:spacing w:val="-40"/>
        </w:rPr>
        <w:t> 月 </w:t>
      </w:r>
      <w:r>
        <w:rPr/>
        <w:t>30</w:t>
      </w:r>
      <w:r>
        <w:rPr>
          <w:spacing w:val="-20"/>
        </w:rPr>
        <w:t> 日 </w:t>
      </w:r>
      <w:r>
        <w:rPr/>
        <w:t>17:30。</w:t>
      </w:r>
      <w:r>
        <w:rPr>
          <w:spacing w:val="-1"/>
        </w:rPr>
        <w:t>供应商应在招标文件提供的时间内，使用 </w:t>
      </w:r>
      <w:r>
        <w:rPr/>
        <w:t>CA</w:t>
      </w:r>
      <w:r>
        <w:rPr>
          <w:spacing w:val="-5"/>
        </w:rPr>
        <w:t> 锁通过宿迁市公共资源交易电子服</w:t>
      </w:r>
    </w:p>
    <w:p>
      <w:pPr>
        <w:pStyle w:val="BodyText"/>
        <w:spacing w:line="391" w:lineRule="auto" w:before="2"/>
        <w:ind w:left="389" w:right="329"/>
        <w:jc w:val="both"/>
      </w:pPr>
      <w:r>
        <w:rPr/>
        <w:t>务平台（ </w:t>
      </w:r>
      <w:hyperlink r:id="rId10">
        <w:r>
          <w:rPr/>
          <w:t>http://ggzy.sqzwfw.gov.cn/ </w:t>
        </w:r>
      </w:hyperlink>
      <w:r>
        <w:rPr/>
        <w:t>）点击“投标人登录”进入系统从"采购文</w:t>
      </w:r>
      <w:r>
        <w:rPr>
          <w:spacing w:val="-1"/>
        </w:rPr>
        <w:t>件获取"栏目中，找到本项目获取招标文件。每套每包人民币 </w:t>
      </w:r>
      <w:r>
        <w:rPr/>
        <w:t>200</w:t>
      </w:r>
      <w:r>
        <w:rPr>
          <w:spacing w:val="-5"/>
        </w:rPr>
        <w:t> 元整，使用网上银行购买，售后不退。</w:t>
      </w:r>
    </w:p>
    <w:p>
      <w:pPr>
        <w:pStyle w:val="BodyText"/>
        <w:spacing w:line="391" w:lineRule="auto"/>
        <w:ind w:left="389" w:right="325" w:firstLine="479"/>
        <w:jc w:val="both"/>
      </w:pPr>
      <w:r>
        <w:rPr/>
        <w:t>（二）</w:t>
      </w:r>
      <w:r>
        <w:rPr>
          <w:spacing w:val="-2"/>
        </w:rPr>
        <w:t>供应商网上获取招标文件需申领 </w:t>
      </w:r>
      <w:r>
        <w:rPr/>
        <w:t>CA</w:t>
      </w:r>
      <w:r>
        <w:rPr>
          <w:spacing w:val="-5"/>
        </w:rPr>
        <w:t> 锁，具体办理详见宿迁市公共资源交</w:t>
      </w:r>
      <w:r>
        <w:rPr>
          <w:spacing w:val="-12"/>
        </w:rPr>
        <w:t>易电子服务平台《政府采购投标指引》。因供应商未及时办理相关手续导致无法投标的，相关责任由供应商自行承担。</w:t>
      </w:r>
    </w:p>
    <w:p>
      <w:pPr>
        <w:pStyle w:val="BodyText"/>
        <w:spacing w:line="391" w:lineRule="auto"/>
        <w:ind w:left="389" w:right="327" w:firstLine="479"/>
        <w:jc w:val="both"/>
      </w:pPr>
      <w:r>
        <w:rPr/>
        <w:t>（四</w:t>
      </w:r>
      <w:r>
        <w:rPr>
          <w:spacing w:val="-20"/>
        </w:rPr>
        <w:t>）</w:t>
      </w:r>
      <w:r>
        <w:rPr>
          <w:spacing w:val="-2"/>
        </w:rPr>
        <w:t>在网上获取招标文件时，投标人需在系统中登记参与开标评标活动的法定</w:t>
      </w:r>
      <w:r>
        <w:rPr>
          <w:spacing w:val="-5"/>
        </w:rPr>
        <w:t>代表人或授权委托人姓名和身份证(系统设置只能输入 </w:t>
      </w:r>
      <w:r>
        <w:rPr/>
        <w:t>1</w:t>
      </w:r>
      <w:r>
        <w:rPr>
          <w:spacing w:val="-10"/>
        </w:rPr>
        <w:t> 人信息)。开标前，投标人可以在系统中自行变更参与开标评标活动人员信息。</w:t>
      </w:r>
    </w:p>
    <w:p>
      <w:pPr>
        <w:pStyle w:val="BodyText"/>
        <w:spacing w:before="1"/>
        <w:rPr>
          <w:sz w:val="32"/>
        </w:rPr>
      </w:pPr>
    </w:p>
    <w:p>
      <w:pPr>
        <w:pStyle w:val="Heading8"/>
        <w:spacing w:before="1"/>
        <w:ind w:left="994"/>
      </w:pPr>
      <w:r>
        <w:rPr/>
        <w:t>六、投标文件接收信息</w:t>
      </w:r>
    </w:p>
    <w:p>
      <w:pPr>
        <w:pStyle w:val="BodyText"/>
        <w:spacing w:before="9"/>
        <w:rPr>
          <w:rFonts w:ascii="Microsoft JhengHei"/>
          <w:b/>
          <w:sz w:val="20"/>
        </w:rPr>
      </w:pPr>
    </w:p>
    <w:p>
      <w:pPr>
        <w:spacing w:before="64"/>
        <w:ind w:left="54" w:right="0" w:firstLine="0"/>
        <w:jc w:val="center"/>
        <w:rPr>
          <w:rFonts w:ascii="Calibri"/>
          <w:sz w:val="18"/>
        </w:rPr>
      </w:pPr>
      <w:r>
        <w:rPr>
          <w:rFonts w:ascii="Calibri"/>
          <w:sz w:val="18"/>
        </w:rPr>
        <w:t>2</w:t>
      </w:r>
    </w:p>
    <w:p>
      <w:pPr>
        <w:spacing w:after="0"/>
        <w:jc w:val="center"/>
        <w:rPr>
          <w:rFonts w:ascii="Calibri"/>
          <w:sz w:val="18"/>
        </w:rPr>
        <w:sectPr>
          <w:pgSz w:w="11910" w:h="16840"/>
          <w:pgMar w:top="1540" w:bottom="280" w:left="1200" w:right="1140"/>
        </w:sectPr>
      </w:pPr>
    </w:p>
    <w:p>
      <w:pPr>
        <w:pStyle w:val="BodyText"/>
        <w:spacing w:line="388" w:lineRule="auto" w:before="43"/>
        <w:ind w:left="869" w:right="1374"/>
      </w:pPr>
      <w:r>
        <w:rPr/>
        <w:drawing>
          <wp:anchor distT="0" distB="0" distL="0" distR="0" allowOverlap="1" layoutInCell="1" locked="0" behindDoc="1" simplePos="0" relativeHeight="268349495">
            <wp:simplePos x="0" y="0"/>
            <wp:positionH relativeFrom="page">
              <wp:posOffset>203309</wp:posOffset>
            </wp:positionH>
            <wp:positionV relativeFrom="page">
              <wp:posOffset>944714</wp:posOffset>
            </wp:positionV>
            <wp:extent cx="7115825" cy="9747669"/>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936" filled="true" fillcolor="#ffffff" stroked="false">
            <v:fill type="solid"/>
            <w10:wrap type="none"/>
          </v:rect>
        </w:pict>
      </w:r>
      <w:r>
        <w:rPr/>
        <w:drawing>
          <wp:anchor distT="0" distB="0" distL="0" distR="0" allowOverlap="1" layoutInCell="1" locked="0" behindDoc="1" simplePos="0" relativeHeight="268349543">
            <wp:simplePos x="0" y="0"/>
            <wp:positionH relativeFrom="page">
              <wp:posOffset>5003800</wp:posOffset>
            </wp:positionH>
            <wp:positionV relativeFrom="page">
              <wp:posOffset>6590283</wp:posOffset>
            </wp:positionV>
            <wp:extent cx="2032000" cy="2044700"/>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2032000" cy="2044700"/>
                    </a:xfrm>
                    <a:prstGeom prst="rect">
                      <a:avLst/>
                    </a:prstGeom>
                  </pic:spPr>
                </pic:pic>
              </a:graphicData>
            </a:graphic>
          </wp:anchor>
        </w:drawing>
      </w:r>
      <w:r>
        <w:rPr/>
        <w:t>（一）投标文件递交截止时间及开标时间：2017</w:t>
      </w:r>
      <w:r>
        <w:rPr>
          <w:spacing w:val="-40"/>
        </w:rPr>
        <w:t> 年 </w:t>
      </w:r>
      <w:r>
        <w:rPr/>
        <w:t>11</w:t>
      </w:r>
      <w:r>
        <w:rPr>
          <w:spacing w:val="-40"/>
        </w:rPr>
        <w:t> 月 </w:t>
      </w:r>
      <w:r>
        <w:rPr/>
        <w:t>13</w:t>
      </w:r>
      <w:r>
        <w:rPr>
          <w:spacing w:val="-20"/>
        </w:rPr>
        <w:t> 日 </w:t>
      </w:r>
      <w:r>
        <w:rPr/>
        <w:t>09:00 泗阳县公共资源交易中心 开标三室（泗阳县行政服务中心附楼三楼）</w:t>
      </w:r>
    </w:p>
    <w:p>
      <w:pPr>
        <w:pStyle w:val="BodyText"/>
        <w:spacing w:line="388" w:lineRule="auto" w:before="4"/>
        <w:ind w:left="869" w:right="275"/>
      </w:pPr>
      <w:r>
        <w:rPr/>
        <w:t>（二）投标人应在投标截止时间前将电子投标文件上传至（以完成上传为准）宿迁市公共资源电子交易平台（以下简称“电子交易平台”），逾期，招标人不予</w:t>
      </w:r>
    </w:p>
    <w:p>
      <w:pPr>
        <w:pStyle w:val="BodyText"/>
        <w:spacing w:before="2"/>
        <w:ind w:left="389"/>
      </w:pPr>
      <w:r>
        <w:rPr/>
        <w:t>受理。</w:t>
      </w:r>
    </w:p>
    <w:p>
      <w:pPr>
        <w:pStyle w:val="Heading8"/>
        <w:spacing w:before="115"/>
      </w:pPr>
      <w:r>
        <w:rPr/>
        <w:t>七、本次招标联系事项</w:t>
      </w:r>
    </w:p>
    <w:p>
      <w:pPr>
        <w:pStyle w:val="BodyText"/>
        <w:spacing w:line="391" w:lineRule="auto" w:before="137"/>
        <w:ind w:left="869" w:right="4135"/>
      </w:pPr>
      <w:r>
        <w:rPr/>
        <w:t>代理机构：江苏钟山工程项目管理有限公司联系人：纪伟</w:t>
      </w:r>
    </w:p>
    <w:p>
      <w:pPr>
        <w:pStyle w:val="BodyText"/>
        <w:spacing w:line="388" w:lineRule="auto"/>
        <w:ind w:left="869" w:right="5934"/>
      </w:pPr>
      <w:r>
        <w:rPr/>
        <w:t>联系电话：15996768121 传真电话：0527-89666969</w:t>
      </w:r>
    </w:p>
    <w:p>
      <w:pPr>
        <w:pStyle w:val="BodyText"/>
        <w:spacing w:line="391" w:lineRule="auto" w:before="1"/>
        <w:ind w:left="869" w:right="1614"/>
      </w:pPr>
      <w:r>
        <w:rPr>
          <w:spacing w:val="-5"/>
        </w:rPr>
        <w:t>联系地址：泗阳县上海中路 </w:t>
      </w:r>
      <w:r>
        <w:rPr/>
        <w:t>60－19</w:t>
      </w:r>
      <w:r>
        <w:rPr>
          <w:spacing w:val="-30"/>
        </w:rPr>
        <w:t> 号</w:t>
      </w:r>
      <w:r>
        <w:rPr/>
        <w:t>（泗阳县逸景嘉园西门北侧） 邮政编码：223700</w:t>
      </w:r>
    </w:p>
    <w:p>
      <w:pPr>
        <w:pStyle w:val="BodyText"/>
        <w:spacing w:line="388" w:lineRule="auto"/>
        <w:ind w:left="869" w:right="5095"/>
      </w:pPr>
      <w:r>
        <w:rPr/>
        <w:t>采购人：泗阳县交运港务有限公司联系人：庄旭</w:t>
      </w:r>
    </w:p>
    <w:p>
      <w:pPr>
        <w:pStyle w:val="BodyText"/>
        <w:spacing w:before="3"/>
        <w:ind w:left="869"/>
      </w:pPr>
      <w:r>
        <w:rPr/>
        <w:t>联系电话：18936939299</w:t>
      </w:r>
    </w:p>
    <w:p>
      <w:pPr>
        <w:pStyle w:val="BodyText"/>
        <w:spacing w:before="192"/>
        <w:ind w:left="869"/>
      </w:pPr>
      <w:r>
        <w:rPr/>
        <w:t>财政部门监督电话：0527-85229058</w:t>
      </w:r>
    </w:p>
    <w:p>
      <w:pPr>
        <w:pStyle w:val="Heading8"/>
        <w:spacing w:line="271" w:lineRule="auto" w:before="113"/>
        <w:ind w:left="389" w:right="334" w:firstLine="482"/>
        <w:jc w:val="both"/>
      </w:pPr>
      <w:r>
        <w:rPr>
          <w:spacing w:val="-5"/>
        </w:rPr>
        <w:t>八、本采购公告</w:t>
      </w:r>
      <w:r>
        <w:rPr/>
        <w:t>（采购文件公告</w:t>
      </w:r>
      <w:r>
        <w:rPr>
          <w:spacing w:val="-12"/>
        </w:rPr>
        <w:t>）</w:t>
      </w:r>
      <w:r>
        <w:rPr>
          <w:spacing w:val="-4"/>
        </w:rPr>
        <w:t>期限，为采购公告</w:t>
      </w:r>
      <w:r>
        <w:rPr/>
        <w:t>（采购文件</w:t>
      </w:r>
      <w:r>
        <w:rPr>
          <w:spacing w:val="-12"/>
        </w:rPr>
        <w:t>）</w:t>
      </w:r>
      <w:r>
        <w:rPr/>
        <w:t>发布之日起五</w:t>
      </w:r>
      <w:r>
        <w:rPr>
          <w:spacing w:val="-8"/>
        </w:rPr>
        <w:t>个工作日。采购公告发布媒体：宿迁市政府采购网、宿迁市公共资源交易电子服务平台、江苏省财政部门指定的媒体。</w:t>
      </w:r>
    </w:p>
    <w:p>
      <w:pPr>
        <w:pStyle w:val="Heading8"/>
        <w:spacing w:before="3"/>
      </w:pPr>
      <w:r>
        <w:rPr/>
        <w:t>九、以上邀请函内容如有变动，将在相关媒体上另行通知。</w:t>
      </w:r>
    </w:p>
    <w:p>
      <w:pPr>
        <w:pStyle w:val="BodyText"/>
        <w:spacing w:line="374" w:lineRule="auto" w:before="123"/>
        <w:ind w:left="5874" w:right="330" w:firstLine="720"/>
        <w:jc w:val="right"/>
      </w:pPr>
      <w:r>
        <w:rPr/>
        <w:t>泗阳县交运港务有限公司江苏钟山工程项目管理有限公司</w:t>
      </w:r>
    </w:p>
    <w:p>
      <w:pPr>
        <w:pStyle w:val="BodyText"/>
        <w:spacing w:before="1"/>
        <w:ind w:right="329"/>
        <w:jc w:val="right"/>
      </w:pPr>
      <w:r>
        <w:rPr/>
        <w:t>2017 年 10 月 24 日</w:t>
      </w:r>
    </w:p>
    <w:p>
      <w:pPr>
        <w:pStyle w:val="BodyText"/>
        <w:spacing w:before="8"/>
        <w:rPr>
          <w:sz w:val="26"/>
        </w:rPr>
      </w:pPr>
    </w:p>
    <w:p>
      <w:pPr>
        <w:pStyle w:val="BodyText"/>
        <w:ind w:right="335"/>
        <w:jc w:val="right"/>
      </w:pPr>
      <w:r>
        <w:rPr>
          <w:color w:val="000080"/>
          <w:sz w:val="20"/>
        </w:rPr>
        <w:t>友情提醒： </w:t>
      </w:r>
      <w:r>
        <w:rPr/>
        <w:t>电子招投标相关操作办法见宿迁市公共资源交易电子服务平台</w:t>
      </w:r>
    </w:p>
    <w:p>
      <w:pPr>
        <w:pStyle w:val="BodyText"/>
        <w:spacing w:before="4"/>
        <w:ind w:left="389"/>
      </w:pPr>
      <w:hyperlink r:id="rId10">
        <w:r>
          <w:rPr/>
          <w:t>（http://ggzy.sqzwfw.gov.cn/</w:t>
        </w:r>
      </w:hyperlink>
      <w:r>
        <w:rPr/>
        <w:t>）首页“办事指南”中《政府采购投标指引》。</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64"/>
        <w:ind w:left="54" w:right="0" w:firstLine="0"/>
        <w:jc w:val="center"/>
        <w:rPr>
          <w:rFonts w:ascii="Calibri"/>
          <w:sz w:val="18"/>
        </w:rPr>
      </w:pPr>
      <w:r>
        <w:rPr>
          <w:rFonts w:ascii="Calibri"/>
          <w:sz w:val="18"/>
        </w:rPr>
        <w:t>3</w:t>
      </w:r>
    </w:p>
    <w:p>
      <w:pPr>
        <w:spacing w:after="0"/>
        <w:jc w:val="center"/>
        <w:rPr>
          <w:rFonts w:ascii="Calibri"/>
          <w:sz w:val="18"/>
        </w:rPr>
        <w:sectPr>
          <w:pgSz w:w="11910" w:h="16840"/>
          <w:pgMar w:top="1540" w:bottom="280" w:left="1200" w:right="1140"/>
        </w:sectPr>
      </w:pPr>
    </w:p>
    <w:p>
      <w:pPr>
        <w:pStyle w:val="Heading1"/>
        <w:tabs>
          <w:tab w:pos="4810" w:val="left" w:leader="none"/>
        </w:tabs>
      </w:pPr>
      <w:r>
        <w:rPr/>
        <w:drawing>
          <wp:anchor distT="0" distB="0" distL="0" distR="0" allowOverlap="1" layoutInCell="1" locked="0" behindDoc="1" simplePos="0" relativeHeight="268349567">
            <wp:simplePos x="0" y="0"/>
            <wp:positionH relativeFrom="page">
              <wp:posOffset>203309</wp:posOffset>
            </wp:positionH>
            <wp:positionV relativeFrom="page">
              <wp:posOffset>944714</wp:posOffset>
            </wp:positionV>
            <wp:extent cx="7115825" cy="9747669"/>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864" filled="true" fillcolor="#ffffff" stroked="false">
            <v:fill type="solid"/>
            <w10:wrap type="none"/>
          </v:rect>
        </w:pict>
      </w:r>
      <w:bookmarkStart w:name="_TOC_250033" w:id="3"/>
      <w:bookmarkStart w:name="第二部分  投标人须知" w:id="4"/>
      <w:r>
        <w:rPr>
          <w:b w:val="0"/>
        </w:rPr>
      </w:r>
      <w:bookmarkEnd w:id="3"/>
      <w:r>
        <w:rPr/>
        <w:t>第二部分</w:t>
        <w:tab/>
        <w:t>投标人须知</w:t>
      </w:r>
    </w:p>
    <w:p>
      <w:pPr>
        <w:pStyle w:val="Heading2"/>
        <w:spacing w:line="240" w:lineRule="auto" w:before="193"/>
      </w:pPr>
      <w:bookmarkStart w:name="_TOC_250032" w:id="5"/>
      <w:bookmarkStart w:name="投标人须知前附表：" w:id="6"/>
      <w:r>
        <w:rPr>
          <w:b w:val="0"/>
        </w:rPr>
      </w:r>
      <w:bookmarkEnd w:id="5"/>
      <w:r>
        <w:rPr/>
        <w:t>投标人须知前附表：</w:t>
      </w:r>
    </w:p>
    <w:p>
      <w:pPr>
        <w:pStyle w:val="BodyText"/>
        <w:spacing w:before="1"/>
        <w:rPr>
          <w:rFonts w:ascii="Microsoft JhengHei"/>
          <w:b/>
          <w:sz w:val="16"/>
        </w:rPr>
      </w:pP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2314"/>
        <w:gridCol w:w="5787"/>
      </w:tblGrid>
      <w:tr>
        <w:trPr>
          <w:trHeight w:val="726" w:hRule="atLeast"/>
        </w:trPr>
        <w:tc>
          <w:tcPr>
            <w:tcW w:w="960" w:type="dxa"/>
            <w:shd w:val="clear" w:color="auto" w:fill="FFFFFF"/>
          </w:tcPr>
          <w:p>
            <w:pPr>
              <w:pStyle w:val="TableParagraph"/>
              <w:spacing w:before="127"/>
              <w:ind w:left="219" w:right="210"/>
              <w:jc w:val="center"/>
              <w:rPr>
                <w:rFonts w:ascii="Microsoft JhengHei" w:eastAsia="Microsoft JhengHei" w:hint="eastAsia"/>
                <w:b/>
                <w:sz w:val="24"/>
              </w:rPr>
            </w:pPr>
            <w:r>
              <w:rPr>
                <w:rFonts w:ascii="Microsoft JhengHei" w:eastAsia="Microsoft JhengHei" w:hint="eastAsia"/>
                <w:b/>
                <w:sz w:val="24"/>
              </w:rPr>
              <w:t>序号</w:t>
            </w:r>
          </w:p>
        </w:tc>
        <w:tc>
          <w:tcPr>
            <w:tcW w:w="2314" w:type="dxa"/>
            <w:shd w:val="clear" w:color="auto" w:fill="FFFFFF"/>
          </w:tcPr>
          <w:p>
            <w:pPr>
              <w:pStyle w:val="TableParagraph"/>
              <w:spacing w:before="127"/>
              <w:ind w:left="174" w:right="165"/>
              <w:jc w:val="center"/>
              <w:rPr>
                <w:rFonts w:ascii="Microsoft JhengHei" w:eastAsia="Microsoft JhengHei" w:hint="eastAsia"/>
                <w:b/>
                <w:sz w:val="24"/>
              </w:rPr>
            </w:pPr>
            <w:r>
              <w:rPr>
                <w:rFonts w:ascii="Microsoft JhengHei" w:eastAsia="Microsoft JhengHei" w:hint="eastAsia"/>
                <w:b/>
                <w:sz w:val="24"/>
              </w:rPr>
              <w:t>内容</w:t>
            </w:r>
          </w:p>
        </w:tc>
        <w:tc>
          <w:tcPr>
            <w:tcW w:w="5787" w:type="dxa"/>
            <w:shd w:val="clear" w:color="auto" w:fill="FFFFFF"/>
          </w:tcPr>
          <w:p>
            <w:pPr>
              <w:pStyle w:val="TableParagraph"/>
              <w:spacing w:before="127"/>
              <w:ind w:left="2272" w:right="2265"/>
              <w:jc w:val="center"/>
              <w:rPr>
                <w:rFonts w:ascii="Microsoft JhengHei" w:eastAsia="Microsoft JhengHei" w:hint="eastAsia"/>
                <w:b/>
                <w:sz w:val="24"/>
              </w:rPr>
            </w:pPr>
            <w:r>
              <w:rPr>
                <w:rFonts w:ascii="Microsoft JhengHei" w:eastAsia="Microsoft JhengHei" w:hint="eastAsia"/>
                <w:b/>
                <w:sz w:val="24"/>
              </w:rPr>
              <w:t>说明及要求</w:t>
            </w:r>
          </w:p>
        </w:tc>
      </w:tr>
      <w:tr>
        <w:trPr>
          <w:trHeight w:val="719" w:hRule="atLeast"/>
        </w:trPr>
        <w:tc>
          <w:tcPr>
            <w:tcW w:w="960" w:type="dxa"/>
            <w:shd w:val="clear" w:color="auto" w:fill="FFFFFF"/>
          </w:tcPr>
          <w:p>
            <w:pPr>
              <w:pStyle w:val="TableParagraph"/>
              <w:spacing w:before="203"/>
              <w:ind w:left="9"/>
              <w:jc w:val="center"/>
              <w:rPr>
                <w:sz w:val="24"/>
              </w:rPr>
            </w:pPr>
            <w:r>
              <w:rPr>
                <w:sz w:val="24"/>
              </w:rPr>
              <w:t>1</w:t>
            </w:r>
          </w:p>
        </w:tc>
        <w:tc>
          <w:tcPr>
            <w:tcW w:w="2314" w:type="dxa"/>
            <w:shd w:val="clear" w:color="auto" w:fill="FFFFFF"/>
          </w:tcPr>
          <w:p>
            <w:pPr>
              <w:pStyle w:val="TableParagraph"/>
              <w:spacing w:before="203"/>
              <w:ind w:left="174" w:right="170"/>
              <w:jc w:val="center"/>
              <w:rPr>
                <w:sz w:val="24"/>
              </w:rPr>
            </w:pPr>
            <w:r>
              <w:rPr>
                <w:sz w:val="24"/>
              </w:rPr>
              <w:t>特别说明</w:t>
            </w:r>
          </w:p>
        </w:tc>
        <w:tc>
          <w:tcPr>
            <w:tcW w:w="5787" w:type="dxa"/>
            <w:shd w:val="clear" w:color="auto" w:fill="FFFFFF"/>
          </w:tcPr>
          <w:p>
            <w:pPr>
              <w:pStyle w:val="TableParagraph"/>
              <w:spacing w:line="360" w:lineRule="exact"/>
              <w:ind w:left="107" w:right="90"/>
              <w:rPr>
                <w:sz w:val="24"/>
              </w:rPr>
            </w:pPr>
            <w:r>
              <w:rPr>
                <w:sz w:val="24"/>
              </w:rPr>
              <w:t>本招标文件中“当地公共资源交易中心”是指：泗阳县公共资源交易中心</w:t>
            </w:r>
          </w:p>
        </w:tc>
      </w:tr>
      <w:tr>
        <w:trPr>
          <w:trHeight w:val="6840" w:hRule="atLeast"/>
        </w:trPr>
        <w:tc>
          <w:tcPr>
            <w:tcW w:w="960" w:type="dxa"/>
            <w:shd w:val="clear" w:color="auto" w:fill="FFFFFF"/>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33"/>
              </w:rPr>
            </w:pPr>
          </w:p>
          <w:p>
            <w:pPr>
              <w:pStyle w:val="TableParagraph"/>
              <w:ind w:left="9"/>
              <w:jc w:val="center"/>
              <w:rPr>
                <w:sz w:val="24"/>
              </w:rPr>
            </w:pPr>
            <w:r>
              <w:rPr>
                <w:sz w:val="24"/>
              </w:rPr>
              <w:t>2</w:t>
            </w:r>
          </w:p>
        </w:tc>
        <w:tc>
          <w:tcPr>
            <w:tcW w:w="2314" w:type="dxa"/>
            <w:shd w:val="clear" w:color="auto" w:fill="FFFFFF"/>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33"/>
              </w:rPr>
            </w:pPr>
          </w:p>
          <w:p>
            <w:pPr>
              <w:pStyle w:val="TableParagraph"/>
              <w:ind w:left="174" w:right="170"/>
              <w:jc w:val="center"/>
              <w:rPr>
                <w:sz w:val="24"/>
              </w:rPr>
            </w:pPr>
            <w:r>
              <w:rPr>
                <w:sz w:val="24"/>
              </w:rPr>
              <w:t>投标保证金</w:t>
            </w:r>
          </w:p>
        </w:tc>
        <w:tc>
          <w:tcPr>
            <w:tcW w:w="5787" w:type="dxa"/>
            <w:shd w:val="clear" w:color="auto" w:fill="FFFFFF"/>
          </w:tcPr>
          <w:p>
            <w:pPr>
              <w:pStyle w:val="TableParagraph"/>
              <w:spacing w:before="47"/>
              <w:ind w:left="107"/>
              <w:rPr>
                <w:sz w:val="24"/>
              </w:rPr>
            </w:pPr>
            <w:r>
              <w:rPr>
                <w:sz w:val="24"/>
              </w:rPr>
              <w:t>投标保证金的金额：6500 元</w:t>
            </w:r>
          </w:p>
          <w:p>
            <w:pPr>
              <w:pStyle w:val="TableParagraph"/>
              <w:spacing w:line="280" w:lineRule="auto" w:before="53"/>
              <w:ind w:left="107" w:right="91"/>
              <w:jc w:val="both"/>
              <w:rPr>
                <w:sz w:val="24"/>
              </w:rPr>
            </w:pPr>
            <w:r>
              <w:rPr>
                <w:sz w:val="24"/>
              </w:rPr>
              <w:t>投标保证金的形式：转帐支票（同城）电汇（异地） 网上银行支付等方式（现金除外）提交。投标保证金必须从投标人法人基本存款账户转到保证金专用账户。</w:t>
            </w:r>
          </w:p>
          <w:p>
            <w:pPr>
              <w:pStyle w:val="TableParagraph"/>
              <w:spacing w:before="1"/>
              <w:ind w:left="107"/>
              <w:rPr>
                <w:sz w:val="24"/>
              </w:rPr>
            </w:pPr>
            <w:r>
              <w:rPr>
                <w:sz w:val="24"/>
              </w:rPr>
              <w:t>户名：泗阳县招标投标服务中心</w:t>
            </w:r>
          </w:p>
          <w:p>
            <w:pPr>
              <w:pStyle w:val="TableParagraph"/>
              <w:spacing w:before="53"/>
              <w:ind w:left="107"/>
              <w:rPr>
                <w:sz w:val="24"/>
              </w:rPr>
            </w:pPr>
            <w:r>
              <w:rPr>
                <w:sz w:val="24"/>
              </w:rPr>
              <w:t>开户行：江苏银行股份有限公司泗阳支行</w:t>
            </w:r>
          </w:p>
          <w:p>
            <w:pPr>
              <w:pStyle w:val="TableParagraph"/>
              <w:spacing w:line="280" w:lineRule="auto" w:before="52"/>
              <w:ind w:left="107" w:right="-29"/>
              <w:rPr>
                <w:sz w:val="24"/>
              </w:rPr>
            </w:pPr>
            <w:r>
              <w:rPr>
                <w:spacing w:val="-9"/>
                <w:sz w:val="24"/>
              </w:rPr>
              <w:t>账号：由系统随机生成，各投标人的每个分包均不同， 请各投标人登录宿迁市公共资源电子交易平台投标人业务系统，点击“投标保证金账号获取”模块中对应已获取招标文件的分包查询、使用。</w:t>
            </w:r>
          </w:p>
          <w:p>
            <w:pPr>
              <w:pStyle w:val="TableParagraph"/>
              <w:spacing w:line="280" w:lineRule="auto" w:before="1"/>
              <w:ind w:left="107" w:right="24"/>
              <w:rPr>
                <w:sz w:val="24"/>
              </w:rPr>
            </w:pPr>
            <w:r>
              <w:rPr>
                <w:sz w:val="24"/>
              </w:rPr>
              <w:t>注：1、投标保证金缴纳、验证及退付，详见投标人须知第 14 条。</w:t>
            </w:r>
          </w:p>
          <w:p>
            <w:pPr>
              <w:pStyle w:val="TableParagraph"/>
              <w:spacing w:line="280" w:lineRule="auto" w:before="1"/>
              <w:ind w:left="107" w:right="91"/>
              <w:jc w:val="both"/>
              <w:rPr>
                <w:sz w:val="24"/>
              </w:rPr>
            </w:pPr>
            <w:r>
              <w:rPr>
                <w:sz w:val="24"/>
              </w:rPr>
              <w:t>2</w:t>
            </w:r>
            <w:r>
              <w:rPr>
                <w:spacing w:val="-9"/>
                <w:sz w:val="24"/>
              </w:rPr>
              <w:t>、投标人可选择使用政府采购年度投标保证金参与投标，并将年度保证金收据上传至投标文件或开标现场提供。</w:t>
            </w:r>
          </w:p>
          <w:p>
            <w:pPr>
              <w:pStyle w:val="TableParagraph"/>
              <w:spacing w:line="280" w:lineRule="auto" w:before="1"/>
              <w:ind w:left="107" w:right="22"/>
              <w:rPr>
                <w:sz w:val="24"/>
              </w:rPr>
            </w:pPr>
            <w:r>
              <w:rPr>
                <w:sz w:val="24"/>
              </w:rPr>
              <w:t>3、本条规定的投标保证金金额如超过投标人缴纳的政府采购年度保证金的，投标人应补缴差额部分。</w:t>
            </w:r>
          </w:p>
          <w:p>
            <w:pPr>
              <w:pStyle w:val="TableParagraph"/>
              <w:spacing w:line="292" w:lineRule="exact"/>
              <w:ind w:left="107"/>
              <w:rPr>
                <w:sz w:val="24"/>
              </w:rPr>
            </w:pPr>
            <w:r>
              <w:rPr>
                <w:sz w:val="24"/>
              </w:rPr>
              <w:t>4、投标保证金缴退查询电话：0527-85278007。</w:t>
            </w:r>
          </w:p>
        </w:tc>
      </w:tr>
      <w:tr>
        <w:trPr>
          <w:trHeight w:val="361" w:hRule="atLeast"/>
        </w:trPr>
        <w:tc>
          <w:tcPr>
            <w:tcW w:w="960" w:type="dxa"/>
            <w:shd w:val="clear" w:color="auto" w:fill="FFFFFF"/>
          </w:tcPr>
          <w:p>
            <w:pPr>
              <w:pStyle w:val="TableParagraph"/>
              <w:spacing w:before="26"/>
              <w:ind w:left="9"/>
              <w:jc w:val="center"/>
              <w:rPr>
                <w:sz w:val="24"/>
              </w:rPr>
            </w:pPr>
            <w:r>
              <w:rPr>
                <w:sz w:val="24"/>
              </w:rPr>
              <w:t>3</w:t>
            </w:r>
          </w:p>
        </w:tc>
        <w:tc>
          <w:tcPr>
            <w:tcW w:w="2314" w:type="dxa"/>
            <w:shd w:val="clear" w:color="auto" w:fill="FFFFFF"/>
          </w:tcPr>
          <w:p>
            <w:pPr>
              <w:pStyle w:val="TableParagraph"/>
              <w:spacing w:before="26"/>
              <w:ind w:left="174" w:right="170"/>
              <w:jc w:val="center"/>
              <w:rPr>
                <w:sz w:val="24"/>
              </w:rPr>
            </w:pPr>
            <w:r>
              <w:rPr>
                <w:sz w:val="24"/>
              </w:rPr>
              <w:t>投标有效期</w:t>
            </w:r>
          </w:p>
        </w:tc>
        <w:tc>
          <w:tcPr>
            <w:tcW w:w="5787" w:type="dxa"/>
            <w:shd w:val="clear" w:color="auto" w:fill="FFFFFF"/>
          </w:tcPr>
          <w:p>
            <w:pPr>
              <w:pStyle w:val="TableParagraph"/>
              <w:spacing w:line="292" w:lineRule="exact" w:before="50"/>
              <w:ind w:left="107"/>
              <w:rPr>
                <w:sz w:val="24"/>
              </w:rPr>
            </w:pPr>
            <w:r>
              <w:rPr>
                <w:sz w:val="24"/>
              </w:rPr>
              <w:t>60 日（从提交投标文件截止之日起算）</w:t>
            </w:r>
          </w:p>
        </w:tc>
      </w:tr>
      <w:tr>
        <w:trPr>
          <w:trHeight w:val="360" w:hRule="atLeast"/>
        </w:trPr>
        <w:tc>
          <w:tcPr>
            <w:tcW w:w="960" w:type="dxa"/>
            <w:shd w:val="clear" w:color="auto" w:fill="FFFFFF"/>
          </w:tcPr>
          <w:p>
            <w:pPr>
              <w:pStyle w:val="TableParagraph"/>
              <w:spacing w:before="24"/>
              <w:ind w:left="9"/>
              <w:jc w:val="center"/>
              <w:rPr>
                <w:sz w:val="24"/>
              </w:rPr>
            </w:pPr>
            <w:r>
              <w:rPr>
                <w:sz w:val="24"/>
              </w:rPr>
              <w:t>4</w:t>
            </w:r>
          </w:p>
        </w:tc>
        <w:tc>
          <w:tcPr>
            <w:tcW w:w="2314" w:type="dxa"/>
            <w:shd w:val="clear" w:color="auto" w:fill="FFFFFF"/>
          </w:tcPr>
          <w:p>
            <w:pPr>
              <w:pStyle w:val="TableParagraph"/>
              <w:spacing w:before="24"/>
              <w:ind w:left="174" w:right="170"/>
              <w:jc w:val="center"/>
              <w:rPr>
                <w:sz w:val="24"/>
              </w:rPr>
            </w:pPr>
            <w:r>
              <w:rPr>
                <w:sz w:val="24"/>
              </w:rPr>
              <w:t>投标文件份数</w:t>
            </w:r>
          </w:p>
        </w:tc>
        <w:tc>
          <w:tcPr>
            <w:tcW w:w="5787" w:type="dxa"/>
            <w:shd w:val="clear" w:color="auto" w:fill="FFFFFF"/>
          </w:tcPr>
          <w:p>
            <w:pPr>
              <w:pStyle w:val="TableParagraph"/>
              <w:spacing w:line="292" w:lineRule="exact" w:before="48"/>
              <w:ind w:left="107"/>
              <w:rPr>
                <w:sz w:val="24"/>
              </w:rPr>
            </w:pPr>
            <w:r>
              <w:rPr>
                <w:sz w:val="24"/>
              </w:rPr>
              <w:t>提交加密电子投标文件 1 份。</w:t>
            </w:r>
          </w:p>
        </w:tc>
      </w:tr>
      <w:tr>
        <w:trPr>
          <w:trHeight w:val="311" w:hRule="atLeast"/>
        </w:trPr>
        <w:tc>
          <w:tcPr>
            <w:tcW w:w="960" w:type="dxa"/>
            <w:shd w:val="clear" w:color="auto" w:fill="FFFFFF"/>
          </w:tcPr>
          <w:p>
            <w:pPr>
              <w:pStyle w:val="TableParagraph"/>
              <w:spacing w:line="292" w:lineRule="exact"/>
              <w:ind w:left="9"/>
              <w:jc w:val="center"/>
              <w:rPr>
                <w:sz w:val="24"/>
              </w:rPr>
            </w:pPr>
            <w:r>
              <w:rPr>
                <w:sz w:val="24"/>
              </w:rPr>
              <w:t>5</w:t>
            </w:r>
          </w:p>
        </w:tc>
        <w:tc>
          <w:tcPr>
            <w:tcW w:w="2314" w:type="dxa"/>
            <w:shd w:val="clear" w:color="auto" w:fill="FFFFFF"/>
          </w:tcPr>
          <w:p>
            <w:pPr>
              <w:pStyle w:val="TableParagraph"/>
              <w:spacing w:line="292" w:lineRule="exact"/>
              <w:ind w:left="174" w:right="170"/>
              <w:jc w:val="center"/>
              <w:rPr>
                <w:sz w:val="24"/>
              </w:rPr>
            </w:pPr>
            <w:r>
              <w:rPr>
                <w:sz w:val="24"/>
              </w:rPr>
              <w:t>网上投标文件解密</w:t>
            </w:r>
          </w:p>
        </w:tc>
        <w:tc>
          <w:tcPr>
            <w:tcW w:w="5787" w:type="dxa"/>
            <w:shd w:val="clear" w:color="auto" w:fill="FFFFFF"/>
          </w:tcPr>
          <w:p>
            <w:pPr>
              <w:pStyle w:val="TableParagraph"/>
              <w:spacing w:line="287" w:lineRule="exact" w:before="4"/>
              <w:ind w:left="107"/>
              <w:rPr>
                <w:sz w:val="24"/>
              </w:rPr>
            </w:pPr>
            <w:r>
              <w:rPr>
                <w:sz w:val="24"/>
              </w:rPr>
              <w:t>解密人员：招标人和投标人共同解密</w:t>
            </w:r>
          </w:p>
        </w:tc>
      </w:tr>
      <w:tr>
        <w:trPr>
          <w:trHeight w:val="1439" w:hRule="atLeast"/>
        </w:trPr>
        <w:tc>
          <w:tcPr>
            <w:tcW w:w="960" w:type="dxa"/>
            <w:shd w:val="clear" w:color="auto" w:fill="FFFFFF"/>
          </w:tcPr>
          <w:p>
            <w:pPr>
              <w:pStyle w:val="TableParagraph"/>
              <w:spacing w:before="12"/>
              <w:rPr>
                <w:rFonts w:ascii="Microsoft JhengHei"/>
                <w:b/>
                <w:sz w:val="30"/>
              </w:rPr>
            </w:pPr>
          </w:p>
          <w:p>
            <w:pPr>
              <w:pStyle w:val="TableParagraph"/>
              <w:ind w:left="9"/>
              <w:jc w:val="center"/>
              <w:rPr>
                <w:sz w:val="24"/>
              </w:rPr>
            </w:pPr>
            <w:r>
              <w:rPr>
                <w:sz w:val="24"/>
              </w:rPr>
              <w:t>6</w:t>
            </w:r>
          </w:p>
        </w:tc>
        <w:tc>
          <w:tcPr>
            <w:tcW w:w="2314" w:type="dxa"/>
            <w:shd w:val="clear" w:color="auto" w:fill="FFFFFF"/>
          </w:tcPr>
          <w:p>
            <w:pPr>
              <w:pStyle w:val="TableParagraph"/>
              <w:spacing w:before="12"/>
              <w:rPr>
                <w:rFonts w:ascii="Microsoft JhengHei"/>
                <w:b/>
                <w:sz w:val="30"/>
              </w:rPr>
            </w:pPr>
          </w:p>
          <w:p>
            <w:pPr>
              <w:pStyle w:val="TableParagraph"/>
              <w:ind w:left="174" w:right="170"/>
              <w:jc w:val="center"/>
              <w:rPr>
                <w:sz w:val="24"/>
              </w:rPr>
            </w:pPr>
            <w:r>
              <w:rPr>
                <w:sz w:val="24"/>
              </w:rPr>
              <w:t>评标办法</w:t>
            </w:r>
          </w:p>
        </w:tc>
        <w:tc>
          <w:tcPr>
            <w:tcW w:w="5787" w:type="dxa"/>
            <w:shd w:val="clear" w:color="auto" w:fill="FFFFFF"/>
          </w:tcPr>
          <w:p>
            <w:pPr>
              <w:pStyle w:val="TableParagraph"/>
              <w:spacing w:line="280" w:lineRule="auto" w:before="47"/>
              <w:ind w:left="107" w:right="1587" w:firstLine="120"/>
              <w:rPr>
                <w:sz w:val="24"/>
              </w:rPr>
            </w:pPr>
            <w:r>
              <w:rPr>
                <w:rFonts w:ascii="MS UI Gothic" w:hAnsi="MS UI Gothic" w:eastAsia="MS UI Gothic" w:hint="eastAsia"/>
                <w:sz w:val="24"/>
              </w:rPr>
              <w:t>☑ </w:t>
            </w:r>
            <w:r>
              <w:rPr>
                <w:sz w:val="24"/>
              </w:rPr>
              <w:t>最低评标价法； □ 综合评分法具体评标办法详见招标文件第三部分。</w:t>
            </w:r>
          </w:p>
          <w:p>
            <w:pPr>
              <w:pStyle w:val="TableParagraph"/>
              <w:spacing w:before="1"/>
              <w:ind w:left="107"/>
              <w:rPr>
                <w:sz w:val="24"/>
              </w:rPr>
            </w:pPr>
            <w:r>
              <w:rPr>
                <w:sz w:val="24"/>
              </w:rPr>
              <w:t>评标委员会按照招标文件规定评标办法和标准推荐</w:t>
            </w:r>
          </w:p>
          <w:p>
            <w:pPr>
              <w:pStyle w:val="TableParagraph"/>
              <w:spacing w:line="292" w:lineRule="exact" w:before="52"/>
              <w:ind w:left="107"/>
              <w:rPr>
                <w:sz w:val="24"/>
              </w:rPr>
            </w:pPr>
            <w:r>
              <w:rPr>
                <w:sz w:val="24"/>
              </w:rPr>
              <w:t>1-3 名中标候选人。</w:t>
            </w:r>
          </w:p>
        </w:tc>
      </w:tr>
      <w:tr>
        <w:trPr>
          <w:trHeight w:val="1079" w:hRule="atLeast"/>
        </w:trPr>
        <w:tc>
          <w:tcPr>
            <w:tcW w:w="960" w:type="dxa"/>
            <w:shd w:val="clear" w:color="auto" w:fill="FFFFFF"/>
          </w:tcPr>
          <w:p>
            <w:pPr>
              <w:pStyle w:val="TableParagraph"/>
              <w:spacing w:before="16"/>
              <w:rPr>
                <w:rFonts w:ascii="Microsoft JhengHei"/>
                <w:b/>
                <w:sz w:val="20"/>
              </w:rPr>
            </w:pPr>
          </w:p>
          <w:p>
            <w:pPr>
              <w:pStyle w:val="TableParagraph"/>
              <w:ind w:left="9"/>
              <w:jc w:val="center"/>
              <w:rPr>
                <w:sz w:val="24"/>
              </w:rPr>
            </w:pPr>
            <w:r>
              <w:rPr>
                <w:sz w:val="24"/>
              </w:rPr>
              <w:t>7</w:t>
            </w:r>
          </w:p>
        </w:tc>
        <w:tc>
          <w:tcPr>
            <w:tcW w:w="2314" w:type="dxa"/>
            <w:shd w:val="clear" w:color="auto" w:fill="FFFFFF"/>
          </w:tcPr>
          <w:p>
            <w:pPr>
              <w:pStyle w:val="TableParagraph"/>
              <w:spacing w:before="16"/>
              <w:rPr>
                <w:rFonts w:ascii="Microsoft JhengHei"/>
                <w:b/>
                <w:sz w:val="20"/>
              </w:rPr>
            </w:pPr>
          </w:p>
          <w:p>
            <w:pPr>
              <w:pStyle w:val="TableParagraph"/>
              <w:ind w:left="174" w:right="170"/>
              <w:jc w:val="center"/>
              <w:rPr>
                <w:sz w:val="24"/>
              </w:rPr>
            </w:pPr>
            <w:r>
              <w:rPr>
                <w:sz w:val="24"/>
              </w:rPr>
              <w:t>中标通知书领取</w:t>
            </w:r>
          </w:p>
        </w:tc>
        <w:tc>
          <w:tcPr>
            <w:tcW w:w="5787" w:type="dxa"/>
            <w:shd w:val="clear" w:color="auto" w:fill="FFFFFF"/>
          </w:tcPr>
          <w:p>
            <w:pPr>
              <w:pStyle w:val="TableParagraph"/>
              <w:spacing w:line="360" w:lineRule="exact"/>
              <w:ind w:left="107" w:right="91"/>
              <w:jc w:val="both"/>
              <w:rPr>
                <w:sz w:val="24"/>
              </w:rPr>
            </w:pPr>
            <w:r>
              <w:rPr>
                <w:spacing w:val="-2"/>
                <w:sz w:val="24"/>
              </w:rPr>
              <w:t>中标单位在领取中标通知书之前，应提供 </w:t>
            </w:r>
            <w:r>
              <w:rPr>
                <w:sz w:val="24"/>
              </w:rPr>
              <w:t>4</w:t>
            </w:r>
            <w:r>
              <w:rPr>
                <w:spacing w:val="-8"/>
                <w:sz w:val="24"/>
              </w:rPr>
              <w:t> 份与网上投标文件一致的纸质打印投标文件（含链接的所有扫描件</w:t>
            </w:r>
            <w:r>
              <w:rPr>
                <w:spacing w:val="-120"/>
                <w:sz w:val="24"/>
              </w:rPr>
              <w:t>）</w:t>
            </w:r>
            <w:r>
              <w:rPr>
                <w:sz w:val="24"/>
              </w:rPr>
              <w:t>。</w:t>
            </w:r>
          </w:p>
        </w:tc>
      </w:tr>
    </w:tbl>
    <w:p>
      <w:pPr>
        <w:pStyle w:val="BodyText"/>
        <w:spacing w:before="2"/>
        <w:rPr>
          <w:rFonts w:ascii="Microsoft JhengHei"/>
          <w:b/>
          <w:sz w:val="11"/>
        </w:rPr>
      </w:pPr>
    </w:p>
    <w:p>
      <w:pPr>
        <w:spacing w:before="64"/>
        <w:ind w:left="54" w:right="0" w:firstLine="0"/>
        <w:jc w:val="center"/>
        <w:rPr>
          <w:rFonts w:ascii="Calibri"/>
          <w:sz w:val="18"/>
        </w:rPr>
      </w:pPr>
      <w:r>
        <w:rPr>
          <w:rFonts w:ascii="Calibri"/>
          <w:sz w:val="18"/>
        </w:rPr>
        <w:t>4</w:t>
      </w:r>
    </w:p>
    <w:p>
      <w:pPr>
        <w:spacing w:after="0"/>
        <w:jc w:val="center"/>
        <w:rPr>
          <w:rFonts w:ascii="Calibri"/>
          <w:sz w:val="18"/>
        </w:rPr>
        <w:sectPr>
          <w:pgSz w:w="11910" w:h="16840"/>
          <w:pgMar w:top="1440" w:bottom="280" w:left="1200" w:right="1140"/>
        </w:sectPr>
      </w:pP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2314"/>
        <w:gridCol w:w="5787"/>
      </w:tblGrid>
      <w:tr>
        <w:trPr>
          <w:trHeight w:val="720" w:hRule="atLeast"/>
        </w:trPr>
        <w:tc>
          <w:tcPr>
            <w:tcW w:w="960" w:type="dxa"/>
            <w:shd w:val="clear" w:color="auto" w:fill="FFFFFF"/>
          </w:tcPr>
          <w:p>
            <w:pPr>
              <w:pStyle w:val="TableParagraph"/>
              <w:spacing w:before="204"/>
              <w:ind w:left="419"/>
              <w:rPr>
                <w:sz w:val="24"/>
              </w:rPr>
            </w:pPr>
            <w:r>
              <w:rPr>
                <w:sz w:val="24"/>
              </w:rPr>
              <w:t>8</w:t>
            </w:r>
          </w:p>
        </w:tc>
        <w:tc>
          <w:tcPr>
            <w:tcW w:w="2314" w:type="dxa"/>
            <w:shd w:val="clear" w:color="auto" w:fill="FFFFFF"/>
          </w:tcPr>
          <w:p>
            <w:pPr>
              <w:pStyle w:val="TableParagraph"/>
              <w:spacing w:before="204"/>
              <w:ind w:left="174" w:right="170"/>
              <w:jc w:val="center"/>
              <w:rPr>
                <w:sz w:val="24"/>
              </w:rPr>
            </w:pPr>
            <w:r>
              <w:rPr>
                <w:sz w:val="24"/>
              </w:rPr>
              <w:t>代理费收取</w:t>
            </w:r>
          </w:p>
        </w:tc>
        <w:tc>
          <w:tcPr>
            <w:tcW w:w="5787" w:type="dxa"/>
            <w:shd w:val="clear" w:color="auto" w:fill="FFFFFF"/>
          </w:tcPr>
          <w:p>
            <w:pPr>
              <w:pStyle w:val="TableParagraph"/>
              <w:spacing w:line="360" w:lineRule="exact"/>
              <w:ind w:left="107" w:right="22"/>
              <w:rPr>
                <w:sz w:val="24"/>
              </w:rPr>
            </w:pPr>
            <w:r>
              <w:rPr>
                <w:sz w:val="24"/>
              </w:rPr>
              <w:t>按照国家计委计价格（2002）1980 号文规定的标准下浮 20%收取招标代理费。</w:t>
            </w:r>
          </w:p>
        </w:tc>
      </w:tr>
      <w:tr>
        <w:trPr>
          <w:trHeight w:val="722" w:hRule="atLeast"/>
        </w:trPr>
        <w:tc>
          <w:tcPr>
            <w:tcW w:w="960" w:type="dxa"/>
            <w:shd w:val="clear" w:color="auto" w:fill="FFFFFF"/>
          </w:tcPr>
          <w:p>
            <w:pPr>
              <w:pStyle w:val="TableParagraph"/>
              <w:spacing w:before="204"/>
              <w:ind w:left="419"/>
              <w:rPr>
                <w:sz w:val="24"/>
              </w:rPr>
            </w:pPr>
            <w:r>
              <w:rPr>
                <w:sz w:val="24"/>
              </w:rPr>
              <w:t>9</w:t>
            </w:r>
          </w:p>
        </w:tc>
        <w:tc>
          <w:tcPr>
            <w:tcW w:w="2314" w:type="dxa"/>
            <w:shd w:val="clear" w:color="auto" w:fill="FFFFFF"/>
          </w:tcPr>
          <w:p>
            <w:pPr>
              <w:pStyle w:val="TableParagraph"/>
              <w:spacing w:before="204"/>
              <w:ind w:left="174" w:right="170"/>
              <w:jc w:val="center"/>
              <w:rPr>
                <w:sz w:val="24"/>
              </w:rPr>
            </w:pPr>
            <w:r>
              <w:rPr>
                <w:sz w:val="24"/>
              </w:rPr>
              <w:t>其他</w:t>
            </w:r>
          </w:p>
        </w:tc>
        <w:tc>
          <w:tcPr>
            <w:tcW w:w="5787" w:type="dxa"/>
            <w:shd w:val="clear" w:color="auto" w:fill="FFFFFF"/>
          </w:tcPr>
          <w:p>
            <w:pPr>
              <w:pStyle w:val="TableParagraph"/>
              <w:spacing w:line="360" w:lineRule="exact"/>
              <w:ind w:left="107" w:right="147"/>
              <w:rPr>
                <w:sz w:val="24"/>
              </w:rPr>
            </w:pPr>
            <w:r>
              <w:rPr>
                <w:sz w:val="24"/>
              </w:rPr>
              <w:t>凡投标文件中涉及法人代表（或法人代表委托人）电子签章的，电子印章和电子签名章均可！</w:t>
            </w:r>
          </w:p>
        </w:tc>
      </w:tr>
    </w:tbl>
    <w:p>
      <w:pPr>
        <w:pStyle w:val="BodyText"/>
        <w:rPr>
          <w:rFonts w:ascii="Calibri"/>
          <w:sz w:val="20"/>
        </w:rPr>
      </w:pPr>
      <w:r>
        <w:rPr/>
        <w:drawing>
          <wp:anchor distT="0" distB="0" distL="0" distR="0" allowOverlap="1" layoutInCell="1" locked="0" behindDoc="1" simplePos="0" relativeHeight="268349615">
            <wp:simplePos x="0" y="0"/>
            <wp:positionH relativeFrom="page">
              <wp:posOffset>203309</wp:posOffset>
            </wp:positionH>
            <wp:positionV relativeFrom="page">
              <wp:posOffset>944714</wp:posOffset>
            </wp:positionV>
            <wp:extent cx="7115825" cy="9747669"/>
            <wp:effectExtent l="0" t="0" r="0" b="0"/>
            <wp:wrapNone/>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816" filled="true" fillcolor="#ffffff" stroked="false">
            <v:fill type="solid"/>
            <w10:wrap type="none"/>
          </v:rect>
        </w:pict>
      </w:r>
    </w:p>
    <w:p>
      <w:pPr>
        <w:pStyle w:val="BodyText"/>
        <w:rPr>
          <w:rFonts w:ascii="Calibri"/>
          <w:sz w:val="20"/>
        </w:rPr>
      </w:pPr>
    </w:p>
    <w:p>
      <w:pPr>
        <w:pStyle w:val="BodyText"/>
        <w:rPr>
          <w:rFonts w:ascii="Calibri"/>
          <w:sz w:val="15"/>
        </w:rPr>
      </w:pPr>
    </w:p>
    <w:p>
      <w:pPr>
        <w:pStyle w:val="Heading2"/>
        <w:spacing w:line="538" w:lineRule="exact"/>
      </w:pPr>
      <w:bookmarkStart w:name="_TOC_250031" w:id="7"/>
      <w:bookmarkStart w:name="一、总 则" w:id="8"/>
      <w:r>
        <w:rPr>
          <w:b w:val="0"/>
        </w:rPr>
      </w:r>
      <w:bookmarkEnd w:id="7"/>
      <w:r>
        <w:rPr/>
        <w:t>一、总 则</w:t>
      </w:r>
    </w:p>
    <w:p>
      <w:pPr>
        <w:pStyle w:val="Heading8"/>
        <w:spacing w:before="118"/>
      </w:pPr>
      <w:r>
        <w:rPr/>
        <w:t>1、招标方式</w:t>
      </w:r>
    </w:p>
    <w:p>
      <w:pPr>
        <w:pStyle w:val="BodyText"/>
        <w:spacing w:before="139"/>
        <w:ind w:left="869"/>
      </w:pPr>
      <w:r>
        <w:rPr/>
        <w:t>本次招标采取公开招标方式。</w:t>
      </w:r>
    </w:p>
    <w:p>
      <w:pPr>
        <w:pStyle w:val="Heading8"/>
        <w:spacing w:before="113"/>
      </w:pPr>
      <w:r>
        <w:rPr/>
        <w:t>2、合格的投标人</w:t>
      </w:r>
    </w:p>
    <w:p>
      <w:pPr>
        <w:pStyle w:val="ListParagraph"/>
        <w:numPr>
          <w:ilvl w:val="1"/>
          <w:numId w:val="1"/>
        </w:numPr>
        <w:tabs>
          <w:tab w:pos="1357" w:val="left" w:leader="none"/>
        </w:tabs>
        <w:spacing w:line="391" w:lineRule="auto" w:before="137" w:after="0"/>
        <w:ind w:left="389" w:right="336" w:firstLine="480"/>
        <w:jc w:val="left"/>
        <w:rPr>
          <w:sz w:val="24"/>
        </w:rPr>
      </w:pPr>
      <w:r>
        <w:rPr>
          <w:spacing w:val="1"/>
          <w:sz w:val="24"/>
        </w:rPr>
        <w:t>合格的投标人必须是有能力按照本招标文件规定的要求提供设备和相关服务，且具有独立承担民事等法律责任的法人或其它经济组织。</w:t>
      </w:r>
    </w:p>
    <w:p>
      <w:pPr>
        <w:pStyle w:val="ListParagraph"/>
        <w:numPr>
          <w:ilvl w:val="1"/>
          <w:numId w:val="1"/>
        </w:numPr>
        <w:tabs>
          <w:tab w:pos="1314" w:val="left" w:leader="none"/>
        </w:tabs>
        <w:spacing w:line="388" w:lineRule="auto" w:before="0" w:after="0"/>
        <w:ind w:left="389" w:right="329" w:firstLine="480"/>
        <w:jc w:val="left"/>
        <w:rPr>
          <w:sz w:val="24"/>
        </w:rPr>
      </w:pPr>
      <w:r>
        <w:rPr>
          <w:sz w:val="24"/>
        </w:rPr>
        <w:t>合格的投标人必须符合招标文件第一部分《投标邀请函》第二条及须知前附表相关规定，且具备独立完成本项目的能力，中标后不允许分包、转包。</w:t>
      </w:r>
    </w:p>
    <w:p>
      <w:pPr>
        <w:pStyle w:val="ListParagraph"/>
        <w:numPr>
          <w:ilvl w:val="1"/>
          <w:numId w:val="1"/>
        </w:numPr>
        <w:tabs>
          <w:tab w:pos="1290" w:val="left" w:leader="none"/>
        </w:tabs>
        <w:spacing w:line="240" w:lineRule="auto" w:before="3" w:after="0"/>
        <w:ind w:left="1289" w:right="0" w:hanging="420"/>
        <w:jc w:val="left"/>
        <w:rPr>
          <w:sz w:val="24"/>
        </w:rPr>
      </w:pPr>
      <w:r>
        <w:rPr>
          <w:spacing w:val="-12"/>
          <w:sz w:val="24"/>
        </w:rPr>
        <w:t>合格的投标人应遵守中华人民共和国《政府采购法》</w:t>
      </w:r>
      <w:r>
        <w:rPr>
          <w:spacing w:val="-30"/>
          <w:sz w:val="24"/>
        </w:rPr>
        <w:t>、《政府采购法实施条例》、</w:t>
      </w:r>
    </w:p>
    <w:p>
      <w:pPr>
        <w:pStyle w:val="BodyText"/>
        <w:spacing w:before="192"/>
        <w:ind w:left="389"/>
      </w:pPr>
      <w:r>
        <w:rPr/>
        <w:t>《招标投标法》、《合同法》和《反不正当竞争法》等有关法律、法规。</w:t>
      </w:r>
    </w:p>
    <w:p>
      <w:pPr>
        <w:pStyle w:val="Heading8"/>
        <w:spacing w:before="113"/>
      </w:pPr>
      <w:r>
        <w:rPr/>
        <w:t>3、适用法律</w:t>
      </w:r>
    </w:p>
    <w:p>
      <w:pPr>
        <w:pStyle w:val="BodyText"/>
        <w:spacing w:line="388" w:lineRule="auto" w:before="139"/>
        <w:ind w:left="389" w:right="276" w:firstLine="479"/>
      </w:pPr>
      <w:r>
        <w:rPr/>
        <w:t>本次招标及由本次招标产生的合同受中华人民共和国的相关法律、法规制约和保护。</w:t>
      </w:r>
    </w:p>
    <w:p>
      <w:pPr>
        <w:pStyle w:val="Heading8"/>
        <w:spacing w:line="364" w:lineRule="exact"/>
      </w:pPr>
      <w:r>
        <w:rPr/>
        <w:t>4、投标费用</w:t>
      </w:r>
    </w:p>
    <w:p>
      <w:pPr>
        <w:pStyle w:val="BodyText"/>
        <w:spacing w:before="140"/>
        <w:ind w:left="869"/>
      </w:pPr>
      <w:r>
        <w:rPr/>
        <w:t>投标人应自行承担所有参加投标有关的费用。</w:t>
      </w:r>
    </w:p>
    <w:p>
      <w:pPr>
        <w:pStyle w:val="Heading8"/>
        <w:spacing w:before="112"/>
      </w:pPr>
      <w:r>
        <w:rPr/>
        <w:t>5、招标文件的约束力</w:t>
      </w:r>
    </w:p>
    <w:p>
      <w:pPr>
        <w:pStyle w:val="BodyText"/>
        <w:spacing w:before="137"/>
        <w:ind w:left="869"/>
      </w:pPr>
      <w:r>
        <w:rPr/>
        <w:t>投标人一旦参加本项目投标，即被认为接受了本招标文件的所有条件和规定。</w:t>
      </w:r>
    </w:p>
    <w:p>
      <w:pPr>
        <w:pStyle w:val="Heading8"/>
        <w:spacing w:before="116"/>
      </w:pPr>
      <w:r>
        <w:rPr/>
        <w:t>6、相同品牌产品投标</w:t>
      </w:r>
    </w:p>
    <w:p>
      <w:pPr>
        <w:pStyle w:val="ListParagraph"/>
        <w:numPr>
          <w:ilvl w:val="1"/>
          <w:numId w:val="2"/>
        </w:numPr>
        <w:tabs>
          <w:tab w:pos="1232" w:val="left" w:leader="none"/>
        </w:tabs>
        <w:spacing w:line="391" w:lineRule="auto" w:before="137" w:after="0"/>
        <w:ind w:left="389" w:right="327" w:firstLine="480"/>
        <w:jc w:val="both"/>
        <w:rPr>
          <w:sz w:val="24"/>
        </w:rPr>
      </w:pPr>
      <w:r>
        <w:rPr>
          <w:sz w:val="24"/>
        </w:rPr>
        <w:t>、采用最低评标价法的采购项目，提供相同品牌产品的不同投标人参加同一</w:t>
      </w:r>
      <w:r>
        <w:rPr>
          <w:spacing w:val="-4"/>
          <w:sz w:val="24"/>
        </w:rPr>
        <w:t>合同项下投标的，以其中通过资格审查、符合性审查且报价最低的参加评标；报价相同的，由采购人采取随机抽取方式确定，其他投标无效。</w:t>
      </w:r>
    </w:p>
    <w:p>
      <w:pPr>
        <w:pStyle w:val="ListParagraph"/>
        <w:numPr>
          <w:ilvl w:val="1"/>
          <w:numId w:val="2"/>
        </w:numPr>
        <w:tabs>
          <w:tab w:pos="1232" w:val="left" w:leader="none"/>
        </w:tabs>
        <w:spacing w:line="388" w:lineRule="auto" w:before="0" w:after="0"/>
        <w:ind w:left="389" w:right="327" w:firstLine="480"/>
        <w:jc w:val="left"/>
        <w:rPr>
          <w:sz w:val="24"/>
        </w:rPr>
      </w:pPr>
      <w:r>
        <w:rPr>
          <w:sz w:val="24"/>
        </w:rPr>
        <w:t>、使用综合评分法的采购项目，提供相同品牌产品且通过资格审查、符合性</w:t>
      </w:r>
      <w:r>
        <w:rPr>
          <w:spacing w:val="-2"/>
          <w:sz w:val="24"/>
        </w:rPr>
        <w:t>审查的不同投标人参加同一合同项下投标的，按一家投标人计算，评审后得分最高的</w:t>
      </w:r>
    </w:p>
    <w:p>
      <w:pPr>
        <w:spacing w:before="87"/>
        <w:ind w:left="54" w:right="0" w:firstLine="0"/>
        <w:jc w:val="center"/>
        <w:rPr>
          <w:rFonts w:ascii="Calibri"/>
          <w:sz w:val="18"/>
        </w:rPr>
      </w:pPr>
      <w:r>
        <w:rPr>
          <w:rFonts w:ascii="Calibri"/>
          <w:sz w:val="18"/>
        </w:rPr>
        <w:t>5</w:t>
      </w:r>
    </w:p>
    <w:p>
      <w:pPr>
        <w:spacing w:after="0"/>
        <w:jc w:val="center"/>
        <w:rPr>
          <w:rFonts w:ascii="Calibri"/>
          <w:sz w:val="18"/>
        </w:rPr>
        <w:sectPr>
          <w:pgSz w:w="11910" w:h="16840"/>
          <w:pgMar w:top="1420" w:bottom="280" w:left="1200" w:right="1140"/>
        </w:sectPr>
      </w:pPr>
    </w:p>
    <w:p>
      <w:pPr>
        <w:pStyle w:val="BodyText"/>
        <w:spacing w:line="391" w:lineRule="auto" w:before="43"/>
        <w:ind w:left="389" w:right="328"/>
        <w:jc w:val="both"/>
      </w:pPr>
      <w:r>
        <w:rPr/>
        <w:drawing>
          <wp:anchor distT="0" distB="0" distL="0" distR="0" allowOverlap="1" layoutInCell="1" locked="0" behindDoc="1" simplePos="0" relativeHeight="268349663">
            <wp:simplePos x="0" y="0"/>
            <wp:positionH relativeFrom="page">
              <wp:posOffset>203309</wp:posOffset>
            </wp:positionH>
            <wp:positionV relativeFrom="page">
              <wp:posOffset>944714</wp:posOffset>
            </wp:positionV>
            <wp:extent cx="7115825" cy="9747669"/>
            <wp:effectExtent l="0" t="0" r="0" b="0"/>
            <wp:wrapNone/>
            <wp:docPr id="21" name="image2.jpeg" descr=""/>
            <wp:cNvGraphicFramePr>
              <a:graphicFrameLocks noChangeAspect="1"/>
            </wp:cNvGraphicFramePr>
            <a:graphic>
              <a:graphicData uri="http://schemas.openxmlformats.org/drawingml/2006/picture">
                <pic:pic>
                  <pic:nvPicPr>
                    <pic:cNvPr id="2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768" filled="true" fillcolor="#ffffff" stroked="false">
            <v:fill type="solid"/>
            <w10:wrap type="none"/>
          </v:rect>
        </w:pict>
      </w:r>
      <w:r>
        <w:rPr>
          <w:spacing w:val="-3"/>
        </w:rPr>
        <w:t>同品牌投标人获得中标人推荐资格；评审得分相同的，报价最低的投标人获得中标人</w:t>
      </w:r>
      <w:r>
        <w:rPr>
          <w:spacing w:val="-7"/>
        </w:rPr>
        <w:t>推荐资格。得分且报价相同的，由采购人采取随机抽取方式确定，其他同品牌投标人不作为中标候选人。</w:t>
      </w:r>
    </w:p>
    <w:p>
      <w:pPr>
        <w:pStyle w:val="ListParagraph"/>
        <w:numPr>
          <w:ilvl w:val="1"/>
          <w:numId w:val="2"/>
        </w:numPr>
        <w:tabs>
          <w:tab w:pos="1232" w:val="left" w:leader="none"/>
        </w:tabs>
        <w:spacing w:line="388" w:lineRule="auto" w:before="0" w:after="0"/>
        <w:ind w:left="389" w:right="327" w:firstLine="480"/>
        <w:jc w:val="left"/>
        <w:rPr>
          <w:sz w:val="24"/>
        </w:rPr>
      </w:pPr>
      <w:r>
        <w:rPr>
          <w:sz w:val="24"/>
        </w:rPr>
        <w:t>、非单一产品采购项目，采购人确定核心产品，并在招标文件中载明。多家投标人提供的核心产品品牌全部相同的，按前两款规定处理。</w:t>
      </w:r>
    </w:p>
    <w:p>
      <w:pPr>
        <w:pStyle w:val="BodyText"/>
      </w:pPr>
    </w:p>
    <w:p>
      <w:pPr>
        <w:pStyle w:val="Heading2"/>
        <w:spacing w:line="240" w:lineRule="auto" w:before="155"/>
      </w:pPr>
      <w:bookmarkStart w:name="_TOC_250030" w:id="9"/>
      <w:bookmarkStart w:name="二、招标文件" w:id="10"/>
      <w:r>
        <w:rPr>
          <w:b w:val="0"/>
        </w:rPr>
      </w:r>
      <w:bookmarkEnd w:id="9"/>
      <w:r>
        <w:rPr/>
        <w:t>二、招标文件</w:t>
      </w:r>
    </w:p>
    <w:p>
      <w:pPr>
        <w:pStyle w:val="Heading8"/>
        <w:spacing w:before="119"/>
      </w:pPr>
      <w:r>
        <w:rPr/>
        <w:t>7、招标文件构成</w:t>
      </w:r>
    </w:p>
    <w:p>
      <w:pPr>
        <w:pStyle w:val="BodyText"/>
        <w:spacing w:line="388" w:lineRule="auto" w:before="137"/>
        <w:ind w:left="869" w:right="6055"/>
      </w:pPr>
      <w:r>
        <w:rPr/>
        <w:t>第一部分：投标邀请函； 第二部分：投标人须知；</w:t>
      </w:r>
    </w:p>
    <w:p>
      <w:pPr>
        <w:pStyle w:val="BodyText"/>
        <w:spacing w:line="388" w:lineRule="auto" w:before="4"/>
        <w:ind w:left="869" w:right="5094"/>
      </w:pPr>
      <w:r>
        <w:rPr/>
        <w:t>第三部分：资格审查及评分办法； 第四部分：采购需求；</w:t>
      </w:r>
    </w:p>
    <w:p>
      <w:pPr>
        <w:pStyle w:val="BodyText"/>
        <w:spacing w:line="391" w:lineRule="auto" w:before="2"/>
        <w:ind w:left="869" w:right="5574"/>
      </w:pPr>
      <w:r>
        <w:rPr/>
        <w:t>第五部分：合同格式及条款； 第六部分：投标文件格式。</w:t>
      </w:r>
    </w:p>
    <w:p>
      <w:pPr>
        <w:pStyle w:val="Heading8"/>
        <w:spacing w:line="361" w:lineRule="exact"/>
      </w:pPr>
      <w:r>
        <w:rPr/>
        <w:t>8、招标文件的澄清</w:t>
      </w:r>
    </w:p>
    <w:p>
      <w:pPr>
        <w:pStyle w:val="BodyText"/>
        <w:spacing w:line="391" w:lineRule="auto" w:before="138"/>
        <w:ind w:left="389" w:right="275" w:firstLine="479"/>
      </w:pPr>
      <w:r>
        <w:rPr/>
        <w:t>任何要求对招标文件澄清的投标人，均应在招标文件提供截止时间之前提出，采购代理机构对规定时间内收到的澄清要求予以答复，答复不包括问题的来源。</w:t>
      </w:r>
    </w:p>
    <w:p>
      <w:pPr>
        <w:pStyle w:val="Heading8"/>
        <w:spacing w:line="360" w:lineRule="exact"/>
      </w:pPr>
      <w:r>
        <w:rPr/>
        <w:t>9、招标文件的修改</w:t>
      </w:r>
    </w:p>
    <w:p>
      <w:pPr>
        <w:pStyle w:val="ListParagraph"/>
        <w:numPr>
          <w:ilvl w:val="1"/>
          <w:numId w:val="3"/>
        </w:numPr>
        <w:tabs>
          <w:tab w:pos="1290" w:val="left" w:leader="none"/>
        </w:tabs>
        <w:spacing w:line="391" w:lineRule="auto" w:before="137" w:after="0"/>
        <w:ind w:left="389" w:right="330" w:firstLine="480"/>
        <w:jc w:val="left"/>
        <w:rPr>
          <w:sz w:val="24"/>
        </w:rPr>
      </w:pPr>
      <w:r>
        <w:rPr>
          <w:spacing w:val="-5"/>
          <w:sz w:val="24"/>
        </w:rPr>
        <w:t>在投标文件接收截止日期 </w:t>
      </w:r>
      <w:r>
        <w:rPr>
          <w:sz w:val="24"/>
        </w:rPr>
        <w:t>15</w:t>
      </w:r>
      <w:r>
        <w:rPr>
          <w:spacing w:val="-14"/>
          <w:sz w:val="24"/>
        </w:rPr>
        <w:t> 日前，采购代理机构可以更正公告或补充文件的形式对招标文件进行修改。</w:t>
      </w:r>
    </w:p>
    <w:p>
      <w:pPr>
        <w:pStyle w:val="ListParagraph"/>
        <w:numPr>
          <w:ilvl w:val="1"/>
          <w:numId w:val="3"/>
        </w:numPr>
        <w:tabs>
          <w:tab w:pos="1314" w:val="left" w:leader="none"/>
        </w:tabs>
        <w:spacing w:line="391" w:lineRule="auto" w:before="0" w:after="0"/>
        <w:ind w:left="389" w:right="330" w:firstLine="480"/>
        <w:jc w:val="both"/>
        <w:rPr>
          <w:sz w:val="24"/>
        </w:rPr>
      </w:pPr>
      <w:r>
        <w:rPr>
          <w:sz w:val="24"/>
        </w:rPr>
        <w:t>招标文件的修改将以通过电子交易平台通知所有已获取招标文件的投标人， </w:t>
      </w:r>
      <w:r>
        <w:rPr>
          <w:spacing w:val="-6"/>
          <w:sz w:val="24"/>
        </w:rPr>
        <w:t>并对投标人具有约束力。投标人收到修改文件后，应于 </w:t>
      </w:r>
      <w:r>
        <w:rPr>
          <w:sz w:val="24"/>
        </w:rPr>
        <w:t>1</w:t>
      </w:r>
      <w:r>
        <w:rPr>
          <w:spacing w:val="-9"/>
          <w:sz w:val="24"/>
        </w:rPr>
        <w:t> 个工作日内予以确认，逾期未确认的，视同已收。</w:t>
      </w:r>
    </w:p>
    <w:p>
      <w:pPr>
        <w:pStyle w:val="ListParagraph"/>
        <w:numPr>
          <w:ilvl w:val="1"/>
          <w:numId w:val="3"/>
        </w:numPr>
        <w:tabs>
          <w:tab w:pos="1314" w:val="left" w:leader="none"/>
        </w:tabs>
        <w:spacing w:line="388" w:lineRule="auto" w:before="0" w:after="0"/>
        <w:ind w:left="389" w:right="331" w:firstLine="480"/>
        <w:jc w:val="left"/>
        <w:rPr>
          <w:sz w:val="24"/>
        </w:rPr>
      </w:pPr>
      <w:r>
        <w:rPr>
          <w:sz w:val="24"/>
        </w:rPr>
        <w:t>投标人应及时登录电子交易平台获取澄清答疑文件（修改后招标文件），如因投标人原因未能及时下载澄清和修改，由此造成的相关责任，由投标人承担。</w:t>
      </w:r>
    </w:p>
    <w:p>
      <w:pPr>
        <w:pStyle w:val="ListParagraph"/>
        <w:numPr>
          <w:ilvl w:val="1"/>
          <w:numId w:val="3"/>
        </w:numPr>
        <w:tabs>
          <w:tab w:pos="1314" w:val="left" w:leader="none"/>
        </w:tabs>
        <w:spacing w:line="388" w:lineRule="auto" w:before="0" w:after="0"/>
        <w:ind w:left="389" w:right="331" w:firstLine="480"/>
        <w:jc w:val="left"/>
        <w:rPr>
          <w:sz w:val="24"/>
        </w:rPr>
      </w:pPr>
      <w:r>
        <w:rPr>
          <w:sz w:val="24"/>
        </w:rPr>
        <w:t>为使投标人有充分的时间对招标文件的修改部分进行分析、研究，采购代理</w:t>
      </w:r>
      <w:r>
        <w:rPr>
          <w:spacing w:val="-2"/>
          <w:sz w:val="24"/>
        </w:rPr>
        <w:t>机构有权推迟投标文件接收截止日期和开标日期，并将此变更通知所有已获取招标文</w:t>
      </w:r>
    </w:p>
    <w:p>
      <w:pPr>
        <w:spacing w:before="59"/>
        <w:ind w:left="54" w:right="0" w:firstLine="0"/>
        <w:jc w:val="center"/>
        <w:rPr>
          <w:rFonts w:ascii="Calibri"/>
          <w:sz w:val="18"/>
        </w:rPr>
      </w:pPr>
      <w:r>
        <w:rPr>
          <w:rFonts w:ascii="Calibri"/>
          <w:sz w:val="18"/>
        </w:rPr>
        <w:t>6</w:t>
      </w:r>
    </w:p>
    <w:p>
      <w:pPr>
        <w:spacing w:after="0"/>
        <w:jc w:val="center"/>
        <w:rPr>
          <w:rFonts w:ascii="Calibri"/>
          <w:sz w:val="18"/>
        </w:rPr>
        <w:sectPr>
          <w:pgSz w:w="11910" w:h="16840"/>
          <w:pgMar w:top="1540" w:bottom="280" w:left="1200" w:right="1140"/>
        </w:sectPr>
      </w:pPr>
    </w:p>
    <w:p>
      <w:pPr>
        <w:pStyle w:val="BodyText"/>
        <w:spacing w:before="43"/>
        <w:ind w:left="389"/>
      </w:pPr>
      <w:r>
        <w:rPr/>
        <w:drawing>
          <wp:anchor distT="0" distB="0" distL="0" distR="0" allowOverlap="1" layoutInCell="1" locked="0" behindDoc="1" simplePos="0" relativeHeight="268349711">
            <wp:simplePos x="0" y="0"/>
            <wp:positionH relativeFrom="page">
              <wp:posOffset>203309</wp:posOffset>
            </wp:positionH>
            <wp:positionV relativeFrom="page">
              <wp:posOffset>944714</wp:posOffset>
            </wp:positionV>
            <wp:extent cx="7115825" cy="9747669"/>
            <wp:effectExtent l="0" t="0" r="0" b="0"/>
            <wp:wrapNone/>
            <wp:docPr id="23" name="image2.jpeg" descr=""/>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720" filled="true" fillcolor="#ffffff" stroked="false">
            <v:fill type="solid"/>
            <w10:wrap type="none"/>
          </v:rect>
        </w:pict>
      </w:r>
      <w:r>
        <w:rPr/>
        <w:t>件的投标人。</w:t>
      </w:r>
    </w:p>
    <w:p>
      <w:pPr>
        <w:pStyle w:val="ListParagraph"/>
        <w:numPr>
          <w:ilvl w:val="1"/>
          <w:numId w:val="3"/>
        </w:numPr>
        <w:tabs>
          <w:tab w:pos="1290" w:val="left" w:leader="none"/>
        </w:tabs>
        <w:spacing w:line="391" w:lineRule="auto" w:before="191" w:after="0"/>
        <w:ind w:left="389" w:right="211" w:firstLine="480"/>
        <w:jc w:val="left"/>
        <w:rPr>
          <w:sz w:val="24"/>
        </w:rPr>
      </w:pPr>
      <w:r>
        <w:rPr>
          <w:spacing w:val="-7"/>
          <w:sz w:val="24"/>
        </w:rPr>
        <w:t>采购代理机构发出的所有补充、修改和变更文件均作为招标文件的组成部分， 与招标文件具有同等法律效力。</w:t>
      </w:r>
    </w:p>
    <w:p>
      <w:pPr>
        <w:pStyle w:val="BodyText"/>
        <w:spacing w:before="12"/>
        <w:rPr>
          <w:sz w:val="35"/>
        </w:rPr>
      </w:pPr>
    </w:p>
    <w:p>
      <w:pPr>
        <w:pStyle w:val="Heading2"/>
        <w:spacing w:line="240" w:lineRule="auto"/>
      </w:pPr>
      <w:bookmarkStart w:name="_TOC_250029" w:id="11"/>
      <w:bookmarkStart w:name="三、投标文件的编制" w:id="12"/>
      <w:r>
        <w:rPr>
          <w:b w:val="0"/>
        </w:rPr>
      </w:r>
      <w:bookmarkEnd w:id="11"/>
      <w:r>
        <w:rPr/>
        <w:t>三、投标文件的编制</w:t>
      </w:r>
    </w:p>
    <w:p>
      <w:pPr>
        <w:pStyle w:val="Heading8"/>
        <w:spacing w:before="118"/>
      </w:pPr>
      <w:r>
        <w:rPr/>
        <w:t>10、投标文件的编制要求</w:t>
      </w:r>
    </w:p>
    <w:p>
      <w:pPr>
        <w:pStyle w:val="ListParagraph"/>
        <w:numPr>
          <w:ilvl w:val="1"/>
          <w:numId w:val="4"/>
        </w:numPr>
        <w:tabs>
          <w:tab w:pos="1410" w:val="left" w:leader="none"/>
        </w:tabs>
        <w:spacing w:line="391" w:lineRule="auto" w:before="138" w:after="0"/>
        <w:ind w:left="389" w:right="295" w:firstLine="480"/>
        <w:jc w:val="both"/>
        <w:rPr>
          <w:sz w:val="24"/>
        </w:rPr>
      </w:pPr>
      <w:r>
        <w:rPr>
          <w:spacing w:val="-8"/>
          <w:sz w:val="24"/>
        </w:rPr>
        <w:t>投标人应仔细阅读“招标文件”的所有内容，按“招标文件”第六部分“投</w:t>
      </w:r>
      <w:r>
        <w:rPr>
          <w:spacing w:val="-6"/>
          <w:sz w:val="24"/>
        </w:rPr>
        <w:t>标文件格式”编制“电子投标文件”，如有必要，可以增加附页，作为投标文件的组</w:t>
      </w:r>
      <w:r>
        <w:rPr>
          <w:sz w:val="24"/>
        </w:rPr>
        <w:t>成部分。本次招标不接受纸质投标文件。投标人须保证所提供的全部资料的真实性、完整性及有效性，以使其投标对“招标文件”作出实质性响应。否则，可能被拒绝。</w:t>
      </w:r>
    </w:p>
    <w:p>
      <w:pPr>
        <w:pStyle w:val="ListParagraph"/>
        <w:numPr>
          <w:ilvl w:val="1"/>
          <w:numId w:val="4"/>
        </w:numPr>
        <w:tabs>
          <w:tab w:pos="1410" w:val="left" w:leader="none"/>
        </w:tabs>
        <w:spacing w:line="388" w:lineRule="auto" w:before="0" w:after="0"/>
        <w:ind w:left="389" w:right="328" w:firstLine="480"/>
        <w:jc w:val="left"/>
        <w:rPr>
          <w:sz w:val="24"/>
        </w:rPr>
      </w:pPr>
      <w:r>
        <w:rPr>
          <w:spacing w:val="-5"/>
          <w:sz w:val="24"/>
        </w:rPr>
        <w:t>投标文件应当对招标文件有关交货期、投标有效期、质量要求、技术标准和要求、招标范围等实质性内容作出响应。</w:t>
      </w:r>
    </w:p>
    <w:p>
      <w:pPr>
        <w:pStyle w:val="ListParagraph"/>
        <w:numPr>
          <w:ilvl w:val="1"/>
          <w:numId w:val="4"/>
        </w:numPr>
        <w:tabs>
          <w:tab w:pos="1472" w:val="left" w:leader="none"/>
        </w:tabs>
        <w:spacing w:line="391" w:lineRule="auto" w:before="0" w:after="0"/>
        <w:ind w:left="389" w:right="338" w:firstLine="480"/>
        <w:jc w:val="left"/>
        <w:rPr>
          <w:sz w:val="24"/>
        </w:rPr>
      </w:pPr>
      <w:r>
        <w:rPr>
          <w:sz w:val="24"/>
        </w:rPr>
        <w:t>中标后按投标须知前附表中相关要求提供与电子投标文件一致的纸质打印投标文件。</w:t>
      </w:r>
    </w:p>
    <w:p>
      <w:pPr>
        <w:pStyle w:val="ListParagraph"/>
        <w:numPr>
          <w:ilvl w:val="1"/>
          <w:numId w:val="4"/>
        </w:numPr>
        <w:tabs>
          <w:tab w:pos="1410" w:val="left" w:leader="none"/>
        </w:tabs>
        <w:spacing w:line="306" w:lineRule="exact" w:before="0" w:after="0"/>
        <w:ind w:left="389" w:right="0" w:firstLine="480"/>
        <w:jc w:val="left"/>
        <w:rPr>
          <w:sz w:val="24"/>
        </w:rPr>
      </w:pPr>
      <w:r>
        <w:rPr>
          <w:sz w:val="24"/>
        </w:rPr>
        <w:t>投标文件须加盖电子签章的，应按要求加盖投标人数字证书的电子印章。</w:t>
      </w:r>
    </w:p>
    <w:p>
      <w:pPr>
        <w:pStyle w:val="ListParagraph"/>
        <w:numPr>
          <w:ilvl w:val="1"/>
          <w:numId w:val="4"/>
        </w:numPr>
        <w:tabs>
          <w:tab w:pos="1472" w:val="left" w:leader="none"/>
        </w:tabs>
        <w:spacing w:line="391" w:lineRule="auto" w:before="191" w:after="0"/>
        <w:ind w:left="389" w:right="338" w:firstLine="480"/>
        <w:jc w:val="left"/>
        <w:rPr>
          <w:sz w:val="24"/>
        </w:rPr>
      </w:pPr>
      <w:r>
        <w:rPr>
          <w:sz w:val="24"/>
        </w:rPr>
        <w:t>电子投标文件的制作软件由投标人从电子交易平台投标人业务系统下载中心下载，并更新至最新版本。</w:t>
      </w:r>
    </w:p>
    <w:p>
      <w:pPr>
        <w:pStyle w:val="Heading8"/>
        <w:spacing w:line="360" w:lineRule="exact"/>
      </w:pPr>
      <w:r>
        <w:rPr/>
        <w:t>11、投标文件构成</w:t>
      </w:r>
    </w:p>
    <w:p>
      <w:pPr>
        <w:pStyle w:val="BodyText"/>
        <w:spacing w:before="137"/>
        <w:ind w:left="869"/>
      </w:pPr>
      <w:r>
        <w:rPr/>
        <w:t>11.1 资格证明文件；</w:t>
      </w:r>
    </w:p>
    <w:p>
      <w:pPr>
        <w:pStyle w:val="BodyText"/>
        <w:spacing w:line="391" w:lineRule="auto" w:before="194"/>
        <w:ind w:left="389" w:right="330" w:firstLine="479"/>
      </w:pPr>
      <w:r>
        <w:rPr/>
        <w:t>11.1.1</w:t>
      </w:r>
      <w:r>
        <w:rPr>
          <w:spacing w:val="-6"/>
        </w:rPr>
        <w:t> 投标人法人营业执照副本和税务登记证(或“三证合一”的营业执照或事业单位法人证书</w:t>
      </w:r>
      <w:r>
        <w:rPr>
          <w:spacing w:val="-120"/>
        </w:rPr>
        <w:t>）</w:t>
      </w:r>
      <w:r>
        <w:rPr/>
        <w:t>；</w:t>
      </w:r>
    </w:p>
    <w:p>
      <w:pPr>
        <w:pStyle w:val="ListParagraph"/>
        <w:numPr>
          <w:ilvl w:val="2"/>
          <w:numId w:val="5"/>
        </w:numPr>
        <w:tabs>
          <w:tab w:pos="1710" w:val="left" w:leader="none"/>
        </w:tabs>
        <w:spacing w:line="304" w:lineRule="exact" w:before="0" w:after="0"/>
        <w:ind w:left="1709" w:right="0" w:hanging="840"/>
        <w:jc w:val="left"/>
        <w:rPr>
          <w:sz w:val="24"/>
        </w:rPr>
      </w:pPr>
      <w:r>
        <w:rPr>
          <w:sz w:val="24"/>
        </w:rPr>
        <w:t>投标人营业执照副本（</w:t>
      </w:r>
      <w:r>
        <w:rPr>
          <w:spacing w:val="-7"/>
          <w:sz w:val="24"/>
        </w:rPr>
        <w:t>涵盖本次招标货物的产品制造商或供应商；</w:t>
      </w:r>
      <w:r>
        <w:rPr>
          <w:sz w:val="24"/>
        </w:rPr>
        <w:t>）</w:t>
      </w:r>
    </w:p>
    <w:p>
      <w:pPr>
        <w:pStyle w:val="ListParagraph"/>
        <w:numPr>
          <w:ilvl w:val="2"/>
          <w:numId w:val="5"/>
        </w:numPr>
        <w:tabs>
          <w:tab w:pos="1710" w:val="left" w:leader="none"/>
        </w:tabs>
        <w:spacing w:line="240" w:lineRule="auto" w:before="194" w:after="0"/>
        <w:ind w:left="1709" w:right="0" w:hanging="840"/>
        <w:jc w:val="left"/>
        <w:rPr>
          <w:sz w:val="24"/>
        </w:rPr>
      </w:pPr>
      <w:r>
        <w:rPr>
          <w:spacing w:val="-8"/>
          <w:sz w:val="24"/>
        </w:rPr>
        <w:t>参加政府采购活动前 </w:t>
      </w:r>
      <w:r>
        <w:rPr>
          <w:sz w:val="24"/>
        </w:rPr>
        <w:t>3</w:t>
      </w:r>
      <w:r>
        <w:rPr>
          <w:spacing w:val="-10"/>
          <w:sz w:val="24"/>
        </w:rPr>
        <w:t> 年内在经营活动中没有重大违法记录的书面声明；</w:t>
      </w:r>
    </w:p>
    <w:p>
      <w:pPr>
        <w:pStyle w:val="ListParagraph"/>
        <w:numPr>
          <w:ilvl w:val="2"/>
          <w:numId w:val="5"/>
        </w:numPr>
        <w:tabs>
          <w:tab w:pos="1710" w:val="left" w:leader="none"/>
        </w:tabs>
        <w:spacing w:line="240" w:lineRule="auto" w:before="192" w:after="0"/>
        <w:ind w:left="1709" w:right="0" w:hanging="840"/>
        <w:jc w:val="left"/>
        <w:rPr>
          <w:sz w:val="24"/>
        </w:rPr>
      </w:pPr>
      <w:r>
        <w:rPr>
          <w:sz w:val="24"/>
        </w:rPr>
        <w:t>投标人认为与本项目相关的其他资格证明资料。</w:t>
      </w:r>
    </w:p>
    <w:p>
      <w:pPr>
        <w:pStyle w:val="ListParagraph"/>
        <w:numPr>
          <w:ilvl w:val="1"/>
          <w:numId w:val="6"/>
        </w:numPr>
        <w:tabs>
          <w:tab w:pos="1410" w:val="left" w:leader="none"/>
        </w:tabs>
        <w:spacing w:line="240" w:lineRule="auto" w:before="191" w:after="0"/>
        <w:ind w:left="389" w:right="0" w:firstLine="480"/>
        <w:jc w:val="left"/>
        <w:rPr>
          <w:sz w:val="24"/>
        </w:rPr>
      </w:pPr>
      <w:r>
        <w:rPr>
          <w:sz w:val="24"/>
        </w:rPr>
        <w:t>法定代表人或其授权代理人签署的投标函；</w:t>
      </w:r>
    </w:p>
    <w:p>
      <w:pPr>
        <w:pStyle w:val="ListParagraph"/>
        <w:numPr>
          <w:ilvl w:val="1"/>
          <w:numId w:val="6"/>
        </w:numPr>
        <w:tabs>
          <w:tab w:pos="1410" w:val="left" w:leader="none"/>
        </w:tabs>
        <w:spacing w:line="388" w:lineRule="auto" w:before="194" w:after="0"/>
        <w:ind w:left="389" w:right="330" w:firstLine="480"/>
        <w:jc w:val="left"/>
        <w:rPr>
          <w:sz w:val="24"/>
        </w:rPr>
      </w:pPr>
      <w:r>
        <w:rPr>
          <w:spacing w:val="-6"/>
          <w:sz w:val="24"/>
        </w:rPr>
        <w:t>法人代表证明或法定代表人授权委托书</w:t>
      </w:r>
      <w:r>
        <w:rPr>
          <w:sz w:val="24"/>
        </w:rPr>
        <w:t>（并按要求提供法定代表人或授权委托人居民身份证、社会养老保险扫描件</w:t>
      </w:r>
      <w:r>
        <w:rPr>
          <w:spacing w:val="-120"/>
          <w:sz w:val="24"/>
        </w:rPr>
        <w:t>）</w:t>
      </w:r>
      <w:r>
        <w:rPr>
          <w:sz w:val="24"/>
        </w:rPr>
        <w:t>；</w:t>
      </w:r>
    </w:p>
    <w:p>
      <w:pPr>
        <w:spacing w:before="60"/>
        <w:ind w:left="54" w:right="0" w:firstLine="0"/>
        <w:jc w:val="center"/>
        <w:rPr>
          <w:rFonts w:ascii="Calibri"/>
          <w:sz w:val="18"/>
        </w:rPr>
      </w:pPr>
      <w:r>
        <w:rPr>
          <w:rFonts w:ascii="Calibri"/>
          <w:sz w:val="18"/>
        </w:rPr>
        <w:t>7</w:t>
      </w:r>
    </w:p>
    <w:p>
      <w:pPr>
        <w:spacing w:after="0"/>
        <w:jc w:val="center"/>
        <w:rPr>
          <w:rFonts w:ascii="Calibri"/>
          <w:sz w:val="18"/>
        </w:rPr>
        <w:sectPr>
          <w:pgSz w:w="11910" w:h="16840"/>
          <w:pgMar w:top="1540" w:bottom="280" w:left="1200" w:right="1140"/>
        </w:sectPr>
      </w:pPr>
    </w:p>
    <w:p>
      <w:pPr>
        <w:pStyle w:val="ListParagraph"/>
        <w:numPr>
          <w:ilvl w:val="1"/>
          <w:numId w:val="6"/>
        </w:numPr>
        <w:tabs>
          <w:tab w:pos="1410" w:val="left" w:leader="none"/>
        </w:tabs>
        <w:spacing w:line="240" w:lineRule="auto" w:before="43" w:after="0"/>
        <w:ind w:left="389" w:right="0" w:firstLine="480"/>
        <w:jc w:val="left"/>
        <w:rPr>
          <w:sz w:val="24"/>
        </w:rPr>
      </w:pPr>
      <w:r>
        <w:rPr/>
        <w:drawing>
          <wp:anchor distT="0" distB="0" distL="0" distR="0" allowOverlap="1" layoutInCell="1" locked="0" behindDoc="1" simplePos="0" relativeHeight="268349759">
            <wp:simplePos x="0" y="0"/>
            <wp:positionH relativeFrom="page">
              <wp:posOffset>203309</wp:posOffset>
            </wp:positionH>
            <wp:positionV relativeFrom="page">
              <wp:posOffset>944714</wp:posOffset>
            </wp:positionV>
            <wp:extent cx="7115825" cy="9747669"/>
            <wp:effectExtent l="0" t="0" r="0" b="0"/>
            <wp:wrapNone/>
            <wp:docPr id="25" name="image2.jpeg" descr=""/>
            <wp:cNvGraphicFramePr>
              <a:graphicFrameLocks noChangeAspect="1"/>
            </wp:cNvGraphicFramePr>
            <a:graphic>
              <a:graphicData uri="http://schemas.openxmlformats.org/drawingml/2006/picture">
                <pic:pic>
                  <pic:nvPicPr>
                    <pic:cNvPr id="2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672" filled="true" fillcolor="#ffffff" stroked="false">
            <v:fill type="solid"/>
            <w10:wrap type="none"/>
          </v:rect>
        </w:pict>
      </w:r>
      <w:r>
        <w:rPr>
          <w:sz w:val="24"/>
        </w:rPr>
        <w:t>报价文件</w:t>
      </w:r>
    </w:p>
    <w:p>
      <w:pPr>
        <w:pStyle w:val="ListParagraph"/>
        <w:numPr>
          <w:ilvl w:val="2"/>
          <w:numId w:val="6"/>
        </w:numPr>
        <w:tabs>
          <w:tab w:pos="1650" w:val="left" w:leader="none"/>
        </w:tabs>
        <w:spacing w:line="240" w:lineRule="auto" w:before="191" w:after="0"/>
        <w:ind w:left="1649" w:right="0" w:hanging="780"/>
        <w:jc w:val="left"/>
        <w:rPr>
          <w:sz w:val="24"/>
        </w:rPr>
      </w:pPr>
      <w:r>
        <w:rPr>
          <w:sz w:val="24"/>
        </w:rPr>
        <w:t>开标一览表;</w:t>
      </w:r>
    </w:p>
    <w:p>
      <w:pPr>
        <w:pStyle w:val="ListParagraph"/>
        <w:numPr>
          <w:ilvl w:val="2"/>
          <w:numId w:val="6"/>
        </w:numPr>
        <w:tabs>
          <w:tab w:pos="1650" w:val="left" w:leader="none"/>
        </w:tabs>
        <w:spacing w:line="240" w:lineRule="auto" w:before="194" w:after="0"/>
        <w:ind w:left="1649" w:right="0" w:hanging="780"/>
        <w:jc w:val="left"/>
        <w:rPr>
          <w:sz w:val="24"/>
        </w:rPr>
      </w:pPr>
      <w:r>
        <w:rPr>
          <w:sz w:val="24"/>
        </w:rPr>
        <w:t>明细报价表。</w:t>
      </w:r>
    </w:p>
    <w:p>
      <w:pPr>
        <w:pStyle w:val="ListParagraph"/>
        <w:numPr>
          <w:ilvl w:val="1"/>
          <w:numId w:val="7"/>
        </w:numPr>
        <w:tabs>
          <w:tab w:pos="1410" w:val="left" w:leader="none"/>
        </w:tabs>
        <w:spacing w:line="240" w:lineRule="auto" w:before="192" w:after="0"/>
        <w:ind w:left="1409" w:right="0" w:hanging="540"/>
        <w:jc w:val="left"/>
        <w:rPr>
          <w:sz w:val="24"/>
        </w:rPr>
      </w:pPr>
      <w:r>
        <w:rPr>
          <w:sz w:val="24"/>
        </w:rPr>
        <w:t>技术文件</w:t>
      </w:r>
    </w:p>
    <w:p>
      <w:pPr>
        <w:pStyle w:val="ListParagraph"/>
        <w:numPr>
          <w:ilvl w:val="2"/>
          <w:numId w:val="7"/>
        </w:numPr>
        <w:tabs>
          <w:tab w:pos="1650" w:val="left" w:leader="none"/>
        </w:tabs>
        <w:spacing w:line="391" w:lineRule="auto" w:before="192" w:after="0"/>
        <w:ind w:left="389" w:right="331" w:firstLine="480"/>
        <w:jc w:val="left"/>
        <w:rPr>
          <w:sz w:val="24"/>
        </w:rPr>
      </w:pPr>
      <w:r>
        <w:rPr>
          <w:spacing w:val="-20"/>
          <w:sz w:val="24"/>
        </w:rPr>
        <w:t>项目整体实施方案、进度安排、设备使用维护及培训方案和验收方案等</w:t>
      </w:r>
      <w:r>
        <w:rPr>
          <w:sz w:val="24"/>
        </w:rPr>
        <w:t>（格式自拟</w:t>
      </w:r>
      <w:r>
        <w:rPr>
          <w:spacing w:val="-120"/>
          <w:sz w:val="24"/>
        </w:rPr>
        <w:t>）</w:t>
      </w:r>
      <w:r>
        <w:rPr>
          <w:sz w:val="24"/>
        </w:rPr>
        <w:t>；</w:t>
      </w:r>
    </w:p>
    <w:p>
      <w:pPr>
        <w:pStyle w:val="ListParagraph"/>
        <w:numPr>
          <w:ilvl w:val="2"/>
          <w:numId w:val="7"/>
        </w:numPr>
        <w:tabs>
          <w:tab w:pos="1650" w:val="left" w:leader="none"/>
        </w:tabs>
        <w:spacing w:line="391" w:lineRule="auto" w:before="0" w:after="0"/>
        <w:ind w:left="389" w:right="331" w:firstLine="480"/>
        <w:jc w:val="left"/>
        <w:rPr>
          <w:sz w:val="24"/>
        </w:rPr>
      </w:pPr>
      <w:r>
        <w:rPr>
          <w:spacing w:val="-8"/>
          <w:sz w:val="24"/>
        </w:rPr>
        <w:t>货物设备清单</w:t>
      </w:r>
      <w:r>
        <w:rPr>
          <w:sz w:val="24"/>
        </w:rPr>
        <w:t>（以表格形式列明所投全部设备及配件清单</w:t>
      </w:r>
      <w:r>
        <w:rPr>
          <w:spacing w:val="-48"/>
          <w:sz w:val="24"/>
        </w:rPr>
        <w:t>）</w:t>
      </w:r>
      <w:r>
        <w:rPr>
          <w:sz w:val="24"/>
        </w:rPr>
        <w:t>及主要货物详细技术资料（包括实物样图、使用手册、规格说明等</w:t>
      </w:r>
      <w:r>
        <w:rPr>
          <w:spacing w:val="-120"/>
          <w:sz w:val="24"/>
        </w:rPr>
        <w:t>）</w:t>
      </w:r>
      <w:r>
        <w:rPr>
          <w:sz w:val="24"/>
        </w:rPr>
        <w:t>（格式自拟</w:t>
      </w:r>
      <w:r>
        <w:rPr>
          <w:spacing w:val="-120"/>
          <w:sz w:val="24"/>
        </w:rPr>
        <w:t>）</w:t>
      </w:r>
      <w:r>
        <w:rPr>
          <w:sz w:val="24"/>
        </w:rPr>
        <w:t>；</w:t>
      </w:r>
    </w:p>
    <w:p>
      <w:pPr>
        <w:pStyle w:val="ListParagraph"/>
        <w:numPr>
          <w:ilvl w:val="2"/>
          <w:numId w:val="7"/>
        </w:numPr>
        <w:tabs>
          <w:tab w:pos="1650" w:val="left" w:leader="none"/>
        </w:tabs>
        <w:spacing w:line="306" w:lineRule="exact" w:before="0" w:after="0"/>
        <w:ind w:left="389" w:right="0" w:firstLine="480"/>
        <w:jc w:val="left"/>
        <w:rPr>
          <w:sz w:val="24"/>
        </w:rPr>
      </w:pPr>
      <w:r>
        <w:rPr>
          <w:sz w:val="24"/>
        </w:rPr>
        <w:t>货物主要部件、辅材明细表；</w:t>
      </w:r>
    </w:p>
    <w:p>
      <w:pPr>
        <w:pStyle w:val="ListParagraph"/>
        <w:numPr>
          <w:ilvl w:val="2"/>
          <w:numId w:val="7"/>
        </w:numPr>
        <w:tabs>
          <w:tab w:pos="1650" w:val="left" w:leader="none"/>
        </w:tabs>
        <w:spacing w:line="240" w:lineRule="auto" w:before="190" w:after="0"/>
        <w:ind w:left="389" w:right="0" w:firstLine="480"/>
        <w:jc w:val="left"/>
        <w:rPr>
          <w:sz w:val="24"/>
        </w:rPr>
      </w:pPr>
      <w:r>
        <w:rPr>
          <w:sz w:val="24"/>
        </w:rPr>
        <w:t>投标人项目管理、技术及售后服务人员一览表；</w:t>
      </w:r>
    </w:p>
    <w:p>
      <w:pPr>
        <w:pStyle w:val="ListParagraph"/>
        <w:numPr>
          <w:ilvl w:val="2"/>
          <w:numId w:val="7"/>
        </w:numPr>
        <w:tabs>
          <w:tab w:pos="1650" w:val="left" w:leader="none"/>
        </w:tabs>
        <w:spacing w:line="391" w:lineRule="auto" w:before="191" w:after="0"/>
        <w:ind w:left="389" w:right="331" w:firstLine="480"/>
        <w:jc w:val="left"/>
        <w:rPr>
          <w:sz w:val="24"/>
        </w:rPr>
      </w:pPr>
      <w:r>
        <w:rPr>
          <w:spacing w:val="-3"/>
          <w:sz w:val="24"/>
        </w:rPr>
        <w:t>质量保证及详细售后服务方案</w:t>
      </w:r>
      <w:r>
        <w:rPr>
          <w:sz w:val="24"/>
        </w:rPr>
        <w:t>（</w:t>
      </w:r>
      <w:r>
        <w:rPr>
          <w:spacing w:val="-9"/>
          <w:sz w:val="24"/>
        </w:rPr>
        <w:t>包括：售后服务管理体系、服务人员的技术水平及现场服务措施，本地化服务和质保期结束后相关承诺等</w:t>
      </w:r>
      <w:r>
        <w:rPr>
          <w:spacing w:val="-120"/>
          <w:sz w:val="24"/>
        </w:rPr>
        <w:t>）</w:t>
      </w:r>
      <w:r>
        <w:rPr>
          <w:sz w:val="24"/>
        </w:rPr>
        <w:t>（格式自拟</w:t>
      </w:r>
      <w:r>
        <w:rPr>
          <w:spacing w:val="-120"/>
          <w:sz w:val="24"/>
        </w:rPr>
        <w:t>）</w:t>
      </w:r>
      <w:r>
        <w:rPr>
          <w:sz w:val="24"/>
        </w:rPr>
        <w:t>；</w:t>
      </w:r>
    </w:p>
    <w:p>
      <w:pPr>
        <w:pStyle w:val="ListParagraph"/>
        <w:numPr>
          <w:ilvl w:val="2"/>
          <w:numId w:val="7"/>
        </w:numPr>
        <w:tabs>
          <w:tab w:pos="1650" w:val="left" w:leader="none"/>
        </w:tabs>
        <w:spacing w:line="306" w:lineRule="exact" w:before="0" w:after="0"/>
        <w:ind w:left="389" w:right="0" w:firstLine="480"/>
        <w:jc w:val="left"/>
        <w:rPr>
          <w:sz w:val="24"/>
        </w:rPr>
      </w:pPr>
      <w:r>
        <w:rPr>
          <w:sz w:val="24"/>
        </w:rPr>
        <w:t>技术响应偏差表。</w:t>
      </w:r>
    </w:p>
    <w:p>
      <w:pPr>
        <w:pStyle w:val="ListParagraph"/>
        <w:numPr>
          <w:ilvl w:val="1"/>
          <w:numId w:val="8"/>
        </w:numPr>
        <w:tabs>
          <w:tab w:pos="1410" w:val="left" w:leader="none"/>
        </w:tabs>
        <w:spacing w:line="240" w:lineRule="auto" w:before="192" w:after="0"/>
        <w:ind w:left="1409" w:right="0" w:hanging="540"/>
        <w:jc w:val="left"/>
        <w:rPr>
          <w:sz w:val="24"/>
        </w:rPr>
      </w:pPr>
      <w:r>
        <w:rPr>
          <w:sz w:val="24"/>
        </w:rPr>
        <w:t>商务文件</w:t>
      </w:r>
    </w:p>
    <w:p>
      <w:pPr>
        <w:pStyle w:val="ListParagraph"/>
        <w:numPr>
          <w:ilvl w:val="2"/>
          <w:numId w:val="8"/>
        </w:numPr>
        <w:tabs>
          <w:tab w:pos="1650" w:val="left" w:leader="none"/>
        </w:tabs>
        <w:spacing w:line="388" w:lineRule="auto" w:before="195" w:after="0"/>
        <w:ind w:left="389" w:right="331" w:firstLine="480"/>
        <w:jc w:val="left"/>
        <w:rPr>
          <w:sz w:val="24"/>
        </w:rPr>
      </w:pPr>
      <w:r>
        <w:rPr>
          <w:spacing w:val="-5"/>
          <w:sz w:val="24"/>
        </w:rPr>
        <w:t>投标人承担的类似项目业绩一览表，提供业绩中标通知书、合同及验收资料；</w:t>
      </w:r>
    </w:p>
    <w:p>
      <w:pPr>
        <w:pStyle w:val="ListParagraph"/>
        <w:numPr>
          <w:ilvl w:val="2"/>
          <w:numId w:val="8"/>
        </w:numPr>
        <w:tabs>
          <w:tab w:pos="1650" w:val="left" w:leader="none"/>
        </w:tabs>
        <w:spacing w:line="240" w:lineRule="auto" w:before="2" w:after="0"/>
        <w:ind w:left="389" w:right="0" w:firstLine="480"/>
        <w:jc w:val="left"/>
        <w:rPr>
          <w:sz w:val="24"/>
        </w:rPr>
      </w:pPr>
      <w:r>
        <w:rPr>
          <w:sz w:val="24"/>
        </w:rPr>
        <w:t>其他商务文件。</w:t>
      </w:r>
    </w:p>
    <w:p>
      <w:pPr>
        <w:pStyle w:val="BodyText"/>
        <w:spacing w:before="194"/>
        <w:ind w:left="869"/>
      </w:pPr>
      <w:r>
        <w:rPr/>
        <w:t>11.7 投标人认为有必要提供的其它材料。</w:t>
      </w:r>
    </w:p>
    <w:p>
      <w:pPr>
        <w:pStyle w:val="Heading8"/>
        <w:spacing w:line="271" w:lineRule="auto" w:before="112"/>
        <w:ind w:left="389" w:right="326" w:firstLine="482"/>
        <w:jc w:val="both"/>
      </w:pPr>
      <w:r>
        <w:rPr>
          <w:spacing w:val="-68"/>
        </w:rPr>
        <w:t>注：</w:t>
      </w:r>
      <w:r>
        <w:rPr/>
        <w:t>（</w:t>
      </w:r>
      <w:r>
        <w:rPr>
          <w:w w:val="83"/>
        </w:rPr>
        <w:t>1</w:t>
      </w:r>
      <w:r>
        <w:rPr>
          <w:spacing w:val="-17"/>
        </w:rPr>
        <w:t>）</w:t>
      </w:r>
      <w:r>
        <w:rPr/>
        <w:t>投标文件构成资料为非中文时应提供中文译版</w:t>
      </w:r>
      <w:r>
        <w:rPr>
          <w:spacing w:val="-137"/>
        </w:rPr>
        <w:t>；</w:t>
      </w:r>
      <w:r>
        <w:rPr>
          <w:spacing w:val="1"/>
        </w:rPr>
        <w:t>（</w:t>
      </w:r>
      <w:r>
        <w:rPr>
          <w:w w:val="83"/>
        </w:rPr>
        <w:t>2</w:t>
      </w:r>
      <w:r>
        <w:rPr>
          <w:spacing w:val="-17"/>
        </w:rPr>
        <w:t>）</w:t>
      </w:r>
      <w:r>
        <w:rPr/>
        <w:t>投标人应按招标文</w:t>
      </w:r>
      <w:r>
        <w:rPr>
          <w:spacing w:val="-5"/>
        </w:rPr>
        <w:t>件要求上传相应证书证件扫描件</w:t>
      </w:r>
      <w:r>
        <w:rPr/>
        <w:t>（本招标文件扫描件指对证书等原件通过扫描等方式</w:t>
      </w:r>
      <w:r>
        <w:rPr>
          <w:spacing w:val="1"/>
        </w:rPr>
        <w:t>进行数字化的可被电子交易平台识别的数字文件，下同</w:t>
      </w:r>
      <w:r>
        <w:rPr>
          <w:spacing w:val="-120"/>
        </w:rPr>
        <w:t>）</w:t>
      </w:r>
      <w:r>
        <w:rPr>
          <w:spacing w:val="1"/>
        </w:rPr>
        <w:t>，否则评标委员会可以视其</w:t>
      </w:r>
      <w:r>
        <w:rPr>
          <w:spacing w:val="-35"/>
        </w:rPr>
        <w:t>未提供。</w:t>
      </w:r>
      <w:r>
        <w:rPr>
          <w:spacing w:val="-6"/>
        </w:rPr>
        <w:t>（3）</w:t>
      </w:r>
      <w:r>
        <w:rPr>
          <w:spacing w:val="-4"/>
        </w:rPr>
        <w:t>无论何种原因，即使投标人开标时携带了证书证明资料的原件，但电子投标文件中未包含相关资料电子件的，评标委员会可以视同其未提供。</w:t>
      </w:r>
    </w:p>
    <w:p>
      <w:pPr>
        <w:pStyle w:val="Heading8"/>
        <w:spacing w:before="8"/>
      </w:pPr>
      <w:r>
        <w:rPr/>
        <w:t>12、投标文件的加密</w:t>
      </w:r>
    </w:p>
    <w:p>
      <w:pPr>
        <w:pStyle w:val="BodyText"/>
        <w:spacing w:line="391" w:lineRule="auto" w:before="137"/>
        <w:ind w:left="389" w:right="328" w:firstLine="479"/>
        <w:jc w:val="both"/>
      </w:pPr>
      <w:r>
        <w:rPr>
          <w:spacing w:val="-2"/>
        </w:rPr>
        <w:t>投标人应使用经电子交易平台认可的电子商务认证授权机构</w:t>
      </w:r>
      <w:r>
        <w:rPr/>
        <w:t>（CA</w:t>
      </w:r>
      <w:r>
        <w:rPr>
          <w:spacing w:val="-12"/>
        </w:rPr>
        <w:t> 认证中心</w:t>
      </w:r>
      <w:r>
        <w:rPr>
          <w:spacing w:val="-48"/>
        </w:rPr>
        <w:t>）</w:t>
      </w:r>
      <w:r>
        <w:rPr/>
        <w:t>颁发</w:t>
      </w:r>
      <w:r>
        <w:rPr>
          <w:spacing w:val="-3"/>
        </w:rPr>
        <w:t>的数字证书对其电子投标文件认证并加密，未按要求加密并认证的投标文件，不予受理。</w:t>
      </w:r>
    </w:p>
    <w:p>
      <w:pPr>
        <w:pStyle w:val="BodyText"/>
        <w:spacing w:before="6"/>
        <w:rPr>
          <w:sz w:val="18"/>
        </w:rPr>
      </w:pPr>
    </w:p>
    <w:p>
      <w:pPr>
        <w:spacing w:before="64"/>
        <w:ind w:left="54" w:right="0" w:firstLine="0"/>
        <w:jc w:val="center"/>
        <w:rPr>
          <w:rFonts w:ascii="Calibri"/>
          <w:sz w:val="18"/>
        </w:rPr>
      </w:pPr>
      <w:r>
        <w:rPr>
          <w:rFonts w:ascii="Calibri"/>
          <w:sz w:val="18"/>
        </w:rPr>
        <w:t>8</w:t>
      </w:r>
    </w:p>
    <w:p>
      <w:pPr>
        <w:spacing w:after="0"/>
        <w:jc w:val="center"/>
        <w:rPr>
          <w:rFonts w:ascii="Calibri"/>
          <w:sz w:val="18"/>
        </w:rPr>
        <w:sectPr>
          <w:pgSz w:w="11910" w:h="16840"/>
          <w:pgMar w:top="1540" w:bottom="280" w:left="1200" w:right="1140"/>
        </w:sectPr>
      </w:pPr>
    </w:p>
    <w:p>
      <w:pPr>
        <w:pStyle w:val="Heading8"/>
        <w:spacing w:line="405" w:lineRule="exact"/>
      </w:pPr>
      <w:r>
        <w:rPr/>
        <w:drawing>
          <wp:anchor distT="0" distB="0" distL="0" distR="0" allowOverlap="1" layoutInCell="1" locked="0" behindDoc="1" simplePos="0" relativeHeight="268349807">
            <wp:simplePos x="0" y="0"/>
            <wp:positionH relativeFrom="page">
              <wp:posOffset>203309</wp:posOffset>
            </wp:positionH>
            <wp:positionV relativeFrom="page">
              <wp:posOffset>944714</wp:posOffset>
            </wp:positionV>
            <wp:extent cx="7115825" cy="9747669"/>
            <wp:effectExtent l="0" t="0" r="0" b="0"/>
            <wp:wrapNone/>
            <wp:docPr id="27" name="image2.jpeg" descr=""/>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624" filled="true" fillcolor="#ffffff" stroked="false">
            <v:fill type="solid"/>
            <w10:wrap type="none"/>
          </v:rect>
        </w:pict>
      </w:r>
      <w:r>
        <w:rPr/>
        <w:t>13、投标报价</w:t>
      </w:r>
    </w:p>
    <w:p>
      <w:pPr>
        <w:pStyle w:val="ListParagraph"/>
        <w:numPr>
          <w:ilvl w:val="1"/>
          <w:numId w:val="9"/>
        </w:numPr>
        <w:tabs>
          <w:tab w:pos="1410" w:val="left" w:leader="none"/>
        </w:tabs>
        <w:spacing w:line="240" w:lineRule="auto" w:before="137" w:after="0"/>
        <w:ind w:left="389" w:right="0" w:firstLine="480"/>
        <w:jc w:val="left"/>
        <w:rPr>
          <w:sz w:val="24"/>
        </w:rPr>
      </w:pPr>
      <w:r>
        <w:rPr>
          <w:sz w:val="24"/>
        </w:rPr>
        <w:t>报价为一次报价，于开标会议当场宣读。</w:t>
      </w:r>
    </w:p>
    <w:p>
      <w:pPr>
        <w:pStyle w:val="ListParagraph"/>
        <w:numPr>
          <w:ilvl w:val="1"/>
          <w:numId w:val="9"/>
        </w:numPr>
        <w:tabs>
          <w:tab w:pos="1410" w:val="left" w:leader="none"/>
        </w:tabs>
        <w:spacing w:line="388" w:lineRule="auto" w:before="194" w:after="0"/>
        <w:ind w:left="389" w:right="328" w:firstLine="480"/>
        <w:jc w:val="both"/>
        <w:rPr>
          <w:sz w:val="24"/>
        </w:rPr>
      </w:pPr>
      <w:r>
        <w:rPr>
          <w:spacing w:val="-5"/>
          <w:sz w:val="24"/>
        </w:rPr>
        <w:t>本项目不接受备选的投标方案或有选择的报价，只允许有一个报价。投标报价内容包括：包括设备本身价格、配件、辅材、运输、人工费用、机械费用、安装施工过程中涉及到的和投标过程中所产生的其他一切费用。</w:t>
      </w:r>
    </w:p>
    <w:p>
      <w:pPr>
        <w:pStyle w:val="ListParagraph"/>
        <w:numPr>
          <w:ilvl w:val="1"/>
          <w:numId w:val="9"/>
        </w:numPr>
        <w:tabs>
          <w:tab w:pos="1410" w:val="left" w:leader="none"/>
        </w:tabs>
        <w:spacing w:line="240" w:lineRule="auto" w:before="5" w:after="0"/>
        <w:ind w:left="389" w:right="0" w:firstLine="480"/>
        <w:jc w:val="left"/>
        <w:rPr>
          <w:sz w:val="24"/>
        </w:rPr>
      </w:pPr>
      <w:r>
        <w:rPr>
          <w:sz w:val="24"/>
        </w:rPr>
        <w:t>报价注意事项：</w:t>
      </w:r>
    </w:p>
    <w:p>
      <w:pPr>
        <w:pStyle w:val="ListParagraph"/>
        <w:numPr>
          <w:ilvl w:val="2"/>
          <w:numId w:val="9"/>
        </w:numPr>
        <w:tabs>
          <w:tab w:pos="1650" w:val="left" w:leader="none"/>
        </w:tabs>
        <w:spacing w:line="240" w:lineRule="auto" w:before="192" w:after="0"/>
        <w:ind w:left="389" w:right="0" w:firstLine="480"/>
        <w:jc w:val="left"/>
        <w:rPr>
          <w:sz w:val="24"/>
        </w:rPr>
      </w:pPr>
      <w:r>
        <w:rPr>
          <w:sz w:val="24"/>
        </w:rPr>
        <w:t>价格一律以人民币计算，以元为单位标准；</w:t>
      </w:r>
    </w:p>
    <w:p>
      <w:pPr>
        <w:pStyle w:val="ListParagraph"/>
        <w:numPr>
          <w:ilvl w:val="2"/>
          <w:numId w:val="9"/>
        </w:numPr>
        <w:tabs>
          <w:tab w:pos="1650" w:val="left" w:leader="none"/>
        </w:tabs>
        <w:spacing w:line="391" w:lineRule="auto" w:before="192" w:after="0"/>
        <w:ind w:left="389" w:right="331" w:firstLine="480"/>
        <w:jc w:val="left"/>
        <w:rPr>
          <w:sz w:val="24"/>
        </w:rPr>
      </w:pPr>
      <w:r>
        <w:rPr>
          <w:spacing w:val="-4"/>
          <w:sz w:val="24"/>
        </w:rPr>
        <w:t>投标人报价时应充分考虑所有可能影响到报价的因素，一旦评标结束最终中标，如发生漏、缺、少项，都将被认为是中标人的报价让利行为，损失自负。</w:t>
      </w:r>
    </w:p>
    <w:p>
      <w:pPr>
        <w:pStyle w:val="Heading8"/>
        <w:spacing w:line="360" w:lineRule="exact"/>
      </w:pPr>
      <w:r>
        <w:rPr/>
        <w:t>14、投标保证金</w:t>
      </w:r>
    </w:p>
    <w:p>
      <w:pPr>
        <w:pStyle w:val="ListParagraph"/>
        <w:numPr>
          <w:ilvl w:val="1"/>
          <w:numId w:val="10"/>
        </w:numPr>
        <w:tabs>
          <w:tab w:pos="1410" w:val="left" w:leader="none"/>
        </w:tabs>
        <w:spacing w:line="374" w:lineRule="auto" w:before="121" w:after="0"/>
        <w:ind w:left="389" w:right="329" w:firstLine="480"/>
        <w:jc w:val="left"/>
        <w:rPr>
          <w:sz w:val="24"/>
        </w:rPr>
      </w:pPr>
      <w:r>
        <w:rPr>
          <w:spacing w:val="-5"/>
          <w:sz w:val="24"/>
        </w:rPr>
        <w:t>投标人在投标文件提交截止时间前，应按投标人须知前附表规定的金额、形式等要求提交投标保证金。保证金由当地公共资源交易中心代收、代管和代退。</w:t>
      </w:r>
    </w:p>
    <w:p>
      <w:pPr>
        <w:pStyle w:val="ListParagraph"/>
        <w:numPr>
          <w:ilvl w:val="1"/>
          <w:numId w:val="10"/>
        </w:numPr>
        <w:tabs>
          <w:tab w:pos="1410" w:val="left" w:leader="none"/>
        </w:tabs>
        <w:spacing w:line="374" w:lineRule="auto" w:before="0" w:after="0"/>
        <w:ind w:left="389" w:right="331" w:firstLine="480"/>
        <w:jc w:val="left"/>
        <w:rPr>
          <w:sz w:val="24"/>
        </w:rPr>
      </w:pPr>
      <w:r>
        <w:rPr>
          <w:spacing w:val="-5"/>
          <w:sz w:val="24"/>
        </w:rPr>
        <w:t>投标人应在投标截止时间前将本单位的基本账户《开户许可证》原件扫描件上传至企业诚信库。以未经审核备案的账户提交的投标保证金不予接受。</w:t>
      </w:r>
    </w:p>
    <w:p>
      <w:pPr>
        <w:pStyle w:val="ListParagraph"/>
        <w:numPr>
          <w:ilvl w:val="1"/>
          <w:numId w:val="10"/>
        </w:numPr>
        <w:tabs>
          <w:tab w:pos="1410" w:val="left" w:leader="none"/>
        </w:tabs>
        <w:spacing w:line="374" w:lineRule="auto" w:before="1" w:after="0"/>
        <w:ind w:left="389" w:right="209" w:firstLine="480"/>
        <w:jc w:val="left"/>
        <w:rPr>
          <w:sz w:val="24"/>
        </w:rPr>
      </w:pPr>
      <w:r>
        <w:rPr>
          <w:spacing w:val="-3"/>
          <w:sz w:val="24"/>
        </w:rPr>
        <w:t>投标人采用转账支票</w:t>
      </w:r>
      <w:r>
        <w:rPr>
          <w:sz w:val="24"/>
        </w:rPr>
        <w:t>（同城</w:t>
      </w:r>
      <w:r>
        <w:rPr>
          <w:spacing w:val="-120"/>
          <w:sz w:val="24"/>
        </w:rPr>
        <w:t>）</w:t>
      </w:r>
      <w:r>
        <w:rPr>
          <w:spacing w:val="-16"/>
          <w:sz w:val="24"/>
        </w:rPr>
        <w:t>、电汇</w:t>
      </w:r>
      <w:r>
        <w:rPr>
          <w:sz w:val="24"/>
        </w:rPr>
        <w:t>（异地</w:t>
      </w:r>
      <w:r>
        <w:rPr>
          <w:spacing w:val="-120"/>
          <w:sz w:val="24"/>
        </w:rPr>
        <w:t>）</w:t>
      </w:r>
      <w:r>
        <w:rPr>
          <w:spacing w:val="-5"/>
          <w:sz w:val="24"/>
        </w:rPr>
        <w:t>、网上银行等方式将保证金从基</w:t>
      </w:r>
      <w:r>
        <w:rPr>
          <w:spacing w:val="-7"/>
          <w:sz w:val="24"/>
        </w:rPr>
        <w:t>本存款账户提交至保证金专用账户</w:t>
      </w:r>
      <w:r>
        <w:rPr>
          <w:sz w:val="24"/>
        </w:rPr>
        <w:t>（</w:t>
      </w:r>
      <w:r>
        <w:rPr>
          <w:spacing w:val="-9"/>
          <w:sz w:val="24"/>
        </w:rPr>
        <w:t>户名、开户行等详见投标人须知前附表 </w:t>
      </w:r>
      <w:r>
        <w:rPr>
          <w:spacing w:val="-16"/>
          <w:sz w:val="24"/>
        </w:rPr>
        <w:t>4</w:t>
      </w:r>
      <w:r>
        <w:rPr>
          <w:spacing w:val="-5"/>
          <w:sz w:val="24"/>
        </w:rPr>
        <w:t>，账号： </w:t>
      </w:r>
      <w:r>
        <w:rPr>
          <w:spacing w:val="-15"/>
          <w:sz w:val="24"/>
        </w:rPr>
        <w:t>由系统随机生成，各投标人的每个分包均不同，请各投标人登录投标人业务管理系统， 点击“投标保证金账号获取”栏目中对应已获取招标文件的分包查询、使用</w:t>
      </w:r>
      <w:r>
        <w:rPr>
          <w:spacing w:val="-120"/>
          <w:sz w:val="24"/>
        </w:rPr>
        <w:t>）</w:t>
      </w:r>
      <w:r>
        <w:rPr>
          <w:sz w:val="24"/>
        </w:rPr>
        <w:t>。</w:t>
      </w:r>
    </w:p>
    <w:p>
      <w:pPr>
        <w:pStyle w:val="ListParagraph"/>
        <w:numPr>
          <w:ilvl w:val="1"/>
          <w:numId w:val="10"/>
        </w:numPr>
        <w:tabs>
          <w:tab w:pos="1410" w:val="left" w:leader="none"/>
        </w:tabs>
        <w:spacing w:line="374" w:lineRule="auto" w:before="2" w:after="0"/>
        <w:ind w:left="389" w:right="328" w:firstLine="480"/>
        <w:jc w:val="both"/>
        <w:rPr>
          <w:sz w:val="24"/>
        </w:rPr>
      </w:pPr>
      <w:r>
        <w:rPr>
          <w:spacing w:val="-4"/>
          <w:sz w:val="24"/>
        </w:rPr>
        <w:t>投标人必须在投标文件提交截止时间前提交投标保证金。通过转账支票</w:t>
      </w:r>
      <w:r>
        <w:rPr>
          <w:sz w:val="24"/>
        </w:rPr>
        <w:t>（同城</w:t>
      </w:r>
      <w:r>
        <w:rPr>
          <w:spacing w:val="-120"/>
          <w:sz w:val="24"/>
        </w:rPr>
        <w:t>）</w:t>
      </w:r>
      <w:r>
        <w:rPr>
          <w:spacing w:val="-7"/>
          <w:sz w:val="24"/>
        </w:rPr>
        <w:t>、电汇</w:t>
      </w:r>
      <w:r>
        <w:rPr>
          <w:sz w:val="24"/>
        </w:rPr>
        <w:t>（异地</w:t>
      </w:r>
      <w:r>
        <w:rPr>
          <w:spacing w:val="-120"/>
          <w:sz w:val="24"/>
        </w:rPr>
        <w:t>）</w:t>
      </w:r>
      <w:r>
        <w:rPr>
          <w:spacing w:val="-4"/>
          <w:sz w:val="24"/>
        </w:rPr>
        <w:t>、网上银行缴纳的，开标后由招标代理机构到当地公共资源交易中</w:t>
      </w:r>
      <w:r>
        <w:rPr>
          <w:spacing w:val="-6"/>
          <w:sz w:val="24"/>
        </w:rPr>
        <w:t>心，根据到账记录开具已收取投标保证金单位情况列表，保证金未在投标文件递交截止时间前到达专用账户的，按无效标处理。</w:t>
      </w:r>
    </w:p>
    <w:p>
      <w:pPr>
        <w:pStyle w:val="ListParagraph"/>
        <w:numPr>
          <w:ilvl w:val="1"/>
          <w:numId w:val="10"/>
        </w:numPr>
        <w:tabs>
          <w:tab w:pos="1410" w:val="left" w:leader="none"/>
        </w:tabs>
        <w:spacing w:line="374" w:lineRule="auto" w:before="1" w:after="0"/>
        <w:ind w:left="389" w:right="331" w:firstLine="480"/>
        <w:jc w:val="left"/>
        <w:rPr>
          <w:sz w:val="24"/>
        </w:rPr>
      </w:pPr>
      <w:r>
        <w:rPr>
          <w:spacing w:val="-9"/>
          <w:sz w:val="24"/>
        </w:rPr>
        <w:t>投标企业以个人、办事处、分公司、子公司名义或从他人账户及投标人企业的其他账户提交的投标保证金无效。</w:t>
      </w:r>
    </w:p>
    <w:p>
      <w:pPr>
        <w:pStyle w:val="ListParagraph"/>
        <w:numPr>
          <w:ilvl w:val="1"/>
          <w:numId w:val="10"/>
        </w:numPr>
        <w:tabs>
          <w:tab w:pos="1472" w:val="left" w:leader="none"/>
        </w:tabs>
        <w:spacing w:line="374" w:lineRule="auto" w:before="1" w:after="0"/>
        <w:ind w:left="389" w:right="327" w:firstLine="480"/>
        <w:jc w:val="both"/>
        <w:rPr>
          <w:sz w:val="24"/>
        </w:rPr>
      </w:pPr>
      <w:r>
        <w:rPr>
          <w:sz w:val="24"/>
        </w:rPr>
        <w:t>投标保证金退付：投标保证金仅通过汇款渠道退至投标人法人基本存款账</w:t>
      </w:r>
      <w:r>
        <w:rPr>
          <w:spacing w:val="-9"/>
          <w:sz w:val="24"/>
        </w:rPr>
        <w:t>户。未中标人的投标保证金，将在中标通知书发出之日起 </w:t>
      </w:r>
      <w:r>
        <w:rPr>
          <w:sz w:val="24"/>
        </w:rPr>
        <w:t>5</w:t>
      </w:r>
      <w:r>
        <w:rPr>
          <w:spacing w:val="-8"/>
          <w:sz w:val="24"/>
        </w:rPr>
        <w:t> 个工作日内无息退还至原账户。由招标人或代理机构提交投标保证金退付申请至当地公共资源交易中心统一办理退付手续。因供应商原因导致不能及时退付的，责任自负。</w:t>
      </w:r>
    </w:p>
    <w:p>
      <w:pPr>
        <w:pStyle w:val="BodyText"/>
        <w:spacing w:before="4"/>
        <w:rPr>
          <w:sz w:val="9"/>
        </w:rPr>
      </w:pPr>
    </w:p>
    <w:p>
      <w:pPr>
        <w:spacing w:before="64"/>
        <w:ind w:left="54" w:right="0" w:firstLine="0"/>
        <w:jc w:val="center"/>
        <w:rPr>
          <w:rFonts w:ascii="Calibri"/>
          <w:sz w:val="18"/>
        </w:rPr>
      </w:pPr>
      <w:r>
        <w:rPr>
          <w:rFonts w:ascii="Calibri"/>
          <w:sz w:val="18"/>
        </w:rPr>
        <w:t>9</w:t>
      </w:r>
    </w:p>
    <w:p>
      <w:pPr>
        <w:spacing w:after="0"/>
        <w:jc w:val="center"/>
        <w:rPr>
          <w:rFonts w:ascii="Calibri"/>
          <w:sz w:val="18"/>
        </w:rPr>
        <w:sectPr>
          <w:pgSz w:w="11910" w:h="16840"/>
          <w:pgMar w:top="1540" w:bottom="280" w:left="1200" w:right="1140"/>
        </w:sectPr>
      </w:pPr>
    </w:p>
    <w:p>
      <w:pPr>
        <w:pStyle w:val="BodyText"/>
        <w:spacing w:line="374" w:lineRule="auto" w:before="46"/>
        <w:ind w:left="389" w:right="288" w:firstLine="479"/>
      </w:pPr>
      <w:r>
        <w:rPr/>
        <w:drawing>
          <wp:anchor distT="0" distB="0" distL="0" distR="0" allowOverlap="1" layoutInCell="1" locked="0" behindDoc="1" simplePos="0" relativeHeight="268349855">
            <wp:simplePos x="0" y="0"/>
            <wp:positionH relativeFrom="page">
              <wp:posOffset>203309</wp:posOffset>
            </wp:positionH>
            <wp:positionV relativeFrom="page">
              <wp:posOffset>944714</wp:posOffset>
            </wp:positionV>
            <wp:extent cx="7115825" cy="9747669"/>
            <wp:effectExtent l="0" t="0" r="0" b="0"/>
            <wp:wrapNone/>
            <wp:docPr id="29" name="image2.jpeg" descr=""/>
            <wp:cNvGraphicFramePr>
              <a:graphicFrameLocks noChangeAspect="1"/>
            </wp:cNvGraphicFramePr>
            <a:graphic>
              <a:graphicData uri="http://schemas.openxmlformats.org/drawingml/2006/picture">
                <pic:pic>
                  <pic:nvPicPr>
                    <pic:cNvPr id="3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576" filled="true" fillcolor="#ffffff" stroked="false">
            <v:fill type="solid"/>
            <w10:wrap type="none"/>
          </v:rect>
        </w:pict>
      </w:r>
      <w:r>
        <w:rPr/>
        <w:t>注：已按规定在当地公共资源交易中心缴纳政府采购年度投标保证金的投标人无需再次缴纳投标保证金，但招标文件投标人须知前附表 1 规定的投标保证金金额超</w:t>
      </w:r>
    </w:p>
    <w:p>
      <w:pPr>
        <w:pStyle w:val="BodyText"/>
        <w:spacing w:line="374" w:lineRule="auto"/>
        <w:ind w:left="389" w:right="327"/>
      </w:pPr>
      <w:r>
        <w:rPr>
          <w:spacing w:val="-11"/>
        </w:rPr>
        <w:t>过投标人缴纳年度保证金的，投标人应补缴差额部分，缴纳要求按上述 </w:t>
      </w:r>
      <w:r>
        <w:rPr/>
        <w:t>13.1-13.5 项执行。</w:t>
      </w:r>
    </w:p>
    <w:p>
      <w:pPr>
        <w:pStyle w:val="ListParagraph"/>
        <w:numPr>
          <w:ilvl w:val="1"/>
          <w:numId w:val="10"/>
        </w:numPr>
        <w:tabs>
          <w:tab w:pos="1410" w:val="left" w:leader="none"/>
        </w:tabs>
        <w:spacing w:line="240" w:lineRule="auto" w:before="1" w:after="0"/>
        <w:ind w:left="389" w:right="0" w:firstLine="480"/>
        <w:jc w:val="left"/>
        <w:rPr>
          <w:sz w:val="24"/>
        </w:rPr>
      </w:pPr>
      <w:r>
        <w:rPr>
          <w:sz w:val="24"/>
        </w:rPr>
        <w:t>中标人的投标保证金，中标后将自动转为履约保证金（不计息</w:t>
      </w:r>
      <w:r>
        <w:rPr>
          <w:spacing w:val="-120"/>
          <w:sz w:val="24"/>
        </w:rPr>
        <w:t>）</w:t>
      </w:r>
      <w:r>
        <w:rPr>
          <w:sz w:val="24"/>
        </w:rPr>
        <w:t>。</w:t>
      </w:r>
    </w:p>
    <w:p>
      <w:pPr>
        <w:pStyle w:val="ListParagraph"/>
        <w:numPr>
          <w:ilvl w:val="1"/>
          <w:numId w:val="10"/>
        </w:numPr>
        <w:tabs>
          <w:tab w:pos="1410" w:val="left" w:leader="none"/>
        </w:tabs>
        <w:spacing w:line="240" w:lineRule="auto" w:before="172" w:after="0"/>
        <w:ind w:left="389" w:right="0" w:firstLine="480"/>
        <w:jc w:val="left"/>
        <w:rPr>
          <w:sz w:val="24"/>
        </w:rPr>
      </w:pPr>
      <w:r>
        <w:rPr>
          <w:sz w:val="24"/>
        </w:rPr>
        <w:t>发生下列情况之一时，投标保证金将被没收：</w:t>
      </w:r>
    </w:p>
    <w:p>
      <w:pPr>
        <w:pStyle w:val="ListParagraph"/>
        <w:numPr>
          <w:ilvl w:val="2"/>
          <w:numId w:val="10"/>
        </w:numPr>
        <w:tabs>
          <w:tab w:pos="1650" w:val="left" w:leader="none"/>
        </w:tabs>
        <w:spacing w:line="240" w:lineRule="auto" w:before="190" w:after="0"/>
        <w:ind w:left="1649" w:right="0" w:hanging="780"/>
        <w:jc w:val="left"/>
        <w:rPr>
          <w:sz w:val="24"/>
        </w:rPr>
      </w:pPr>
      <w:r>
        <w:rPr>
          <w:sz w:val="24"/>
        </w:rPr>
        <w:t>投标人在投标截止时间后、投标有效期内撤回其投标的；</w:t>
      </w:r>
    </w:p>
    <w:p>
      <w:pPr>
        <w:pStyle w:val="ListParagraph"/>
        <w:numPr>
          <w:ilvl w:val="2"/>
          <w:numId w:val="10"/>
        </w:numPr>
        <w:tabs>
          <w:tab w:pos="1650" w:val="left" w:leader="none"/>
        </w:tabs>
        <w:spacing w:line="240" w:lineRule="auto" w:before="192" w:after="0"/>
        <w:ind w:left="1649" w:right="0" w:hanging="780"/>
        <w:jc w:val="left"/>
        <w:rPr>
          <w:sz w:val="24"/>
        </w:rPr>
      </w:pPr>
      <w:r>
        <w:rPr>
          <w:sz w:val="24"/>
        </w:rPr>
        <w:t>投标人在投标文件中提供虚假材料的；</w:t>
      </w:r>
    </w:p>
    <w:p>
      <w:pPr>
        <w:pStyle w:val="ListParagraph"/>
        <w:numPr>
          <w:ilvl w:val="2"/>
          <w:numId w:val="10"/>
        </w:numPr>
        <w:tabs>
          <w:tab w:pos="1650" w:val="left" w:leader="none"/>
        </w:tabs>
        <w:spacing w:line="240" w:lineRule="auto" w:before="194" w:after="0"/>
        <w:ind w:left="1649" w:right="0" w:hanging="780"/>
        <w:jc w:val="left"/>
        <w:rPr>
          <w:sz w:val="24"/>
        </w:rPr>
      </w:pPr>
      <w:r>
        <w:rPr>
          <w:sz w:val="24"/>
        </w:rPr>
        <w:t>投标人有招标文件规定的恶意串通投标情形的；</w:t>
      </w:r>
    </w:p>
    <w:p>
      <w:pPr>
        <w:pStyle w:val="ListParagraph"/>
        <w:numPr>
          <w:ilvl w:val="2"/>
          <w:numId w:val="10"/>
        </w:numPr>
        <w:tabs>
          <w:tab w:pos="1650" w:val="left" w:leader="none"/>
        </w:tabs>
        <w:spacing w:line="240" w:lineRule="auto" w:before="192" w:after="0"/>
        <w:ind w:left="1649" w:right="0" w:hanging="780"/>
        <w:jc w:val="left"/>
        <w:rPr>
          <w:sz w:val="24"/>
        </w:rPr>
      </w:pPr>
      <w:r>
        <w:rPr>
          <w:sz w:val="24"/>
        </w:rPr>
        <w:t>中标通知书发出后，除不可抗力外，中标人放弃中标的；</w:t>
      </w:r>
    </w:p>
    <w:p>
      <w:pPr>
        <w:pStyle w:val="ListParagraph"/>
        <w:numPr>
          <w:ilvl w:val="2"/>
          <w:numId w:val="10"/>
        </w:numPr>
        <w:tabs>
          <w:tab w:pos="1650" w:val="left" w:leader="none"/>
        </w:tabs>
        <w:spacing w:line="240" w:lineRule="auto" w:before="192" w:after="0"/>
        <w:ind w:left="1649" w:right="0" w:hanging="780"/>
        <w:jc w:val="left"/>
        <w:rPr>
          <w:sz w:val="24"/>
        </w:rPr>
      </w:pPr>
      <w:r>
        <w:rPr>
          <w:sz w:val="24"/>
        </w:rPr>
        <w:t>中标人未在规定期限内及时签订项目合同的或拒绝履行合同义务的；</w:t>
      </w:r>
    </w:p>
    <w:p>
      <w:pPr>
        <w:pStyle w:val="ListParagraph"/>
        <w:numPr>
          <w:ilvl w:val="2"/>
          <w:numId w:val="10"/>
        </w:numPr>
        <w:tabs>
          <w:tab w:pos="1650" w:val="left" w:leader="none"/>
        </w:tabs>
        <w:spacing w:line="240" w:lineRule="auto" w:before="194" w:after="0"/>
        <w:ind w:left="1649" w:right="0" w:hanging="780"/>
        <w:jc w:val="left"/>
        <w:rPr>
          <w:sz w:val="24"/>
        </w:rPr>
      </w:pPr>
      <w:r>
        <w:rPr>
          <w:sz w:val="24"/>
        </w:rPr>
        <w:t>将中标项目转让给他人，或者未经同意，将中标项目分包给他人的；</w:t>
      </w:r>
    </w:p>
    <w:p>
      <w:pPr>
        <w:pStyle w:val="ListParagraph"/>
        <w:numPr>
          <w:ilvl w:val="2"/>
          <w:numId w:val="10"/>
        </w:numPr>
        <w:tabs>
          <w:tab w:pos="1650" w:val="left" w:leader="none"/>
        </w:tabs>
        <w:spacing w:line="240" w:lineRule="auto" w:before="191" w:after="0"/>
        <w:ind w:left="1649" w:right="0" w:hanging="780"/>
        <w:jc w:val="left"/>
        <w:rPr>
          <w:sz w:val="24"/>
        </w:rPr>
      </w:pPr>
      <w:r>
        <w:rPr>
          <w:sz w:val="24"/>
        </w:rPr>
        <w:t>其它违反政府采购法律法规的有关情况。</w:t>
      </w:r>
    </w:p>
    <w:p>
      <w:pPr>
        <w:pStyle w:val="Heading8"/>
        <w:spacing w:before="113"/>
      </w:pPr>
      <w:r>
        <w:rPr/>
        <w:t>15、投标有效期</w:t>
      </w:r>
    </w:p>
    <w:p>
      <w:pPr>
        <w:pStyle w:val="ListParagraph"/>
        <w:numPr>
          <w:ilvl w:val="1"/>
          <w:numId w:val="11"/>
        </w:numPr>
        <w:tabs>
          <w:tab w:pos="1410" w:val="left" w:leader="none"/>
        </w:tabs>
        <w:spacing w:line="388" w:lineRule="auto" w:before="140" w:after="0"/>
        <w:ind w:left="389" w:right="331" w:firstLine="480"/>
        <w:jc w:val="left"/>
        <w:rPr>
          <w:sz w:val="24"/>
        </w:rPr>
      </w:pPr>
      <w:r>
        <w:rPr>
          <w:spacing w:val="-6"/>
          <w:sz w:val="24"/>
        </w:rPr>
        <w:t>在投标人须知前附表规定的投标有效期内，投标人不得要求撤销或者修改其投标文件。</w:t>
      </w:r>
    </w:p>
    <w:p>
      <w:pPr>
        <w:pStyle w:val="ListParagraph"/>
        <w:numPr>
          <w:ilvl w:val="1"/>
          <w:numId w:val="11"/>
        </w:numPr>
        <w:tabs>
          <w:tab w:pos="1410" w:val="left" w:leader="none"/>
        </w:tabs>
        <w:spacing w:line="391" w:lineRule="auto" w:before="2" w:after="0"/>
        <w:ind w:left="389" w:right="326" w:firstLine="480"/>
        <w:jc w:val="both"/>
        <w:rPr>
          <w:sz w:val="24"/>
        </w:rPr>
      </w:pPr>
      <w:r>
        <w:rPr>
          <w:spacing w:val="-9"/>
          <w:sz w:val="24"/>
        </w:rPr>
        <w:t>在特殊情况下，采购人于原投标有效期满之前，可向投标人提出延长投标有</w:t>
      </w:r>
      <w:r>
        <w:rPr>
          <w:spacing w:val="1"/>
          <w:sz w:val="24"/>
        </w:rPr>
        <w:t>效期的要求，这种要求与答复均应采用书面形式（如信件、传真或电报等</w:t>
      </w:r>
      <w:r>
        <w:rPr>
          <w:spacing w:val="-118"/>
          <w:sz w:val="24"/>
        </w:rPr>
        <w:t>）</w:t>
      </w:r>
      <w:r>
        <w:rPr>
          <w:spacing w:val="1"/>
          <w:sz w:val="24"/>
        </w:rPr>
        <w:t>，投标人</w:t>
      </w:r>
      <w:r>
        <w:rPr>
          <w:spacing w:val="-3"/>
          <w:sz w:val="24"/>
        </w:rPr>
        <w:t>可拒绝采购人的这一要求而放弃投标，同意延长的投标人既不能要求也不允许修改其投标文件。招标文件有关投标保证金的没收和退还的规定在延长期内继续有效。</w:t>
      </w:r>
    </w:p>
    <w:p>
      <w:pPr>
        <w:pStyle w:val="BodyText"/>
        <w:spacing w:before="11"/>
        <w:rPr>
          <w:sz w:val="35"/>
        </w:rPr>
      </w:pPr>
    </w:p>
    <w:p>
      <w:pPr>
        <w:pStyle w:val="Heading2"/>
        <w:spacing w:line="240" w:lineRule="auto"/>
      </w:pPr>
      <w:bookmarkStart w:name="_TOC_250028" w:id="13"/>
      <w:bookmarkStart w:name="四、投标文件的提交" w:id="14"/>
      <w:r>
        <w:rPr>
          <w:b w:val="0"/>
        </w:rPr>
      </w:r>
      <w:bookmarkEnd w:id="13"/>
      <w:r>
        <w:rPr/>
        <w:t>四、投标文件的提交</w:t>
      </w:r>
    </w:p>
    <w:p>
      <w:pPr>
        <w:pStyle w:val="Heading8"/>
        <w:spacing w:before="118"/>
      </w:pPr>
      <w:r>
        <w:rPr>
          <w:w w:val="95"/>
        </w:rPr>
        <w:t>16、投标文件的提交</w:t>
      </w:r>
    </w:p>
    <w:p>
      <w:pPr>
        <w:pStyle w:val="ListParagraph"/>
        <w:numPr>
          <w:ilvl w:val="1"/>
          <w:numId w:val="12"/>
        </w:numPr>
        <w:tabs>
          <w:tab w:pos="1410" w:val="left" w:leader="none"/>
        </w:tabs>
        <w:spacing w:line="391" w:lineRule="auto" w:before="137" w:after="0"/>
        <w:ind w:left="389" w:right="327" w:firstLine="480"/>
        <w:jc w:val="both"/>
        <w:rPr>
          <w:sz w:val="24"/>
        </w:rPr>
      </w:pPr>
      <w:r>
        <w:rPr>
          <w:spacing w:val="-4"/>
          <w:sz w:val="24"/>
        </w:rPr>
        <w:t>投标人应在招标文件规定的投标截止时间前提交投标文件。投标人应将电子投标文件上传至</w:t>
      </w:r>
      <w:r>
        <w:rPr>
          <w:color w:val="0000FF"/>
          <w:spacing w:val="-4"/>
          <w:sz w:val="24"/>
        </w:rPr>
        <w:t>电子交易平台</w:t>
      </w:r>
      <w:r>
        <w:rPr>
          <w:spacing w:val="-7"/>
          <w:sz w:val="24"/>
        </w:rPr>
        <w:t>对应的本次开标分包中，未及时上传的，招标人不予受理。投标文件提交截止时间后，投标人对投标报价或其他实质性内容修正的函件和增加的任何优惠条件，一律拒绝接收。</w:t>
      </w:r>
    </w:p>
    <w:p>
      <w:pPr>
        <w:pStyle w:val="BodyText"/>
        <w:spacing w:before="5"/>
        <w:rPr>
          <w:sz w:val="8"/>
        </w:rPr>
      </w:pPr>
    </w:p>
    <w:p>
      <w:pPr>
        <w:spacing w:before="64"/>
        <w:ind w:left="54" w:right="0" w:firstLine="0"/>
        <w:jc w:val="center"/>
        <w:rPr>
          <w:rFonts w:ascii="Calibri"/>
          <w:sz w:val="18"/>
        </w:rPr>
      </w:pPr>
      <w:r>
        <w:rPr>
          <w:rFonts w:ascii="Calibri"/>
          <w:sz w:val="18"/>
        </w:rPr>
        <w:t>10</w:t>
      </w:r>
    </w:p>
    <w:p>
      <w:pPr>
        <w:spacing w:after="0"/>
        <w:jc w:val="center"/>
        <w:rPr>
          <w:rFonts w:ascii="Calibri"/>
          <w:sz w:val="18"/>
        </w:rPr>
        <w:sectPr>
          <w:pgSz w:w="11910" w:h="16840"/>
          <w:pgMar w:top="1520" w:bottom="280" w:left="1200" w:right="1140"/>
        </w:sectPr>
      </w:pPr>
    </w:p>
    <w:p>
      <w:pPr>
        <w:pStyle w:val="ListParagraph"/>
        <w:numPr>
          <w:ilvl w:val="1"/>
          <w:numId w:val="12"/>
        </w:numPr>
        <w:tabs>
          <w:tab w:pos="1410" w:val="left" w:leader="none"/>
        </w:tabs>
        <w:spacing w:line="240" w:lineRule="auto" w:before="43" w:after="0"/>
        <w:ind w:left="389" w:right="0" w:firstLine="480"/>
        <w:jc w:val="left"/>
        <w:rPr>
          <w:sz w:val="24"/>
        </w:rPr>
      </w:pPr>
      <w:r>
        <w:rPr/>
        <w:drawing>
          <wp:anchor distT="0" distB="0" distL="0" distR="0" allowOverlap="1" layoutInCell="1" locked="0" behindDoc="1" simplePos="0" relativeHeight="268349903">
            <wp:simplePos x="0" y="0"/>
            <wp:positionH relativeFrom="page">
              <wp:posOffset>203309</wp:posOffset>
            </wp:positionH>
            <wp:positionV relativeFrom="page">
              <wp:posOffset>944714</wp:posOffset>
            </wp:positionV>
            <wp:extent cx="7115825" cy="9747669"/>
            <wp:effectExtent l="0" t="0" r="0" b="0"/>
            <wp:wrapNone/>
            <wp:docPr id="31" name="image2.jpeg" descr=""/>
            <wp:cNvGraphicFramePr>
              <a:graphicFrameLocks noChangeAspect="1"/>
            </wp:cNvGraphicFramePr>
            <a:graphic>
              <a:graphicData uri="http://schemas.openxmlformats.org/drawingml/2006/picture">
                <pic:pic>
                  <pic:nvPicPr>
                    <pic:cNvPr id="3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528" filled="true" fillcolor="#ffffff" stroked="false">
            <v:fill type="solid"/>
            <w10:wrap type="none"/>
          </v:rect>
        </w:pict>
      </w:r>
      <w:r>
        <w:rPr>
          <w:sz w:val="24"/>
        </w:rPr>
        <w:t>除招标文件另有规定外，投标人所提交的投标文件不予退还。</w:t>
      </w:r>
    </w:p>
    <w:p>
      <w:pPr>
        <w:pStyle w:val="ListParagraph"/>
        <w:numPr>
          <w:ilvl w:val="1"/>
          <w:numId w:val="12"/>
        </w:numPr>
        <w:tabs>
          <w:tab w:pos="1410" w:val="left" w:leader="none"/>
        </w:tabs>
        <w:spacing w:line="391" w:lineRule="auto" w:before="191" w:after="0"/>
        <w:ind w:left="389" w:right="331" w:firstLine="480"/>
        <w:jc w:val="left"/>
        <w:rPr>
          <w:sz w:val="24"/>
        </w:rPr>
      </w:pPr>
      <w:r>
        <w:rPr>
          <w:spacing w:val="-6"/>
          <w:sz w:val="24"/>
        </w:rPr>
        <w:t>网上投标文件的修改和撤回：在投标截止时间前，投标人可以撤回或重新提交投标文件，投标文件以最终完成上传的为准。</w:t>
      </w:r>
    </w:p>
    <w:p>
      <w:pPr>
        <w:pStyle w:val="ListParagraph"/>
        <w:numPr>
          <w:ilvl w:val="1"/>
          <w:numId w:val="12"/>
        </w:numPr>
        <w:tabs>
          <w:tab w:pos="1410" w:val="left" w:leader="none"/>
        </w:tabs>
        <w:spacing w:line="391" w:lineRule="auto" w:before="0" w:after="0"/>
        <w:ind w:left="389" w:right="331" w:firstLine="480"/>
        <w:jc w:val="both"/>
        <w:rPr>
          <w:sz w:val="24"/>
        </w:rPr>
      </w:pPr>
      <w:r>
        <w:rPr>
          <w:spacing w:val="-4"/>
          <w:sz w:val="24"/>
        </w:rPr>
        <w:t>采购代理机构可以通过修改招标文件酌情延长投标文件接收截止日期，在此</w:t>
      </w:r>
      <w:r>
        <w:rPr>
          <w:spacing w:val="-7"/>
          <w:sz w:val="24"/>
        </w:rPr>
        <w:t>情况下，投标人的所有权利和义务以及投标人受制约的截止日期均应以延长后新的截止日期为准。</w:t>
      </w:r>
    </w:p>
    <w:p>
      <w:pPr>
        <w:pStyle w:val="Heading8"/>
        <w:spacing w:line="358" w:lineRule="exact"/>
      </w:pPr>
      <w:r>
        <w:rPr/>
        <w:t>17、投标文件被拒绝接收的情形</w:t>
      </w:r>
    </w:p>
    <w:p>
      <w:pPr>
        <w:pStyle w:val="BodyText"/>
        <w:spacing w:before="136"/>
        <w:ind w:left="869"/>
      </w:pPr>
      <w:r>
        <w:rPr/>
        <w:t>17.1 在招标文件规定的投标截止时间后上传的投标文件。</w:t>
      </w:r>
    </w:p>
    <w:p>
      <w:pPr>
        <w:pStyle w:val="BodyText"/>
      </w:pPr>
    </w:p>
    <w:p>
      <w:pPr>
        <w:pStyle w:val="BodyText"/>
        <w:spacing w:before="3"/>
        <w:rPr>
          <w:sz w:val="27"/>
        </w:rPr>
      </w:pPr>
    </w:p>
    <w:p>
      <w:pPr>
        <w:pStyle w:val="Heading2"/>
        <w:spacing w:line="240" w:lineRule="auto"/>
      </w:pPr>
      <w:bookmarkStart w:name="_TOC_250027" w:id="15"/>
      <w:bookmarkStart w:name="五、无效标、废标、串通投标认定条款" w:id="16"/>
      <w:r>
        <w:rPr>
          <w:b w:val="0"/>
        </w:rPr>
      </w:r>
      <w:bookmarkEnd w:id="15"/>
      <w:r>
        <w:rPr/>
        <w:t>五、无效标、废标、串通投标认定条款</w:t>
      </w:r>
    </w:p>
    <w:p>
      <w:pPr>
        <w:pStyle w:val="Heading8"/>
        <w:spacing w:before="118"/>
      </w:pPr>
      <w:r>
        <w:rPr/>
        <w:t>18、无效投标条款</w:t>
      </w:r>
    </w:p>
    <w:p>
      <w:pPr>
        <w:pStyle w:val="BodyText"/>
        <w:spacing w:before="13"/>
        <w:rPr>
          <w:rFonts w:ascii="Microsoft JhengHei"/>
          <w:b/>
          <w:sz w:val="15"/>
        </w:rPr>
      </w:pPr>
    </w:p>
    <w:p>
      <w:pPr>
        <w:pStyle w:val="ListParagraph"/>
        <w:numPr>
          <w:ilvl w:val="1"/>
          <w:numId w:val="13"/>
        </w:numPr>
        <w:tabs>
          <w:tab w:pos="1350" w:val="left" w:leader="none"/>
        </w:tabs>
        <w:spacing w:line="240" w:lineRule="auto" w:before="0" w:after="0"/>
        <w:ind w:left="389" w:right="0" w:firstLine="420"/>
        <w:jc w:val="left"/>
        <w:rPr>
          <w:sz w:val="24"/>
        </w:rPr>
      </w:pPr>
      <w:r>
        <w:rPr>
          <w:sz w:val="24"/>
        </w:rPr>
        <w:t>投标人不符合招标文件规定资格要求的或未按规定提交资质证件的；</w:t>
      </w:r>
    </w:p>
    <w:p>
      <w:pPr>
        <w:pStyle w:val="ListParagraph"/>
        <w:numPr>
          <w:ilvl w:val="1"/>
          <w:numId w:val="13"/>
        </w:numPr>
        <w:tabs>
          <w:tab w:pos="1350" w:val="left" w:leader="none"/>
        </w:tabs>
        <w:spacing w:line="240" w:lineRule="auto" w:before="4" w:after="0"/>
        <w:ind w:left="389" w:right="0" w:firstLine="420"/>
        <w:jc w:val="left"/>
        <w:rPr>
          <w:sz w:val="24"/>
        </w:rPr>
      </w:pPr>
      <w:r>
        <w:rPr>
          <w:sz w:val="24"/>
        </w:rPr>
        <w:t>投标人在规定的时间未按要求提交投标保证金的；</w:t>
      </w:r>
    </w:p>
    <w:p>
      <w:pPr>
        <w:pStyle w:val="ListParagraph"/>
        <w:numPr>
          <w:ilvl w:val="1"/>
          <w:numId w:val="13"/>
        </w:numPr>
        <w:tabs>
          <w:tab w:pos="1350" w:val="left" w:leader="none"/>
        </w:tabs>
        <w:spacing w:line="244" w:lineRule="auto" w:before="5" w:after="0"/>
        <w:ind w:left="389" w:right="535" w:firstLine="420"/>
        <w:jc w:val="both"/>
        <w:rPr>
          <w:sz w:val="24"/>
        </w:rPr>
      </w:pPr>
      <w:r>
        <w:rPr>
          <w:sz w:val="24"/>
        </w:rPr>
        <w:t>投标文件签署、盖章不符合招标文件要求的；电子投标文件中的投标函未加盖投标人的电子印章及法定代表人电子签章的；在投标文件中未提供合法、有效的法定代表人法人资格证明及其居民身份证或其授权委托代理人的法人授权委托书及其居民身份证的；</w:t>
      </w:r>
    </w:p>
    <w:p>
      <w:pPr>
        <w:pStyle w:val="ListParagraph"/>
        <w:numPr>
          <w:ilvl w:val="1"/>
          <w:numId w:val="13"/>
        </w:numPr>
        <w:tabs>
          <w:tab w:pos="1350" w:val="left" w:leader="none"/>
        </w:tabs>
        <w:spacing w:line="301" w:lineRule="exact" w:before="0" w:after="0"/>
        <w:ind w:left="389" w:right="0" w:firstLine="420"/>
        <w:jc w:val="left"/>
        <w:rPr>
          <w:sz w:val="24"/>
        </w:rPr>
      </w:pPr>
      <w:r>
        <w:rPr>
          <w:sz w:val="24"/>
        </w:rPr>
        <w:t>未按招标文件要求提供电子投标文件，或者投标文件三次解密未成功的；</w:t>
      </w:r>
    </w:p>
    <w:p>
      <w:pPr>
        <w:pStyle w:val="ListParagraph"/>
        <w:numPr>
          <w:ilvl w:val="1"/>
          <w:numId w:val="13"/>
        </w:numPr>
        <w:tabs>
          <w:tab w:pos="1350" w:val="left" w:leader="none"/>
        </w:tabs>
        <w:spacing w:line="242" w:lineRule="auto" w:before="4" w:after="0"/>
        <w:ind w:left="389" w:right="329" w:firstLine="420"/>
        <w:jc w:val="left"/>
        <w:rPr>
          <w:sz w:val="24"/>
        </w:rPr>
      </w:pPr>
      <w:r>
        <w:rPr>
          <w:spacing w:val="-2"/>
          <w:sz w:val="24"/>
        </w:rPr>
        <w:t>投标文件出现重大偏差，未对招标文件进行实质性响应的</w:t>
      </w:r>
      <w:r>
        <w:rPr>
          <w:sz w:val="24"/>
        </w:rPr>
        <w:t>（★部分为实质性要求）</w:t>
      </w:r>
      <w:r>
        <w:rPr>
          <w:spacing w:val="-1"/>
          <w:sz w:val="24"/>
        </w:rPr>
        <w:t> ；</w:t>
      </w:r>
    </w:p>
    <w:p>
      <w:pPr>
        <w:pStyle w:val="ListParagraph"/>
        <w:numPr>
          <w:ilvl w:val="1"/>
          <w:numId w:val="13"/>
        </w:numPr>
        <w:tabs>
          <w:tab w:pos="1350" w:val="left" w:leader="none"/>
        </w:tabs>
        <w:spacing w:line="240" w:lineRule="auto" w:before="3" w:after="0"/>
        <w:ind w:left="389" w:right="0" w:firstLine="420"/>
        <w:jc w:val="left"/>
        <w:rPr>
          <w:sz w:val="24"/>
        </w:rPr>
      </w:pPr>
      <w:r>
        <w:rPr>
          <w:sz w:val="24"/>
        </w:rPr>
        <w:t>投标人有本招标文件规定的恶意串通投标情形的；</w:t>
      </w:r>
    </w:p>
    <w:p>
      <w:pPr>
        <w:pStyle w:val="ListParagraph"/>
        <w:numPr>
          <w:ilvl w:val="1"/>
          <w:numId w:val="13"/>
        </w:numPr>
        <w:tabs>
          <w:tab w:pos="1350" w:val="left" w:leader="none"/>
        </w:tabs>
        <w:spacing w:line="242" w:lineRule="auto" w:before="5" w:after="0"/>
        <w:ind w:left="389" w:right="414" w:firstLine="420"/>
        <w:jc w:val="left"/>
        <w:rPr>
          <w:sz w:val="24"/>
        </w:rPr>
      </w:pPr>
      <w:r>
        <w:rPr>
          <w:spacing w:val="-3"/>
          <w:sz w:val="24"/>
        </w:rPr>
        <w:t>法定代表人或其授权委托代理人未按本须知 </w:t>
      </w:r>
      <w:r>
        <w:rPr>
          <w:sz w:val="24"/>
        </w:rPr>
        <w:t>22.2</w:t>
      </w:r>
      <w:r>
        <w:rPr>
          <w:spacing w:val="-8"/>
          <w:sz w:val="24"/>
        </w:rPr>
        <w:t> 条出席开标会议或未按要求接受评标委员会质询的；</w:t>
      </w:r>
    </w:p>
    <w:p>
      <w:pPr>
        <w:pStyle w:val="ListParagraph"/>
        <w:numPr>
          <w:ilvl w:val="1"/>
          <w:numId w:val="13"/>
        </w:numPr>
        <w:tabs>
          <w:tab w:pos="1350" w:val="left" w:leader="none"/>
        </w:tabs>
        <w:spacing w:line="240" w:lineRule="auto" w:before="2" w:after="0"/>
        <w:ind w:left="389" w:right="0" w:firstLine="420"/>
        <w:jc w:val="left"/>
        <w:rPr>
          <w:sz w:val="24"/>
        </w:rPr>
      </w:pPr>
      <w:r>
        <w:rPr>
          <w:sz w:val="24"/>
        </w:rPr>
        <w:t>其它评标委员会认为有必要取消的投标；</w:t>
      </w:r>
    </w:p>
    <w:p>
      <w:pPr>
        <w:pStyle w:val="ListParagraph"/>
        <w:numPr>
          <w:ilvl w:val="1"/>
          <w:numId w:val="13"/>
        </w:numPr>
        <w:tabs>
          <w:tab w:pos="1350" w:val="left" w:leader="none"/>
        </w:tabs>
        <w:spacing w:line="240" w:lineRule="auto" w:before="5" w:after="0"/>
        <w:ind w:left="389" w:right="0" w:firstLine="420"/>
        <w:jc w:val="left"/>
        <w:rPr>
          <w:sz w:val="24"/>
        </w:rPr>
      </w:pPr>
      <w:r>
        <w:rPr>
          <w:sz w:val="24"/>
        </w:rPr>
        <w:t>法律、法规规定的其它情况。</w:t>
      </w:r>
    </w:p>
    <w:p>
      <w:pPr>
        <w:pStyle w:val="BodyText"/>
        <w:spacing w:before="1"/>
        <w:rPr>
          <w:sz w:val="31"/>
        </w:rPr>
      </w:pPr>
    </w:p>
    <w:p>
      <w:pPr>
        <w:pStyle w:val="Heading8"/>
      </w:pPr>
      <w:r>
        <w:rPr/>
        <w:t>19、废标条款</w:t>
      </w:r>
    </w:p>
    <w:p>
      <w:pPr>
        <w:pStyle w:val="ListParagraph"/>
        <w:numPr>
          <w:ilvl w:val="1"/>
          <w:numId w:val="14"/>
        </w:numPr>
        <w:tabs>
          <w:tab w:pos="1410" w:val="left" w:leader="none"/>
        </w:tabs>
        <w:spacing w:line="391" w:lineRule="auto" w:before="137" w:after="0"/>
        <w:ind w:left="389" w:right="329" w:firstLine="480"/>
        <w:jc w:val="left"/>
        <w:rPr>
          <w:sz w:val="24"/>
        </w:rPr>
      </w:pPr>
      <w:r>
        <w:rPr>
          <w:spacing w:val="-4"/>
          <w:sz w:val="24"/>
        </w:rPr>
        <w:t>符合专业条件的供应商或者对招标文件作实质响应的供应商不足三家的</w:t>
      </w:r>
      <w:r>
        <w:rPr>
          <w:sz w:val="24"/>
        </w:rPr>
        <w:t>（20 条规定情形除外</w:t>
      </w:r>
      <w:r>
        <w:rPr>
          <w:spacing w:val="-120"/>
          <w:sz w:val="24"/>
        </w:rPr>
        <w:t>）</w:t>
      </w:r>
      <w:r>
        <w:rPr>
          <w:sz w:val="24"/>
        </w:rPr>
        <w:t>；</w:t>
      </w:r>
    </w:p>
    <w:p>
      <w:pPr>
        <w:pStyle w:val="ListParagraph"/>
        <w:numPr>
          <w:ilvl w:val="1"/>
          <w:numId w:val="14"/>
        </w:numPr>
        <w:tabs>
          <w:tab w:pos="1410" w:val="left" w:leader="none"/>
        </w:tabs>
        <w:spacing w:line="306" w:lineRule="exact" w:before="0" w:after="0"/>
        <w:ind w:left="389" w:right="0" w:firstLine="480"/>
        <w:jc w:val="left"/>
        <w:rPr>
          <w:sz w:val="24"/>
        </w:rPr>
      </w:pPr>
      <w:r>
        <w:rPr>
          <w:sz w:val="24"/>
        </w:rPr>
        <w:t>出现影响采购公正的违法、违规行为的；</w:t>
      </w:r>
    </w:p>
    <w:p>
      <w:pPr>
        <w:pStyle w:val="ListParagraph"/>
        <w:numPr>
          <w:ilvl w:val="1"/>
          <w:numId w:val="14"/>
        </w:numPr>
        <w:tabs>
          <w:tab w:pos="1410" w:val="left" w:leader="none"/>
        </w:tabs>
        <w:spacing w:line="240" w:lineRule="auto" w:before="192" w:after="0"/>
        <w:ind w:left="389" w:right="0" w:firstLine="480"/>
        <w:jc w:val="left"/>
        <w:rPr>
          <w:sz w:val="24"/>
        </w:rPr>
      </w:pPr>
      <w:r>
        <w:rPr>
          <w:sz w:val="24"/>
        </w:rPr>
        <w:t>投标人的报价均超过了采购预算，且采购人不能支付的；</w:t>
      </w:r>
    </w:p>
    <w:p>
      <w:pPr>
        <w:pStyle w:val="ListParagraph"/>
        <w:numPr>
          <w:ilvl w:val="1"/>
          <w:numId w:val="14"/>
        </w:numPr>
        <w:tabs>
          <w:tab w:pos="1410" w:val="left" w:leader="none"/>
        </w:tabs>
        <w:spacing w:line="240" w:lineRule="auto" w:before="194" w:after="0"/>
        <w:ind w:left="389" w:right="0" w:firstLine="480"/>
        <w:jc w:val="left"/>
        <w:rPr>
          <w:sz w:val="24"/>
        </w:rPr>
      </w:pPr>
      <w:r>
        <w:rPr>
          <w:sz w:val="24"/>
        </w:rPr>
        <w:t>因重大变故，采购任务取消的。</w:t>
      </w:r>
    </w:p>
    <w:p>
      <w:pPr>
        <w:pStyle w:val="BodyText"/>
        <w:rPr>
          <w:sz w:val="15"/>
        </w:rPr>
      </w:pPr>
    </w:p>
    <w:p>
      <w:pPr>
        <w:spacing w:before="64"/>
        <w:ind w:left="54" w:right="0" w:firstLine="0"/>
        <w:jc w:val="center"/>
        <w:rPr>
          <w:rFonts w:ascii="Calibri"/>
          <w:sz w:val="18"/>
        </w:rPr>
      </w:pPr>
      <w:r>
        <w:rPr>
          <w:rFonts w:ascii="Calibri"/>
          <w:sz w:val="18"/>
        </w:rPr>
        <w:t>11</w:t>
      </w:r>
    </w:p>
    <w:p>
      <w:pPr>
        <w:spacing w:after="0"/>
        <w:jc w:val="center"/>
        <w:rPr>
          <w:rFonts w:ascii="Calibri"/>
          <w:sz w:val="18"/>
        </w:rPr>
        <w:sectPr>
          <w:pgSz w:w="11910" w:h="16840"/>
          <w:pgMar w:top="1540" w:bottom="280" w:left="1200" w:right="1140"/>
        </w:sectPr>
      </w:pPr>
    </w:p>
    <w:p>
      <w:pPr>
        <w:pStyle w:val="Heading8"/>
        <w:spacing w:line="405" w:lineRule="exact"/>
      </w:pPr>
      <w:r>
        <w:rPr/>
        <w:drawing>
          <wp:anchor distT="0" distB="0" distL="0" distR="0" allowOverlap="1" layoutInCell="1" locked="0" behindDoc="1" simplePos="0" relativeHeight="268349951">
            <wp:simplePos x="0" y="0"/>
            <wp:positionH relativeFrom="page">
              <wp:posOffset>203309</wp:posOffset>
            </wp:positionH>
            <wp:positionV relativeFrom="page">
              <wp:posOffset>944714</wp:posOffset>
            </wp:positionV>
            <wp:extent cx="7115825" cy="9747669"/>
            <wp:effectExtent l="0" t="0" r="0" b="0"/>
            <wp:wrapNone/>
            <wp:docPr id="33" name="image2.jpeg" descr=""/>
            <wp:cNvGraphicFramePr>
              <a:graphicFrameLocks noChangeAspect="1"/>
            </wp:cNvGraphicFramePr>
            <a:graphic>
              <a:graphicData uri="http://schemas.openxmlformats.org/drawingml/2006/picture">
                <pic:pic>
                  <pic:nvPicPr>
                    <pic:cNvPr id="3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480" filled="true" fillcolor="#ffffff" stroked="false">
            <v:fill type="solid"/>
            <w10:wrap type="none"/>
          </v:rect>
        </w:pict>
      </w:r>
      <w:r>
        <w:rPr/>
        <w:t>20、供应商不足三家情形处理</w:t>
      </w:r>
    </w:p>
    <w:p>
      <w:pPr>
        <w:pStyle w:val="BodyText"/>
        <w:spacing w:before="137"/>
        <w:ind w:left="869"/>
      </w:pPr>
      <w:r>
        <w:rPr/>
        <w:t>投标截止后投标人不足 3 家或者通过资格审查或符合性审查的投标人不足 3 家</w:t>
      </w:r>
    </w:p>
    <w:p>
      <w:pPr>
        <w:pStyle w:val="BodyText"/>
        <w:spacing w:before="194"/>
        <w:ind w:left="389"/>
      </w:pPr>
      <w:r>
        <w:rPr/>
        <w:t>的，除采购任务取消情形外，按财政部令第 87 号第四十三条条款进行处理。</w:t>
      </w:r>
    </w:p>
    <w:p>
      <w:pPr>
        <w:pStyle w:val="Heading8"/>
        <w:spacing w:before="112"/>
      </w:pPr>
      <w:r>
        <w:rPr/>
        <w:t>21、取消中标候选人资格条款</w:t>
      </w:r>
    </w:p>
    <w:p>
      <w:pPr>
        <w:pStyle w:val="ListParagraph"/>
        <w:numPr>
          <w:ilvl w:val="1"/>
          <w:numId w:val="15"/>
        </w:numPr>
        <w:tabs>
          <w:tab w:pos="1410" w:val="left" w:leader="none"/>
        </w:tabs>
        <w:spacing w:line="240" w:lineRule="auto" w:before="137" w:after="0"/>
        <w:ind w:left="1409" w:right="0" w:hanging="540"/>
        <w:jc w:val="left"/>
        <w:rPr>
          <w:sz w:val="24"/>
        </w:rPr>
      </w:pPr>
      <w:r>
        <w:rPr>
          <w:sz w:val="24"/>
        </w:rPr>
        <w:t>提供虚假材料谋取中标的；</w:t>
      </w:r>
    </w:p>
    <w:p>
      <w:pPr>
        <w:pStyle w:val="ListParagraph"/>
        <w:numPr>
          <w:ilvl w:val="1"/>
          <w:numId w:val="15"/>
        </w:numPr>
        <w:tabs>
          <w:tab w:pos="1410" w:val="left" w:leader="none"/>
        </w:tabs>
        <w:spacing w:line="240" w:lineRule="auto" w:before="195" w:after="0"/>
        <w:ind w:left="1409" w:right="0" w:hanging="540"/>
        <w:jc w:val="left"/>
        <w:rPr>
          <w:sz w:val="24"/>
        </w:rPr>
      </w:pPr>
      <w:r>
        <w:rPr>
          <w:sz w:val="24"/>
        </w:rPr>
        <w:t>采取不正当手段诋毁、排挤其他投标人的；</w:t>
      </w:r>
    </w:p>
    <w:p>
      <w:pPr>
        <w:pStyle w:val="ListParagraph"/>
        <w:numPr>
          <w:ilvl w:val="1"/>
          <w:numId w:val="15"/>
        </w:numPr>
        <w:tabs>
          <w:tab w:pos="1410" w:val="left" w:leader="none"/>
        </w:tabs>
        <w:spacing w:line="240" w:lineRule="auto" w:before="191" w:after="0"/>
        <w:ind w:left="1409" w:right="0" w:hanging="540"/>
        <w:jc w:val="left"/>
        <w:rPr>
          <w:sz w:val="24"/>
        </w:rPr>
      </w:pPr>
      <w:r>
        <w:rPr>
          <w:sz w:val="24"/>
        </w:rPr>
        <w:t>与采购人、其他投标人或者采购代理机构恶意串通的；</w:t>
      </w:r>
    </w:p>
    <w:p>
      <w:pPr>
        <w:pStyle w:val="ListParagraph"/>
        <w:numPr>
          <w:ilvl w:val="1"/>
          <w:numId w:val="15"/>
        </w:numPr>
        <w:tabs>
          <w:tab w:pos="1410" w:val="left" w:leader="none"/>
        </w:tabs>
        <w:spacing w:line="240" w:lineRule="auto" w:before="193" w:after="0"/>
        <w:ind w:left="1409" w:right="0" w:hanging="540"/>
        <w:jc w:val="left"/>
        <w:rPr>
          <w:sz w:val="24"/>
        </w:rPr>
      </w:pPr>
      <w:r>
        <w:rPr>
          <w:sz w:val="24"/>
        </w:rPr>
        <w:t>向采购人、采购代理机构行贿或者提供其他不正当利益的；</w:t>
      </w:r>
    </w:p>
    <w:p>
      <w:pPr>
        <w:pStyle w:val="ListParagraph"/>
        <w:numPr>
          <w:ilvl w:val="1"/>
          <w:numId w:val="15"/>
        </w:numPr>
        <w:tabs>
          <w:tab w:pos="1410" w:val="left" w:leader="none"/>
        </w:tabs>
        <w:spacing w:line="240" w:lineRule="auto" w:before="194" w:after="0"/>
        <w:ind w:left="1409" w:right="0" w:hanging="540"/>
        <w:jc w:val="left"/>
        <w:rPr>
          <w:sz w:val="24"/>
        </w:rPr>
      </w:pPr>
      <w:r>
        <w:rPr>
          <w:sz w:val="24"/>
        </w:rPr>
        <w:t>未在规定时间内与采购人签订采购合同的；</w:t>
      </w:r>
    </w:p>
    <w:p>
      <w:pPr>
        <w:pStyle w:val="ListParagraph"/>
        <w:numPr>
          <w:ilvl w:val="1"/>
          <w:numId w:val="15"/>
        </w:numPr>
        <w:tabs>
          <w:tab w:pos="1410" w:val="left" w:leader="none"/>
        </w:tabs>
        <w:spacing w:line="240" w:lineRule="auto" w:before="191" w:after="0"/>
        <w:ind w:left="1409" w:right="0" w:hanging="540"/>
        <w:jc w:val="left"/>
        <w:rPr>
          <w:sz w:val="24"/>
        </w:rPr>
      </w:pPr>
      <w:r>
        <w:rPr>
          <w:sz w:val="24"/>
        </w:rPr>
        <w:t>法律、法规规定的其它情况。</w:t>
      </w:r>
    </w:p>
    <w:p>
      <w:pPr>
        <w:pStyle w:val="Heading8"/>
        <w:spacing w:before="113"/>
      </w:pPr>
      <w:r>
        <w:rPr/>
        <w:t>22、恶意串通投标的情形</w:t>
      </w:r>
    </w:p>
    <w:p>
      <w:pPr>
        <w:pStyle w:val="ListParagraph"/>
        <w:numPr>
          <w:ilvl w:val="1"/>
          <w:numId w:val="16"/>
        </w:numPr>
        <w:tabs>
          <w:tab w:pos="1410" w:val="left" w:leader="none"/>
        </w:tabs>
        <w:spacing w:line="388" w:lineRule="auto" w:before="139" w:after="0"/>
        <w:ind w:left="389" w:right="235" w:firstLine="480"/>
        <w:jc w:val="left"/>
        <w:rPr>
          <w:sz w:val="24"/>
        </w:rPr>
      </w:pPr>
      <w:r>
        <w:rPr>
          <w:sz w:val="24"/>
        </w:rPr>
        <w:t>供应商直接或间接从采购人或采购代理机构处获得其他供应商的投标情况， 并修改其投标文件；</w:t>
      </w:r>
    </w:p>
    <w:p>
      <w:pPr>
        <w:pStyle w:val="ListParagraph"/>
        <w:numPr>
          <w:ilvl w:val="1"/>
          <w:numId w:val="16"/>
        </w:numPr>
        <w:tabs>
          <w:tab w:pos="1472" w:val="left" w:leader="none"/>
        </w:tabs>
        <w:spacing w:line="391" w:lineRule="auto" w:before="2" w:after="0"/>
        <w:ind w:left="389" w:right="338" w:firstLine="480"/>
        <w:jc w:val="left"/>
        <w:rPr>
          <w:sz w:val="24"/>
        </w:rPr>
      </w:pPr>
      <w:r>
        <w:rPr>
          <w:sz w:val="24"/>
        </w:rPr>
        <w:t>评审活动开始前供应商直接或间接从采购人或采购代理机构处获得评标委员会组成人员情况；</w:t>
      </w:r>
    </w:p>
    <w:p>
      <w:pPr>
        <w:pStyle w:val="ListParagraph"/>
        <w:numPr>
          <w:ilvl w:val="1"/>
          <w:numId w:val="16"/>
        </w:numPr>
        <w:tabs>
          <w:tab w:pos="1410" w:val="left" w:leader="none"/>
        </w:tabs>
        <w:spacing w:line="306" w:lineRule="exact" w:before="0" w:after="0"/>
        <w:ind w:left="389" w:right="0" w:firstLine="480"/>
        <w:jc w:val="left"/>
        <w:rPr>
          <w:sz w:val="24"/>
        </w:rPr>
      </w:pPr>
      <w:r>
        <w:rPr>
          <w:sz w:val="24"/>
        </w:rPr>
        <w:t>供应商接受采购人或采购代理机构授意撤换、修改投标文件；</w:t>
      </w:r>
    </w:p>
    <w:p>
      <w:pPr>
        <w:pStyle w:val="ListParagraph"/>
        <w:numPr>
          <w:ilvl w:val="1"/>
          <w:numId w:val="16"/>
        </w:numPr>
        <w:tabs>
          <w:tab w:pos="1410" w:val="left" w:leader="none"/>
        </w:tabs>
        <w:spacing w:line="240" w:lineRule="auto" w:before="192" w:after="0"/>
        <w:ind w:left="389" w:right="0" w:firstLine="480"/>
        <w:jc w:val="left"/>
        <w:rPr>
          <w:sz w:val="24"/>
        </w:rPr>
      </w:pPr>
      <w:r>
        <w:rPr>
          <w:sz w:val="24"/>
        </w:rPr>
        <w:t>供应商之间协商投标报价、技术方案等投标文件实质性内容；</w:t>
      </w:r>
    </w:p>
    <w:p>
      <w:pPr>
        <w:pStyle w:val="ListParagraph"/>
        <w:numPr>
          <w:ilvl w:val="1"/>
          <w:numId w:val="16"/>
        </w:numPr>
        <w:tabs>
          <w:tab w:pos="1410" w:val="left" w:leader="none"/>
        </w:tabs>
        <w:spacing w:line="240" w:lineRule="auto" w:before="194" w:after="0"/>
        <w:ind w:left="389" w:right="0" w:firstLine="480"/>
        <w:jc w:val="left"/>
        <w:rPr>
          <w:sz w:val="24"/>
        </w:rPr>
      </w:pPr>
      <w:r>
        <w:rPr>
          <w:sz w:val="24"/>
        </w:rPr>
        <w:t>属于同一集团、协会、商会等组织成员的供应商按照该组织要求协同投标；</w:t>
      </w:r>
    </w:p>
    <w:p>
      <w:pPr>
        <w:pStyle w:val="ListParagraph"/>
        <w:numPr>
          <w:ilvl w:val="1"/>
          <w:numId w:val="16"/>
        </w:numPr>
        <w:tabs>
          <w:tab w:pos="1410" w:val="left" w:leader="none"/>
        </w:tabs>
        <w:spacing w:line="240" w:lineRule="auto" w:before="192" w:after="0"/>
        <w:ind w:left="389" w:right="0" w:firstLine="480"/>
        <w:jc w:val="left"/>
        <w:rPr>
          <w:sz w:val="24"/>
        </w:rPr>
      </w:pPr>
      <w:r>
        <w:rPr>
          <w:sz w:val="24"/>
        </w:rPr>
        <w:t>供应商之间事先约定由某一特定供应商中标、成交；</w:t>
      </w:r>
    </w:p>
    <w:p>
      <w:pPr>
        <w:pStyle w:val="ListParagraph"/>
        <w:numPr>
          <w:ilvl w:val="1"/>
          <w:numId w:val="16"/>
        </w:numPr>
        <w:tabs>
          <w:tab w:pos="1410" w:val="left" w:leader="none"/>
        </w:tabs>
        <w:spacing w:line="240" w:lineRule="auto" w:before="192" w:after="0"/>
        <w:ind w:left="389" w:right="0" w:firstLine="480"/>
        <w:jc w:val="left"/>
        <w:rPr>
          <w:sz w:val="24"/>
        </w:rPr>
      </w:pPr>
      <w:r>
        <w:rPr>
          <w:sz w:val="24"/>
        </w:rPr>
        <w:t>供应商之间商定部分供应商放弃投标或者放弃中标、成交；</w:t>
      </w:r>
    </w:p>
    <w:p>
      <w:pPr>
        <w:pStyle w:val="ListParagraph"/>
        <w:numPr>
          <w:ilvl w:val="1"/>
          <w:numId w:val="16"/>
        </w:numPr>
        <w:tabs>
          <w:tab w:pos="1410" w:val="left" w:leader="none"/>
        </w:tabs>
        <w:spacing w:line="391" w:lineRule="auto" w:before="194" w:after="0"/>
        <w:ind w:left="389" w:right="331" w:firstLine="480"/>
        <w:jc w:val="left"/>
        <w:rPr>
          <w:sz w:val="24"/>
        </w:rPr>
      </w:pPr>
      <w:r>
        <w:rPr>
          <w:spacing w:val="-6"/>
          <w:sz w:val="24"/>
        </w:rPr>
        <w:t>供应商与采购人或采购代理机构之间、供应商相互之间为谋求特定供应商中标成交或者排斥其他供应商的其他串通行为；</w:t>
      </w:r>
    </w:p>
    <w:p>
      <w:pPr>
        <w:pStyle w:val="ListParagraph"/>
        <w:numPr>
          <w:ilvl w:val="1"/>
          <w:numId w:val="16"/>
        </w:numPr>
        <w:tabs>
          <w:tab w:pos="1410" w:val="left" w:leader="none"/>
        </w:tabs>
        <w:spacing w:line="304" w:lineRule="exact" w:before="0" w:after="0"/>
        <w:ind w:left="389" w:right="0" w:firstLine="480"/>
        <w:jc w:val="left"/>
        <w:rPr>
          <w:sz w:val="24"/>
        </w:rPr>
      </w:pPr>
      <w:r>
        <w:rPr>
          <w:sz w:val="24"/>
        </w:rPr>
        <w:t>不同投标人的投标文件由同一单位或者个人编制；</w:t>
      </w:r>
    </w:p>
    <w:p>
      <w:pPr>
        <w:pStyle w:val="ListParagraph"/>
        <w:numPr>
          <w:ilvl w:val="1"/>
          <w:numId w:val="16"/>
        </w:numPr>
        <w:tabs>
          <w:tab w:pos="1530" w:val="left" w:leader="none"/>
        </w:tabs>
        <w:spacing w:line="240" w:lineRule="auto" w:before="194" w:after="0"/>
        <w:ind w:left="1529" w:right="0" w:hanging="660"/>
        <w:jc w:val="left"/>
        <w:rPr>
          <w:sz w:val="24"/>
        </w:rPr>
      </w:pPr>
      <w:r>
        <w:rPr>
          <w:sz w:val="24"/>
        </w:rPr>
        <w:t>不同投标人委托同一单位或者个人办理投标事宜；</w:t>
      </w:r>
    </w:p>
    <w:p>
      <w:pPr>
        <w:pStyle w:val="ListParagraph"/>
        <w:numPr>
          <w:ilvl w:val="1"/>
          <w:numId w:val="16"/>
        </w:numPr>
        <w:tabs>
          <w:tab w:pos="1530" w:val="left" w:leader="none"/>
        </w:tabs>
        <w:spacing w:line="240" w:lineRule="auto" w:before="192" w:after="0"/>
        <w:ind w:left="1529" w:right="0" w:hanging="660"/>
        <w:jc w:val="left"/>
        <w:rPr>
          <w:sz w:val="24"/>
        </w:rPr>
      </w:pPr>
      <w:r>
        <w:rPr>
          <w:sz w:val="24"/>
        </w:rPr>
        <w:t>不同投标人的投标文件载明的项目管理成员或者联系人员为同一人；</w:t>
      </w:r>
    </w:p>
    <w:p>
      <w:pPr>
        <w:pStyle w:val="ListParagraph"/>
        <w:numPr>
          <w:ilvl w:val="1"/>
          <w:numId w:val="16"/>
        </w:numPr>
        <w:tabs>
          <w:tab w:pos="1530" w:val="left" w:leader="none"/>
        </w:tabs>
        <w:spacing w:line="240" w:lineRule="auto" w:before="191" w:after="0"/>
        <w:ind w:left="1529" w:right="0" w:hanging="660"/>
        <w:jc w:val="left"/>
        <w:rPr>
          <w:sz w:val="24"/>
        </w:rPr>
      </w:pPr>
      <w:r>
        <w:rPr>
          <w:sz w:val="24"/>
        </w:rPr>
        <w:t>不同投标人的投标文件异常一致或者投标报价呈规律性差异；</w:t>
      </w:r>
    </w:p>
    <w:p>
      <w:pPr>
        <w:pStyle w:val="ListParagraph"/>
        <w:numPr>
          <w:ilvl w:val="1"/>
          <w:numId w:val="16"/>
        </w:numPr>
        <w:tabs>
          <w:tab w:pos="1530" w:val="left" w:leader="none"/>
        </w:tabs>
        <w:spacing w:line="240" w:lineRule="auto" w:before="194" w:after="0"/>
        <w:ind w:left="1529" w:right="0" w:hanging="660"/>
        <w:jc w:val="left"/>
        <w:rPr>
          <w:sz w:val="24"/>
        </w:rPr>
      </w:pPr>
      <w:r>
        <w:rPr>
          <w:sz w:val="24"/>
        </w:rPr>
        <w:t>不同投标人的投标文件相互混装；</w:t>
      </w:r>
    </w:p>
    <w:p>
      <w:pPr>
        <w:pStyle w:val="BodyText"/>
        <w:rPr>
          <w:sz w:val="20"/>
        </w:rPr>
      </w:pPr>
    </w:p>
    <w:p>
      <w:pPr>
        <w:pStyle w:val="BodyText"/>
        <w:spacing w:before="9"/>
        <w:rPr>
          <w:sz w:val="18"/>
        </w:rPr>
      </w:pPr>
    </w:p>
    <w:p>
      <w:pPr>
        <w:spacing w:before="0"/>
        <w:ind w:left="54" w:right="0" w:firstLine="0"/>
        <w:jc w:val="center"/>
        <w:rPr>
          <w:rFonts w:ascii="Calibri"/>
          <w:sz w:val="18"/>
        </w:rPr>
      </w:pPr>
      <w:r>
        <w:rPr>
          <w:rFonts w:ascii="Calibri"/>
          <w:sz w:val="18"/>
        </w:rPr>
        <w:t>12</w:t>
      </w:r>
    </w:p>
    <w:p>
      <w:pPr>
        <w:spacing w:after="0"/>
        <w:jc w:val="center"/>
        <w:rPr>
          <w:rFonts w:ascii="Calibri"/>
          <w:sz w:val="18"/>
        </w:rPr>
        <w:sectPr>
          <w:pgSz w:w="11910" w:h="16840"/>
          <w:pgMar w:top="1540" w:bottom="280" w:left="1200" w:right="1140"/>
        </w:sectPr>
      </w:pPr>
    </w:p>
    <w:p>
      <w:pPr>
        <w:pStyle w:val="ListParagraph"/>
        <w:numPr>
          <w:ilvl w:val="1"/>
          <w:numId w:val="16"/>
        </w:numPr>
        <w:tabs>
          <w:tab w:pos="1530" w:val="left" w:leader="none"/>
        </w:tabs>
        <w:spacing w:line="240" w:lineRule="auto" w:before="43" w:after="0"/>
        <w:ind w:left="1529" w:right="0" w:hanging="660"/>
        <w:jc w:val="left"/>
        <w:rPr>
          <w:sz w:val="24"/>
        </w:rPr>
      </w:pPr>
      <w:r>
        <w:rPr/>
        <w:drawing>
          <wp:anchor distT="0" distB="0" distL="0" distR="0" allowOverlap="1" layoutInCell="1" locked="0" behindDoc="1" simplePos="0" relativeHeight="268349999">
            <wp:simplePos x="0" y="0"/>
            <wp:positionH relativeFrom="page">
              <wp:posOffset>203309</wp:posOffset>
            </wp:positionH>
            <wp:positionV relativeFrom="page">
              <wp:posOffset>944714</wp:posOffset>
            </wp:positionV>
            <wp:extent cx="7115825" cy="9747669"/>
            <wp:effectExtent l="0" t="0" r="0" b="0"/>
            <wp:wrapNone/>
            <wp:docPr id="35" name="image2.jpeg" descr=""/>
            <wp:cNvGraphicFramePr>
              <a:graphicFrameLocks noChangeAspect="1"/>
            </wp:cNvGraphicFramePr>
            <a:graphic>
              <a:graphicData uri="http://schemas.openxmlformats.org/drawingml/2006/picture">
                <pic:pic>
                  <pic:nvPicPr>
                    <pic:cNvPr id="3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432" filled="true" fillcolor="#ffffff" stroked="false">
            <v:fill type="solid"/>
            <w10:wrap type="none"/>
          </v:rect>
        </w:pict>
      </w:r>
      <w:r>
        <w:rPr>
          <w:sz w:val="24"/>
        </w:rPr>
        <w:t>不同投标人的投标保证金从同一单位或者个人的账户转出。</w:t>
      </w:r>
    </w:p>
    <w:p>
      <w:pPr>
        <w:pStyle w:val="BodyText"/>
      </w:pPr>
    </w:p>
    <w:p>
      <w:pPr>
        <w:pStyle w:val="BodyText"/>
        <w:rPr>
          <w:sz w:val="27"/>
        </w:rPr>
      </w:pPr>
    </w:p>
    <w:p>
      <w:pPr>
        <w:pStyle w:val="Heading2"/>
        <w:spacing w:line="240" w:lineRule="auto"/>
      </w:pPr>
      <w:bookmarkStart w:name="_TOC_250026" w:id="17"/>
      <w:bookmarkStart w:name="六、开标、资格审查、评标程序" w:id="18"/>
      <w:r>
        <w:rPr>
          <w:b w:val="0"/>
        </w:rPr>
      </w:r>
      <w:bookmarkEnd w:id="17"/>
      <w:r>
        <w:rPr/>
        <w:t>六、开标、资格审查、评标程序</w:t>
      </w:r>
    </w:p>
    <w:p>
      <w:pPr>
        <w:pStyle w:val="Heading8"/>
        <w:spacing w:before="118"/>
      </w:pPr>
      <w:r>
        <w:rPr/>
        <w:t>23、开标会议</w:t>
      </w:r>
    </w:p>
    <w:p>
      <w:pPr>
        <w:pStyle w:val="ListParagraph"/>
        <w:numPr>
          <w:ilvl w:val="1"/>
          <w:numId w:val="17"/>
        </w:numPr>
        <w:tabs>
          <w:tab w:pos="1410" w:val="left" w:leader="none"/>
        </w:tabs>
        <w:spacing w:line="388" w:lineRule="auto" w:before="140" w:after="0"/>
        <w:ind w:left="389" w:right="331" w:firstLine="480"/>
        <w:jc w:val="left"/>
        <w:rPr>
          <w:sz w:val="24"/>
        </w:rPr>
      </w:pPr>
      <w:r>
        <w:rPr>
          <w:spacing w:val="-5"/>
          <w:sz w:val="24"/>
        </w:rPr>
        <w:t>代理机构项目负责人按招标文件规定的时间、地点组织公开开标。采购单位代表及有关工作人员参加，政府采购监管部门代表视情况参与监管。</w:t>
      </w:r>
    </w:p>
    <w:p>
      <w:pPr>
        <w:pStyle w:val="ListParagraph"/>
        <w:numPr>
          <w:ilvl w:val="1"/>
          <w:numId w:val="17"/>
        </w:numPr>
        <w:tabs>
          <w:tab w:pos="1410" w:val="left" w:leader="none"/>
        </w:tabs>
        <w:spacing w:line="240" w:lineRule="auto" w:before="2" w:after="0"/>
        <w:ind w:left="389" w:right="0" w:firstLine="480"/>
        <w:jc w:val="left"/>
        <w:rPr>
          <w:sz w:val="24"/>
        </w:rPr>
      </w:pPr>
      <w:r>
        <w:rPr>
          <w:sz w:val="24"/>
        </w:rPr>
        <w:t>开标会议由代理机构项目负责人主持。</w:t>
      </w:r>
    </w:p>
    <w:p>
      <w:pPr>
        <w:pStyle w:val="ListParagraph"/>
        <w:numPr>
          <w:ilvl w:val="1"/>
          <w:numId w:val="17"/>
        </w:numPr>
        <w:tabs>
          <w:tab w:pos="1410" w:val="left" w:leader="none"/>
        </w:tabs>
        <w:spacing w:line="544" w:lineRule="exact" w:before="9" w:after="0"/>
        <w:ind w:left="389" w:right="0" w:firstLine="480"/>
        <w:jc w:val="left"/>
        <w:rPr>
          <w:rFonts w:ascii="Microsoft JhengHei" w:eastAsia="Microsoft JhengHei" w:hint="eastAsia"/>
          <w:b/>
          <w:sz w:val="32"/>
        </w:rPr>
      </w:pPr>
      <w:r>
        <w:rPr>
          <w:spacing w:val="-9"/>
          <w:sz w:val="24"/>
        </w:rPr>
        <w:t>投标人应携带 </w:t>
      </w:r>
      <w:r>
        <w:rPr>
          <w:sz w:val="24"/>
        </w:rPr>
        <w:t>CA</w:t>
      </w:r>
      <w:r>
        <w:rPr>
          <w:spacing w:val="-12"/>
          <w:sz w:val="24"/>
        </w:rPr>
        <w:t> 证书参与开标现场的投标文件解密。</w:t>
      </w:r>
      <w:r>
        <w:rPr>
          <w:rFonts w:ascii="Microsoft JhengHei" w:eastAsia="Microsoft JhengHei" w:hint="eastAsia"/>
          <w:b/>
          <w:color w:val="FF0000"/>
          <w:sz w:val="32"/>
        </w:rPr>
        <w:t>开标现场解密的</w:t>
      </w:r>
    </w:p>
    <w:p>
      <w:pPr>
        <w:spacing w:line="204" w:lineRule="auto" w:before="19"/>
        <w:ind w:left="389" w:right="330" w:firstLine="0"/>
        <w:jc w:val="both"/>
        <w:rPr>
          <w:rFonts w:ascii="Microsoft JhengHei" w:eastAsia="Microsoft JhengHei" w:hint="eastAsia"/>
          <w:b/>
          <w:sz w:val="32"/>
        </w:rPr>
      </w:pPr>
      <w:r>
        <w:rPr>
          <w:rFonts w:ascii="Microsoft JhengHei" w:eastAsia="Microsoft JhengHei" w:hint="eastAsia"/>
          <w:b/>
          <w:color w:val="FF0000"/>
          <w:w w:val="95"/>
          <w:sz w:val="32"/>
        </w:rPr>
        <w:t>CA</w:t>
      </w:r>
      <w:r>
        <w:rPr>
          <w:rFonts w:ascii="Microsoft JhengHei" w:eastAsia="Microsoft JhengHei" w:hint="eastAsia"/>
          <w:b/>
          <w:color w:val="FF0000"/>
          <w:spacing w:val="-3"/>
          <w:w w:val="95"/>
          <w:sz w:val="32"/>
        </w:rPr>
        <w:t> 证书应为该投标文件生成加密、上传的同一把 </w:t>
      </w:r>
      <w:r>
        <w:rPr>
          <w:rFonts w:ascii="Microsoft JhengHei" w:eastAsia="Microsoft JhengHei" w:hint="eastAsia"/>
          <w:b/>
          <w:color w:val="FF0000"/>
          <w:w w:val="95"/>
          <w:sz w:val="32"/>
        </w:rPr>
        <w:t>CA</w:t>
      </w:r>
      <w:r>
        <w:rPr>
          <w:rFonts w:ascii="Microsoft JhengHei" w:eastAsia="Microsoft JhengHei" w:hint="eastAsia"/>
          <w:b/>
          <w:color w:val="FF0000"/>
          <w:spacing w:val="3"/>
          <w:w w:val="95"/>
          <w:sz w:val="32"/>
        </w:rPr>
        <w:t> 证书。投标</w:t>
      </w:r>
      <w:r>
        <w:rPr>
          <w:rFonts w:ascii="Microsoft JhengHei" w:eastAsia="Microsoft JhengHei" w:hint="eastAsia"/>
          <w:b/>
          <w:color w:val="FF0000"/>
          <w:spacing w:val="-2"/>
          <w:sz w:val="32"/>
        </w:rPr>
        <w:t>人未按要求携带 </w:t>
      </w:r>
      <w:r>
        <w:rPr>
          <w:rFonts w:ascii="Microsoft JhengHei" w:eastAsia="Microsoft JhengHei" w:hint="eastAsia"/>
          <w:b/>
          <w:color w:val="FF0000"/>
          <w:sz w:val="32"/>
        </w:rPr>
        <w:t>CA</w:t>
      </w:r>
      <w:r>
        <w:rPr>
          <w:rFonts w:ascii="Microsoft JhengHei" w:eastAsia="Microsoft JhengHei" w:hint="eastAsia"/>
          <w:b/>
          <w:color w:val="FF0000"/>
          <w:spacing w:val="-7"/>
          <w:sz w:val="32"/>
        </w:rPr>
        <w:t> 证书等原因造成现场解密不成功的，视为其放弃投标，其投标文件将被退回。</w:t>
      </w:r>
    </w:p>
    <w:p>
      <w:pPr>
        <w:pStyle w:val="ListParagraph"/>
        <w:numPr>
          <w:ilvl w:val="1"/>
          <w:numId w:val="17"/>
        </w:numPr>
        <w:tabs>
          <w:tab w:pos="1410" w:val="left" w:leader="none"/>
        </w:tabs>
        <w:spacing w:line="240" w:lineRule="auto" w:before="121" w:after="0"/>
        <w:ind w:left="389" w:right="0" w:firstLine="480"/>
        <w:jc w:val="left"/>
        <w:rPr>
          <w:sz w:val="24"/>
        </w:rPr>
      </w:pPr>
      <w:r>
        <w:rPr>
          <w:sz w:val="24"/>
        </w:rPr>
        <w:t>开标会议上将当众公布投标人名称、投标报价等主要内容。</w:t>
      </w:r>
    </w:p>
    <w:p>
      <w:pPr>
        <w:pStyle w:val="BodyText"/>
        <w:spacing w:line="391" w:lineRule="auto" w:before="192"/>
        <w:ind w:left="389" w:right="274" w:firstLine="479"/>
      </w:pPr>
      <w:r>
        <w:rPr/>
        <w:t>开标过程的相关记录，由参加开标的各投标人代表和相关工作人员签字确认。因投标人原因未签字确认的，视同认可开标结果。</w:t>
      </w:r>
    </w:p>
    <w:p>
      <w:pPr>
        <w:pStyle w:val="Heading8"/>
        <w:spacing w:line="361" w:lineRule="exact"/>
      </w:pPr>
      <w:r>
        <w:rPr/>
        <w:t>24、开标流程</w:t>
      </w:r>
    </w:p>
    <w:p>
      <w:pPr>
        <w:pStyle w:val="BodyText"/>
        <w:spacing w:before="137"/>
        <w:ind w:left="869"/>
      </w:pPr>
      <w:r>
        <w:rPr/>
        <w:t>主持人按下列程序进行开标，开标按分包顺序进行。</w:t>
      </w:r>
    </w:p>
    <w:p>
      <w:pPr>
        <w:pStyle w:val="ListParagraph"/>
        <w:numPr>
          <w:ilvl w:val="1"/>
          <w:numId w:val="18"/>
        </w:numPr>
        <w:tabs>
          <w:tab w:pos="1410" w:val="left" w:leader="none"/>
        </w:tabs>
        <w:spacing w:line="240" w:lineRule="auto" w:before="194" w:after="0"/>
        <w:ind w:left="389" w:right="0" w:firstLine="480"/>
        <w:jc w:val="left"/>
        <w:rPr>
          <w:sz w:val="24"/>
        </w:rPr>
      </w:pPr>
      <w:r>
        <w:rPr>
          <w:sz w:val="24"/>
        </w:rPr>
        <w:t>播放开标会议纪律；</w:t>
      </w:r>
    </w:p>
    <w:p>
      <w:pPr>
        <w:pStyle w:val="ListParagraph"/>
        <w:numPr>
          <w:ilvl w:val="1"/>
          <w:numId w:val="18"/>
        </w:numPr>
        <w:tabs>
          <w:tab w:pos="1410" w:val="left" w:leader="none"/>
        </w:tabs>
        <w:spacing w:line="240" w:lineRule="auto" w:before="192" w:after="0"/>
        <w:ind w:left="389" w:right="0" w:firstLine="480"/>
        <w:jc w:val="left"/>
        <w:rPr>
          <w:sz w:val="24"/>
        </w:rPr>
      </w:pPr>
      <w:r>
        <w:rPr>
          <w:sz w:val="24"/>
        </w:rPr>
        <w:t>公布投标单位名单；</w:t>
      </w:r>
    </w:p>
    <w:p>
      <w:pPr>
        <w:pStyle w:val="ListParagraph"/>
        <w:numPr>
          <w:ilvl w:val="1"/>
          <w:numId w:val="18"/>
        </w:numPr>
        <w:tabs>
          <w:tab w:pos="1410" w:val="left" w:leader="none"/>
        </w:tabs>
        <w:spacing w:line="240" w:lineRule="auto" w:before="192" w:after="0"/>
        <w:ind w:left="389" w:right="0" w:firstLine="480"/>
        <w:jc w:val="left"/>
        <w:rPr>
          <w:sz w:val="24"/>
        </w:rPr>
      </w:pPr>
      <w:r>
        <w:rPr>
          <w:sz w:val="24"/>
        </w:rPr>
        <w:t>招标人、投标人对电子投标文件解密；</w:t>
      </w:r>
    </w:p>
    <w:p>
      <w:pPr>
        <w:pStyle w:val="ListParagraph"/>
        <w:numPr>
          <w:ilvl w:val="1"/>
          <w:numId w:val="18"/>
        </w:numPr>
        <w:tabs>
          <w:tab w:pos="1410" w:val="left" w:leader="none"/>
        </w:tabs>
        <w:spacing w:line="240" w:lineRule="auto" w:before="194" w:after="0"/>
        <w:ind w:left="389" w:right="0" w:firstLine="480"/>
        <w:jc w:val="left"/>
        <w:rPr>
          <w:sz w:val="24"/>
        </w:rPr>
      </w:pPr>
      <w:r>
        <w:rPr>
          <w:sz w:val="24"/>
        </w:rPr>
        <w:t>导入电子投标文件；</w:t>
      </w:r>
    </w:p>
    <w:p>
      <w:pPr>
        <w:pStyle w:val="ListParagraph"/>
        <w:numPr>
          <w:ilvl w:val="1"/>
          <w:numId w:val="18"/>
        </w:numPr>
        <w:tabs>
          <w:tab w:pos="1410" w:val="left" w:leader="none"/>
        </w:tabs>
        <w:spacing w:line="240" w:lineRule="auto" w:before="192" w:after="0"/>
        <w:ind w:left="389" w:right="0" w:firstLine="480"/>
        <w:jc w:val="left"/>
        <w:rPr>
          <w:sz w:val="24"/>
        </w:rPr>
      </w:pPr>
      <w:r>
        <w:rPr>
          <w:sz w:val="24"/>
        </w:rPr>
        <w:t>唱标；</w:t>
      </w:r>
    </w:p>
    <w:p>
      <w:pPr>
        <w:pStyle w:val="ListParagraph"/>
        <w:numPr>
          <w:ilvl w:val="1"/>
          <w:numId w:val="18"/>
        </w:numPr>
        <w:tabs>
          <w:tab w:pos="1410" w:val="left" w:leader="none"/>
        </w:tabs>
        <w:spacing w:line="240" w:lineRule="auto" w:before="192" w:after="0"/>
        <w:ind w:left="389" w:right="0" w:firstLine="480"/>
        <w:jc w:val="left"/>
        <w:rPr>
          <w:sz w:val="24"/>
        </w:rPr>
      </w:pPr>
      <w:r>
        <w:rPr>
          <w:sz w:val="24"/>
        </w:rPr>
        <w:t>开标会议结束。</w:t>
      </w:r>
    </w:p>
    <w:p>
      <w:pPr>
        <w:pStyle w:val="ListParagraph"/>
        <w:numPr>
          <w:ilvl w:val="1"/>
          <w:numId w:val="18"/>
        </w:numPr>
        <w:tabs>
          <w:tab w:pos="1410" w:val="left" w:leader="none"/>
        </w:tabs>
        <w:spacing w:line="388" w:lineRule="auto" w:before="194" w:after="0"/>
        <w:ind w:left="389" w:right="331" w:firstLine="480"/>
        <w:jc w:val="left"/>
        <w:rPr>
          <w:sz w:val="24"/>
        </w:rPr>
      </w:pPr>
      <w:r>
        <w:rPr>
          <w:spacing w:val="-4"/>
          <w:sz w:val="24"/>
        </w:rPr>
        <w:t>对在开标现场三次解密不成功或者解密后无法导入的投标文件，招标人将视为投标人自动放弃投标。</w:t>
      </w:r>
    </w:p>
    <w:p>
      <w:pPr>
        <w:pStyle w:val="Heading8"/>
        <w:spacing w:line="364" w:lineRule="exact"/>
      </w:pPr>
      <w:r>
        <w:rPr/>
        <w:t>25、资格审查</w:t>
      </w:r>
    </w:p>
    <w:p>
      <w:pPr>
        <w:pStyle w:val="BodyText"/>
        <w:spacing w:line="388" w:lineRule="auto" w:before="139"/>
        <w:ind w:left="389" w:right="289" w:firstLine="479"/>
      </w:pPr>
      <w:r>
        <w:rPr/>
        <w:t>开标结束后，采购人或采购代理机构依法根据招标文件的规定对投标人的资格证明文件等进行审查。</w:t>
      </w:r>
    </w:p>
    <w:p>
      <w:pPr>
        <w:spacing w:before="59"/>
        <w:ind w:left="54" w:right="0" w:firstLine="0"/>
        <w:jc w:val="center"/>
        <w:rPr>
          <w:rFonts w:ascii="Calibri"/>
          <w:sz w:val="18"/>
        </w:rPr>
      </w:pPr>
      <w:r>
        <w:rPr>
          <w:rFonts w:ascii="Calibri"/>
          <w:sz w:val="18"/>
        </w:rPr>
        <w:t>13</w:t>
      </w:r>
    </w:p>
    <w:p>
      <w:pPr>
        <w:spacing w:after="0"/>
        <w:jc w:val="center"/>
        <w:rPr>
          <w:rFonts w:ascii="Calibri"/>
          <w:sz w:val="18"/>
        </w:rPr>
        <w:sectPr>
          <w:pgSz w:w="11910" w:h="16840"/>
          <w:pgMar w:top="1540" w:bottom="280" w:left="1200" w:right="1140"/>
        </w:sectPr>
      </w:pPr>
    </w:p>
    <w:p>
      <w:pPr>
        <w:pStyle w:val="Heading8"/>
        <w:spacing w:line="405" w:lineRule="exact"/>
      </w:pPr>
      <w:r>
        <w:rPr/>
        <w:drawing>
          <wp:anchor distT="0" distB="0" distL="0" distR="0" allowOverlap="1" layoutInCell="1" locked="0" behindDoc="1" simplePos="0" relativeHeight="268350047">
            <wp:simplePos x="0" y="0"/>
            <wp:positionH relativeFrom="page">
              <wp:posOffset>203309</wp:posOffset>
            </wp:positionH>
            <wp:positionV relativeFrom="page">
              <wp:posOffset>944714</wp:posOffset>
            </wp:positionV>
            <wp:extent cx="7115825" cy="9747669"/>
            <wp:effectExtent l="0" t="0" r="0" b="0"/>
            <wp:wrapNone/>
            <wp:docPr id="37" name="image2.jpeg" descr=""/>
            <wp:cNvGraphicFramePr>
              <a:graphicFrameLocks noChangeAspect="1"/>
            </wp:cNvGraphicFramePr>
            <a:graphic>
              <a:graphicData uri="http://schemas.openxmlformats.org/drawingml/2006/picture">
                <pic:pic>
                  <pic:nvPicPr>
                    <pic:cNvPr id="3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384" filled="true" fillcolor="#ffffff" stroked="false">
            <v:fill type="solid"/>
            <w10:wrap type="none"/>
          </v:rect>
        </w:pict>
      </w:r>
      <w:r>
        <w:rPr/>
        <w:t>26、评标委员会</w:t>
      </w:r>
    </w:p>
    <w:p>
      <w:pPr>
        <w:pStyle w:val="BodyText"/>
        <w:spacing w:line="391" w:lineRule="auto" w:before="137"/>
        <w:ind w:left="389" w:right="336" w:firstLine="479"/>
        <w:jc w:val="both"/>
      </w:pPr>
      <w:r>
        <w:rPr/>
        <w:t>采购人应根据本项目的特点依法组建评标委员会。评标委员会负责具体评标事务，对资格审查合格的投标人进行评标，并独立履行相关职责。</w:t>
      </w:r>
    </w:p>
    <w:p>
      <w:pPr>
        <w:pStyle w:val="Heading8"/>
        <w:spacing w:line="360" w:lineRule="exact"/>
      </w:pPr>
      <w:r>
        <w:rPr/>
        <w:t>27、评标原则</w:t>
      </w:r>
    </w:p>
    <w:p>
      <w:pPr>
        <w:pStyle w:val="BodyText"/>
        <w:spacing w:line="391" w:lineRule="auto" w:before="137"/>
        <w:ind w:left="389" w:right="295" w:firstLine="479"/>
        <w:jc w:val="both"/>
      </w:pPr>
      <w:r>
        <w:rPr/>
        <w:t>“公平、公正、客观、择优”为评标的基本原则，评标委员会将根据这一原则， 公正、平等地对待各投标人。</w:t>
      </w:r>
    </w:p>
    <w:p>
      <w:pPr>
        <w:pStyle w:val="Heading8"/>
        <w:spacing w:line="360" w:lineRule="exact"/>
      </w:pPr>
      <w:r>
        <w:rPr>
          <w:w w:val="95"/>
        </w:rPr>
        <w:t>28、评标程序</w:t>
      </w:r>
    </w:p>
    <w:p>
      <w:pPr>
        <w:pStyle w:val="ListParagraph"/>
        <w:numPr>
          <w:ilvl w:val="1"/>
          <w:numId w:val="19"/>
        </w:numPr>
        <w:tabs>
          <w:tab w:pos="1410" w:val="left" w:leader="none"/>
        </w:tabs>
        <w:spacing w:line="391" w:lineRule="auto" w:before="138" w:after="0"/>
        <w:ind w:left="389" w:right="327" w:firstLine="480"/>
        <w:jc w:val="both"/>
        <w:rPr>
          <w:sz w:val="24"/>
        </w:rPr>
      </w:pPr>
      <w:r>
        <w:rPr>
          <w:spacing w:val="-10"/>
          <w:sz w:val="24"/>
        </w:rPr>
        <w:t>符合性检查：审查、评价投标文件是否符合招标文件的商务、技术等实质性</w:t>
      </w:r>
      <w:r>
        <w:rPr>
          <w:spacing w:val="-8"/>
          <w:sz w:val="24"/>
        </w:rPr>
        <w:t>要求。评标委员会依据招标文件的规定，从投标文件的有效性、完整性和对招标文件</w:t>
      </w:r>
      <w:r>
        <w:rPr>
          <w:spacing w:val="-10"/>
          <w:sz w:val="24"/>
        </w:rPr>
        <w:t>的响应程度进行审查，以确定是否对招标文件的要求作出了实质性的响应。存在重大</w:t>
      </w:r>
      <w:r>
        <w:rPr>
          <w:spacing w:val="-11"/>
          <w:sz w:val="24"/>
        </w:rPr>
        <w:t>偏离的投标文件为无效标。</w:t>
      </w:r>
      <w:r>
        <w:rPr>
          <w:color w:val="0000FF"/>
          <w:spacing w:val="-1"/>
          <w:sz w:val="24"/>
        </w:rPr>
        <w:t>所谓重大偏离是指投标人投标文件中所述设备质量、技术</w:t>
      </w:r>
      <w:r>
        <w:rPr>
          <w:color w:val="0000FF"/>
          <w:spacing w:val="-7"/>
          <w:sz w:val="24"/>
        </w:rPr>
        <w:t>规格、数量、交货期和服务等明显不能满足招标文件要求。</w:t>
      </w:r>
      <w:r>
        <w:rPr>
          <w:sz w:val="24"/>
        </w:rPr>
        <w:t>重大偏离的认定须经评标委员会三分之二以上同意。</w:t>
      </w:r>
    </w:p>
    <w:p>
      <w:pPr>
        <w:pStyle w:val="BodyText"/>
        <w:spacing w:line="391" w:lineRule="auto"/>
        <w:ind w:left="389" w:right="331" w:firstLine="479"/>
        <w:jc w:val="both"/>
      </w:pPr>
      <w:r>
        <w:rPr>
          <w:spacing w:val="-6"/>
        </w:rPr>
        <w:t>评标委员会判断“投标文件”的响应性，仅基于“投标文件”本身而不靠外部证据。对非实质性响应的投标文件，投标人不能通过修正或撤销不符之处，而使其成为实质性响应。</w:t>
      </w:r>
    </w:p>
    <w:p>
      <w:pPr>
        <w:pStyle w:val="ListParagraph"/>
        <w:numPr>
          <w:ilvl w:val="1"/>
          <w:numId w:val="19"/>
        </w:numPr>
        <w:tabs>
          <w:tab w:pos="1410" w:val="left" w:leader="none"/>
        </w:tabs>
        <w:spacing w:line="304" w:lineRule="exact" w:before="0" w:after="0"/>
        <w:ind w:left="389" w:right="0" w:firstLine="480"/>
        <w:jc w:val="left"/>
        <w:rPr>
          <w:sz w:val="24"/>
        </w:rPr>
      </w:pPr>
      <w:r>
        <w:rPr>
          <w:sz w:val="24"/>
        </w:rPr>
        <w:t>澄清有关问题。</w:t>
      </w:r>
    </w:p>
    <w:p>
      <w:pPr>
        <w:pStyle w:val="ListParagraph"/>
        <w:numPr>
          <w:ilvl w:val="2"/>
          <w:numId w:val="19"/>
        </w:numPr>
        <w:tabs>
          <w:tab w:pos="1650" w:val="left" w:leader="none"/>
        </w:tabs>
        <w:spacing w:line="391" w:lineRule="auto" w:before="186" w:after="0"/>
        <w:ind w:left="389" w:right="329" w:firstLine="480"/>
        <w:jc w:val="both"/>
        <w:rPr>
          <w:sz w:val="24"/>
        </w:rPr>
      </w:pPr>
      <w:r>
        <w:rPr>
          <w:spacing w:val="-8"/>
          <w:sz w:val="24"/>
        </w:rPr>
        <w:t>对投标文件中含义不明确、同类问题表述不一致或者有明显文字和计算错误的内容，评标委员会可以书面形式</w:t>
      </w:r>
      <w:r>
        <w:rPr>
          <w:sz w:val="24"/>
        </w:rPr>
        <w:t>（应当由评标委员会专家签字</w:t>
      </w:r>
      <w:r>
        <w:rPr>
          <w:spacing w:val="-12"/>
          <w:sz w:val="24"/>
        </w:rPr>
        <w:t>）</w:t>
      </w:r>
      <w:r>
        <w:rPr>
          <w:sz w:val="24"/>
        </w:rPr>
        <w:t>要求投标人作出</w:t>
      </w:r>
      <w:r>
        <w:rPr>
          <w:spacing w:val="-5"/>
          <w:sz w:val="24"/>
        </w:rPr>
        <w:t>必要的澄清、说明或者纠正。投标人的澄清、说明或者补正应当采用书面形式，并加</w:t>
      </w:r>
      <w:r>
        <w:rPr>
          <w:spacing w:val="-7"/>
          <w:sz w:val="24"/>
        </w:rPr>
        <w:t>盖公章，或者由法定代表人或其授权的代表签字。投标人的澄清、说明或者补正不得超出投标文件的范围或者改变投标文件的实质性内容。</w:t>
      </w:r>
    </w:p>
    <w:p>
      <w:pPr>
        <w:pStyle w:val="ListParagraph"/>
        <w:numPr>
          <w:ilvl w:val="2"/>
          <w:numId w:val="19"/>
        </w:numPr>
        <w:tabs>
          <w:tab w:pos="1794" w:val="left" w:leader="none"/>
        </w:tabs>
        <w:spacing w:line="391" w:lineRule="auto" w:before="0" w:after="0"/>
        <w:ind w:left="389" w:right="331" w:firstLine="600"/>
        <w:jc w:val="left"/>
        <w:rPr>
          <w:sz w:val="24"/>
        </w:rPr>
      </w:pPr>
      <w:r>
        <w:rPr>
          <w:sz w:val="24"/>
        </w:rPr>
        <w:t>投标文件报价出现前后不一致的，除招标文件另有规定外，按照下列规定修正：</w:t>
      </w:r>
    </w:p>
    <w:p>
      <w:pPr>
        <w:pStyle w:val="BodyText"/>
        <w:spacing w:line="388" w:lineRule="auto"/>
        <w:ind w:left="389" w:right="331" w:firstLine="479"/>
        <w:jc w:val="both"/>
      </w:pPr>
      <w:r>
        <w:rPr>
          <w:spacing w:val="-2"/>
        </w:rPr>
        <w:t>①投标文件中开标一览表</w:t>
      </w:r>
      <w:r>
        <w:rPr/>
        <w:t>（报价表</w:t>
      </w:r>
      <w:r>
        <w:rPr>
          <w:spacing w:val="-12"/>
        </w:rPr>
        <w:t>）</w:t>
      </w:r>
      <w:r>
        <w:rPr>
          <w:spacing w:val="-1"/>
        </w:rPr>
        <w:t>内容与投标文件中相应内容不一致的，以开标一览表（报价表）为准；</w:t>
      </w:r>
    </w:p>
    <w:p>
      <w:pPr>
        <w:pStyle w:val="BodyText"/>
        <w:ind w:left="869"/>
      </w:pPr>
      <w:r>
        <w:rPr/>
        <w:t>②大写金额和小写金额不一致的，以大写金额为准；</w:t>
      </w:r>
    </w:p>
    <w:p>
      <w:pPr>
        <w:pStyle w:val="BodyText"/>
        <w:rPr>
          <w:sz w:val="20"/>
        </w:rPr>
      </w:pPr>
    </w:p>
    <w:p>
      <w:pPr>
        <w:pStyle w:val="BodyText"/>
        <w:spacing w:before="5"/>
        <w:rPr>
          <w:sz w:val="18"/>
        </w:rPr>
      </w:pPr>
    </w:p>
    <w:p>
      <w:pPr>
        <w:spacing w:before="0"/>
        <w:ind w:left="54" w:right="0" w:firstLine="0"/>
        <w:jc w:val="center"/>
        <w:rPr>
          <w:rFonts w:ascii="Calibri"/>
          <w:sz w:val="18"/>
        </w:rPr>
      </w:pPr>
      <w:r>
        <w:rPr>
          <w:rFonts w:ascii="Calibri"/>
          <w:sz w:val="18"/>
        </w:rPr>
        <w:t>14</w:t>
      </w:r>
    </w:p>
    <w:p>
      <w:pPr>
        <w:spacing w:after="0"/>
        <w:jc w:val="center"/>
        <w:rPr>
          <w:rFonts w:ascii="Calibri"/>
          <w:sz w:val="18"/>
        </w:rPr>
        <w:sectPr>
          <w:pgSz w:w="11910" w:h="16840"/>
          <w:pgMar w:top="1540" w:bottom="280" w:left="1200" w:right="1140"/>
        </w:sectPr>
      </w:pPr>
    </w:p>
    <w:p>
      <w:pPr>
        <w:pStyle w:val="BodyText"/>
        <w:spacing w:line="388" w:lineRule="auto" w:before="43"/>
        <w:ind w:left="389" w:right="274" w:firstLine="479"/>
      </w:pPr>
      <w:r>
        <w:rPr/>
        <w:drawing>
          <wp:anchor distT="0" distB="0" distL="0" distR="0" allowOverlap="1" layoutInCell="1" locked="0" behindDoc="1" simplePos="0" relativeHeight="268350095">
            <wp:simplePos x="0" y="0"/>
            <wp:positionH relativeFrom="page">
              <wp:posOffset>203309</wp:posOffset>
            </wp:positionH>
            <wp:positionV relativeFrom="page">
              <wp:posOffset>944714</wp:posOffset>
            </wp:positionV>
            <wp:extent cx="7115825" cy="9747669"/>
            <wp:effectExtent l="0" t="0" r="0" b="0"/>
            <wp:wrapNone/>
            <wp:docPr id="39" name="image2.jpeg" descr=""/>
            <wp:cNvGraphicFramePr>
              <a:graphicFrameLocks noChangeAspect="1"/>
            </wp:cNvGraphicFramePr>
            <a:graphic>
              <a:graphicData uri="http://schemas.openxmlformats.org/drawingml/2006/picture">
                <pic:pic>
                  <pic:nvPicPr>
                    <pic:cNvPr id="4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336" filled="true" fillcolor="#ffffff" stroked="false">
            <v:fill type="solid"/>
            <w10:wrap type="none"/>
          </v:rect>
        </w:pict>
      </w:r>
      <w:r>
        <w:rPr/>
        <w:t>③单价金额小数点或者百分比有明显错位的，以开标一览表的总价为准，并修改单价；</w:t>
      </w:r>
    </w:p>
    <w:p>
      <w:pPr>
        <w:pStyle w:val="BodyText"/>
        <w:spacing w:before="4"/>
        <w:ind w:left="869"/>
      </w:pPr>
      <w:r>
        <w:rPr/>
        <w:t>④总价金额与按单价汇总金额不一致的，以单价金额计算结果为准。</w:t>
      </w:r>
    </w:p>
    <w:p>
      <w:pPr>
        <w:pStyle w:val="BodyText"/>
        <w:spacing w:line="388" w:lineRule="auto" w:before="192"/>
        <w:ind w:left="389" w:right="276" w:firstLine="479"/>
      </w:pPr>
      <w:r>
        <w:rPr/>
        <w:t>同时出现两种以上不一致的，按照前款规定的顺序修正。修正后的报价，经投标人确认后产生约束力，投标人不确认的，其投标无效。</w:t>
      </w:r>
    </w:p>
    <w:p>
      <w:pPr>
        <w:pStyle w:val="ListParagraph"/>
        <w:numPr>
          <w:ilvl w:val="1"/>
          <w:numId w:val="19"/>
        </w:numPr>
        <w:tabs>
          <w:tab w:pos="1410" w:val="left" w:leader="none"/>
        </w:tabs>
        <w:spacing w:line="391" w:lineRule="auto" w:before="4" w:after="0"/>
        <w:ind w:left="389" w:right="235" w:firstLine="480"/>
        <w:jc w:val="left"/>
        <w:rPr>
          <w:sz w:val="24"/>
        </w:rPr>
      </w:pPr>
      <w:r>
        <w:rPr>
          <w:sz w:val="24"/>
        </w:rPr>
        <w:t>评标委员会认为投标人的报价明显低于其他通过符合性审查投标人的报价， </w:t>
      </w:r>
      <w:r>
        <w:rPr>
          <w:spacing w:val="-2"/>
          <w:sz w:val="24"/>
        </w:rPr>
        <w:t>有可能影响产品质量或者不能诚信履约的，应当要求其在评标现场合理的时间内提供</w:t>
      </w:r>
      <w:r>
        <w:rPr>
          <w:spacing w:val="-6"/>
          <w:sz w:val="24"/>
        </w:rPr>
        <w:t>书面说明，必要时提交相关证明材料；投标人不能证明其报价合理性的，评标委员会应当将其作为无效投标处理。</w:t>
      </w:r>
    </w:p>
    <w:p>
      <w:pPr>
        <w:pStyle w:val="ListParagraph"/>
        <w:numPr>
          <w:ilvl w:val="1"/>
          <w:numId w:val="19"/>
        </w:numPr>
        <w:tabs>
          <w:tab w:pos="1410" w:val="left" w:leader="none"/>
        </w:tabs>
        <w:spacing w:line="388" w:lineRule="auto" w:before="0" w:after="0"/>
        <w:ind w:left="389" w:right="331" w:firstLine="480"/>
        <w:jc w:val="left"/>
        <w:rPr>
          <w:sz w:val="24"/>
        </w:rPr>
      </w:pPr>
      <w:r>
        <w:rPr>
          <w:spacing w:val="-9"/>
          <w:sz w:val="24"/>
        </w:rPr>
        <w:t>比较。评标委员会将按招标文件中规定的评标方法和标准，对符合性检查合格的投标文件进行商务和技术评比。</w:t>
      </w:r>
    </w:p>
    <w:p>
      <w:pPr>
        <w:pStyle w:val="BodyText"/>
        <w:spacing w:line="391" w:lineRule="auto"/>
        <w:ind w:left="389" w:right="330" w:firstLine="479"/>
        <w:jc w:val="both"/>
      </w:pPr>
      <w:r>
        <w:rPr>
          <w:spacing w:val="-2"/>
        </w:rPr>
        <w:t>符合条件的小企业</w:t>
      </w:r>
      <w:r>
        <w:rPr/>
        <w:t>（</w:t>
      </w:r>
      <w:r>
        <w:rPr>
          <w:spacing w:val="-3"/>
        </w:rPr>
        <w:t>含小型、微型企业</w:t>
      </w:r>
      <w:r>
        <w:rPr>
          <w:spacing w:val="-10"/>
        </w:rPr>
        <w:t>）</w:t>
      </w:r>
      <w:r>
        <w:rPr>
          <w:spacing w:val="-2"/>
        </w:rPr>
        <w:t>参与投标，对小型和微型企业产品的价</w:t>
      </w:r>
      <w:r>
        <w:rPr>
          <w:spacing w:val="-17"/>
        </w:rPr>
        <w:t>格给予 </w:t>
      </w:r>
      <w:r>
        <w:rPr/>
        <w:t>6%</w:t>
      </w:r>
      <w:r>
        <w:rPr>
          <w:spacing w:val="-9"/>
        </w:rPr>
        <w:t>的扣除，用扣除后的价格参与评审。参加投标的中小企业，应当按照《政府采购促进中小企业发展暂行办法</w:t>
      </w:r>
      <w:r>
        <w:rPr>
          <w:spacing w:val="-140"/>
        </w:rPr>
        <w:t>》</w:t>
      </w:r>
      <w:r>
        <w:rPr/>
        <w:t>（</w:t>
      </w:r>
      <w:r>
        <w:rPr>
          <w:spacing w:val="-7"/>
        </w:rPr>
        <w:t>财库〔</w:t>
      </w:r>
      <w:r>
        <w:rPr/>
        <w:t>2011</w:t>
      </w:r>
      <w:r>
        <w:rPr>
          <w:spacing w:val="-20"/>
        </w:rPr>
        <w:t>〕</w:t>
      </w:r>
      <w:r>
        <w:rPr/>
        <w:t>181</w:t>
      </w:r>
      <w:r>
        <w:rPr>
          <w:spacing w:val="-30"/>
        </w:rPr>
        <w:t> 号</w:t>
      </w:r>
      <w:r>
        <w:rPr>
          <w:spacing w:val="-20"/>
        </w:rPr>
        <w:t>）</w:t>
      </w:r>
      <w:r>
        <w:rPr>
          <w:spacing w:val="-4"/>
        </w:rPr>
        <w:t>的规定提供《中小企业声明</w:t>
      </w:r>
      <w:r>
        <w:rPr>
          <w:spacing w:val="-61"/>
        </w:rPr>
        <w:t>函》</w:t>
      </w:r>
      <w:r>
        <w:rPr/>
        <w:t>（中小企业划型标准详见《关于印发中小企业划型标准规定的通知》工信部联企业〔2011〕300</w:t>
      </w:r>
      <w:r>
        <w:rPr>
          <w:spacing w:val="-31"/>
        </w:rPr>
        <w:t> 号</w:t>
      </w:r>
      <w:r>
        <w:rPr>
          <w:spacing w:val="-120"/>
        </w:rPr>
        <w:t>）</w:t>
      </w:r>
      <w:r>
        <w:rPr/>
        <w:t>。</w:t>
      </w:r>
    </w:p>
    <w:p>
      <w:pPr>
        <w:pStyle w:val="BodyText"/>
        <w:spacing w:line="300" w:lineRule="exact"/>
        <w:ind w:left="869"/>
      </w:pPr>
      <w:r>
        <w:rPr/>
        <w:t>小企业（含小型、微型企业）应当同时符合以下条件：</w:t>
      </w:r>
    </w:p>
    <w:p>
      <w:pPr>
        <w:pStyle w:val="BodyText"/>
        <w:spacing w:line="388" w:lineRule="auto" w:before="194"/>
        <w:ind w:left="389" w:right="265" w:firstLine="479"/>
      </w:pPr>
      <w:r>
        <w:rPr/>
        <w:t>（1）供应商为小企业，且符合小企业划分标准；（2）提供本企业制造的货物、承担的工程或者服务，或者提供其他小企业制造的货物。</w:t>
      </w:r>
    </w:p>
    <w:p>
      <w:pPr>
        <w:pStyle w:val="ListParagraph"/>
        <w:numPr>
          <w:ilvl w:val="1"/>
          <w:numId w:val="19"/>
        </w:numPr>
        <w:tabs>
          <w:tab w:pos="1410" w:val="left" w:leader="none"/>
        </w:tabs>
        <w:spacing w:line="391" w:lineRule="auto" w:before="2" w:after="0"/>
        <w:ind w:left="389" w:right="331" w:firstLine="480"/>
        <w:jc w:val="left"/>
        <w:rPr>
          <w:sz w:val="24"/>
        </w:rPr>
      </w:pPr>
      <w:r>
        <w:rPr>
          <w:spacing w:val="-10"/>
          <w:sz w:val="24"/>
        </w:rPr>
        <w:t>推荐中标候选人。评标委员会按照招标文件中规定的评标方法和标准推荐中标候选人。</w:t>
      </w:r>
    </w:p>
    <w:p>
      <w:pPr>
        <w:pStyle w:val="BodyText"/>
      </w:pPr>
    </w:p>
    <w:p>
      <w:pPr>
        <w:pStyle w:val="Heading2"/>
        <w:spacing w:line="240" w:lineRule="auto" w:before="154"/>
      </w:pPr>
      <w:bookmarkStart w:name="_TOC_250025" w:id="19"/>
      <w:bookmarkStart w:name="七、中标及合同签订" w:id="20"/>
      <w:r>
        <w:rPr>
          <w:b w:val="0"/>
        </w:rPr>
      </w:r>
      <w:bookmarkEnd w:id="19"/>
      <w:r>
        <w:rPr/>
        <w:t>七、中标及合同签订</w:t>
      </w:r>
    </w:p>
    <w:p>
      <w:pPr>
        <w:pStyle w:val="Heading8"/>
        <w:spacing w:before="118"/>
      </w:pPr>
      <w:r>
        <w:rPr/>
        <w:t>29、标后审查</w:t>
      </w:r>
    </w:p>
    <w:p>
      <w:pPr>
        <w:pStyle w:val="ListParagraph"/>
        <w:numPr>
          <w:ilvl w:val="1"/>
          <w:numId w:val="20"/>
        </w:numPr>
        <w:tabs>
          <w:tab w:pos="1472" w:val="left" w:leader="none"/>
        </w:tabs>
        <w:spacing w:line="391" w:lineRule="auto" w:before="137" w:after="0"/>
        <w:ind w:left="389" w:right="295" w:firstLine="480"/>
        <w:jc w:val="both"/>
        <w:rPr>
          <w:sz w:val="24"/>
        </w:rPr>
      </w:pPr>
      <w:r>
        <w:rPr>
          <w:sz w:val="24"/>
        </w:rPr>
        <w:t>采购人将在签订合同前对中标候选人是否能圆满地履行合同进行审查。审</w:t>
      </w:r>
      <w:r>
        <w:rPr>
          <w:spacing w:val="-2"/>
          <w:sz w:val="24"/>
        </w:rPr>
        <w:t>查包括中标候选人投标文件中提供的所有资格证明材料原件，中标候选人投标文件及补充承诺中涉及的其他相关资料原件，以及对本项目实施可能存在风险的其他因素。</w:t>
      </w:r>
    </w:p>
    <w:p>
      <w:pPr>
        <w:spacing w:before="53"/>
        <w:ind w:left="54" w:right="0" w:firstLine="0"/>
        <w:jc w:val="center"/>
        <w:rPr>
          <w:rFonts w:ascii="Calibri"/>
          <w:sz w:val="18"/>
        </w:rPr>
      </w:pPr>
      <w:r>
        <w:rPr>
          <w:rFonts w:ascii="Calibri"/>
          <w:sz w:val="18"/>
        </w:rPr>
        <w:t>15</w:t>
      </w:r>
    </w:p>
    <w:p>
      <w:pPr>
        <w:spacing w:after="0"/>
        <w:jc w:val="center"/>
        <w:rPr>
          <w:rFonts w:ascii="Calibri"/>
          <w:sz w:val="18"/>
        </w:rPr>
        <w:sectPr>
          <w:pgSz w:w="11910" w:h="16840"/>
          <w:pgMar w:top="1540" w:bottom="280" w:left="1200" w:right="1140"/>
        </w:sectPr>
      </w:pPr>
    </w:p>
    <w:p>
      <w:pPr>
        <w:pStyle w:val="ListParagraph"/>
        <w:numPr>
          <w:ilvl w:val="1"/>
          <w:numId w:val="20"/>
        </w:numPr>
        <w:tabs>
          <w:tab w:pos="1472" w:val="left" w:leader="none"/>
        </w:tabs>
        <w:spacing w:line="391" w:lineRule="auto" w:before="43" w:after="0"/>
        <w:ind w:left="389" w:right="328" w:firstLine="480"/>
        <w:jc w:val="both"/>
        <w:rPr>
          <w:sz w:val="24"/>
        </w:rPr>
      </w:pPr>
      <w:r>
        <w:rPr/>
        <w:drawing>
          <wp:anchor distT="0" distB="0" distL="0" distR="0" allowOverlap="1" layoutInCell="1" locked="0" behindDoc="1" simplePos="0" relativeHeight="268350143">
            <wp:simplePos x="0" y="0"/>
            <wp:positionH relativeFrom="page">
              <wp:posOffset>203309</wp:posOffset>
            </wp:positionH>
            <wp:positionV relativeFrom="page">
              <wp:posOffset>944714</wp:posOffset>
            </wp:positionV>
            <wp:extent cx="7115825" cy="9747669"/>
            <wp:effectExtent l="0" t="0" r="0" b="0"/>
            <wp:wrapNone/>
            <wp:docPr id="41" name="image2.jpeg" descr=""/>
            <wp:cNvGraphicFramePr>
              <a:graphicFrameLocks noChangeAspect="1"/>
            </wp:cNvGraphicFramePr>
            <a:graphic>
              <a:graphicData uri="http://schemas.openxmlformats.org/drawingml/2006/picture">
                <pic:pic>
                  <pic:nvPicPr>
                    <pic:cNvPr id="4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288" filled="true" fillcolor="#ffffff" stroked="false">
            <v:fill type="solid"/>
            <w10:wrap type="none"/>
          </v:rect>
        </w:pict>
      </w:r>
      <w:r>
        <w:rPr>
          <w:sz w:val="24"/>
        </w:rPr>
        <w:t>采购人若发现中标候选人在投标过程中提供虚假证明文件，故意隐瞒公司</w:t>
      </w:r>
      <w:r>
        <w:rPr>
          <w:spacing w:val="-3"/>
          <w:sz w:val="24"/>
        </w:rPr>
        <w:t>不良信誉和财务状况，以及存在可能对合同圆满履行造成风险的其他因素等，则报经</w:t>
      </w:r>
      <w:r>
        <w:rPr>
          <w:spacing w:val="-6"/>
          <w:sz w:val="24"/>
        </w:rPr>
        <w:t>监管部门按规定取消其中标资格，监管部门依法处理。如果确定第一中标候选人无法履行合同，采购人可以按排名依次对其余中标候选人进行类似的审查。</w:t>
      </w:r>
    </w:p>
    <w:p>
      <w:pPr>
        <w:pStyle w:val="Heading8"/>
        <w:spacing w:line="356" w:lineRule="exact"/>
      </w:pPr>
      <w:r>
        <w:rPr/>
        <w:t>30、确定中标人</w:t>
      </w:r>
    </w:p>
    <w:p>
      <w:pPr>
        <w:pStyle w:val="BodyText"/>
        <w:spacing w:line="388" w:lineRule="auto" w:before="139"/>
        <w:ind w:left="389" w:right="329" w:firstLine="479"/>
        <w:jc w:val="both"/>
      </w:pPr>
      <w:r>
        <w:rPr>
          <w:spacing w:val="-2"/>
        </w:rPr>
        <w:t>采购人根据对中标候选人标后审查情况确认中标人。第一中标候选人并列的，由采购人随机抽取确定中标人。</w:t>
      </w:r>
    </w:p>
    <w:p>
      <w:pPr>
        <w:pStyle w:val="BodyText"/>
        <w:spacing w:line="391" w:lineRule="auto" w:before="3"/>
        <w:ind w:left="389" w:right="329" w:firstLine="479"/>
        <w:jc w:val="both"/>
      </w:pPr>
      <w:r>
        <w:rPr>
          <w:spacing w:val="-3"/>
        </w:rPr>
        <w:t>第一中标候选人放弃中标、因不可抗力不能履行合同，或者被查实存在影响中标</w:t>
      </w:r>
      <w:r>
        <w:rPr>
          <w:spacing w:val="-6"/>
        </w:rPr>
        <w:t>结果的违法行为等情形，不符合中标条件的，招标人可以按照评标委员会提出的中标候选人名单排序依次确定其他中标候选人为中标人，也可以重新招标。</w:t>
      </w:r>
    </w:p>
    <w:p>
      <w:pPr>
        <w:pStyle w:val="Heading8"/>
        <w:spacing w:line="358" w:lineRule="exact"/>
      </w:pPr>
      <w:r>
        <w:rPr/>
        <w:t>31、中标通知书</w:t>
      </w:r>
    </w:p>
    <w:p>
      <w:pPr>
        <w:pStyle w:val="ListParagraph"/>
        <w:numPr>
          <w:ilvl w:val="1"/>
          <w:numId w:val="21"/>
        </w:numPr>
        <w:tabs>
          <w:tab w:pos="1410" w:val="left" w:leader="none"/>
        </w:tabs>
        <w:spacing w:line="388" w:lineRule="auto" w:before="139" w:after="0"/>
        <w:ind w:left="389" w:right="331" w:firstLine="480"/>
        <w:jc w:val="both"/>
        <w:rPr>
          <w:sz w:val="24"/>
        </w:rPr>
      </w:pPr>
      <w:r>
        <w:rPr>
          <w:spacing w:val="-5"/>
          <w:sz w:val="24"/>
        </w:rPr>
        <w:t>中标结果在财政部门指定信息媒体上发布公告，招标采购单位将向中标人发出中标通知书。</w:t>
      </w:r>
    </w:p>
    <w:p>
      <w:pPr>
        <w:pStyle w:val="ListParagraph"/>
        <w:numPr>
          <w:ilvl w:val="1"/>
          <w:numId w:val="21"/>
        </w:numPr>
        <w:tabs>
          <w:tab w:pos="1410" w:val="left" w:leader="none"/>
        </w:tabs>
        <w:spacing w:line="391" w:lineRule="auto" w:before="2" w:after="0"/>
        <w:ind w:left="389" w:right="331" w:firstLine="480"/>
        <w:jc w:val="both"/>
        <w:rPr>
          <w:sz w:val="24"/>
        </w:rPr>
      </w:pPr>
      <w:r>
        <w:rPr>
          <w:spacing w:val="-5"/>
          <w:sz w:val="24"/>
        </w:rPr>
        <w:t>中标人应及时到采购代理机构领取中标通知书，中标通知书是签订合同的依据和组成部分。</w:t>
      </w:r>
    </w:p>
    <w:p>
      <w:pPr>
        <w:pStyle w:val="BodyText"/>
        <w:spacing w:line="388" w:lineRule="auto"/>
        <w:ind w:left="389" w:right="331" w:firstLine="479"/>
        <w:jc w:val="both"/>
      </w:pPr>
      <w:r>
        <w:rPr>
          <w:spacing w:val="-3"/>
        </w:rPr>
        <w:t>中标人领取中标通知书时，须按投标须知前附表中相关要求提供与电子投标文件一致的纸质打印投标文件。</w:t>
      </w:r>
    </w:p>
    <w:p>
      <w:pPr>
        <w:pStyle w:val="ListParagraph"/>
        <w:numPr>
          <w:ilvl w:val="1"/>
          <w:numId w:val="21"/>
        </w:numPr>
        <w:tabs>
          <w:tab w:pos="1410" w:val="left" w:leader="none"/>
        </w:tabs>
        <w:spacing w:line="388" w:lineRule="auto" w:before="4" w:after="0"/>
        <w:ind w:left="389" w:right="331" w:firstLine="480"/>
        <w:jc w:val="both"/>
        <w:rPr>
          <w:sz w:val="24"/>
        </w:rPr>
      </w:pPr>
      <w:r>
        <w:rPr>
          <w:spacing w:val="-8"/>
          <w:sz w:val="24"/>
        </w:rPr>
        <w:t>采用综合评分法评审的，未中标人可登录“宿迁市公共资源交易电子服务平台”点击“投标人登录”进入业务系统，查询本人的评审得分与排序。</w:t>
      </w:r>
    </w:p>
    <w:p>
      <w:pPr>
        <w:pStyle w:val="Heading8"/>
        <w:spacing w:line="364" w:lineRule="exact"/>
      </w:pPr>
      <w:r>
        <w:rPr/>
        <w:t>32、签订合同</w:t>
      </w:r>
    </w:p>
    <w:p>
      <w:pPr>
        <w:pStyle w:val="ListParagraph"/>
        <w:numPr>
          <w:ilvl w:val="1"/>
          <w:numId w:val="22"/>
        </w:numPr>
        <w:tabs>
          <w:tab w:pos="1417" w:val="left" w:leader="none"/>
        </w:tabs>
        <w:spacing w:line="388" w:lineRule="auto" w:before="139" w:after="0"/>
        <w:ind w:left="389" w:right="330" w:firstLine="480"/>
        <w:jc w:val="both"/>
        <w:rPr>
          <w:sz w:val="24"/>
        </w:rPr>
      </w:pPr>
      <w:r>
        <w:rPr>
          <w:spacing w:val="-3"/>
          <w:sz w:val="24"/>
        </w:rPr>
        <w:t>中标人与采购人应当在中标通知书发出之日起 </w:t>
      </w:r>
      <w:r>
        <w:rPr>
          <w:sz w:val="24"/>
        </w:rPr>
        <w:t>30</w:t>
      </w:r>
      <w:r>
        <w:rPr>
          <w:spacing w:val="-8"/>
          <w:sz w:val="24"/>
        </w:rPr>
        <w:t> 日内签订采购合同，并将</w:t>
      </w:r>
      <w:r>
        <w:rPr>
          <w:spacing w:val="-10"/>
          <w:sz w:val="24"/>
        </w:rPr>
        <w:t>合同送采购代理机构登记。招标文件、中标人的投标文件以及评标过程中有关澄清文件均作为合同附件。</w:t>
      </w:r>
    </w:p>
    <w:p>
      <w:pPr>
        <w:pStyle w:val="ListParagraph"/>
        <w:numPr>
          <w:ilvl w:val="1"/>
          <w:numId w:val="22"/>
        </w:numPr>
        <w:tabs>
          <w:tab w:pos="1410" w:val="left" w:leader="none"/>
        </w:tabs>
        <w:spacing w:line="388" w:lineRule="auto" w:before="6" w:after="0"/>
        <w:ind w:left="389" w:right="331" w:firstLine="480"/>
        <w:jc w:val="both"/>
        <w:rPr>
          <w:sz w:val="24"/>
        </w:rPr>
      </w:pPr>
      <w:r>
        <w:rPr>
          <w:spacing w:val="-4"/>
          <w:sz w:val="24"/>
        </w:rPr>
        <w:t>中标人无正当理由未在规定时间内与采购人签订合同的，采购人有权建议取消其中标资格，监管部门将对其依法处理。</w:t>
      </w:r>
    </w:p>
    <w:p>
      <w:pPr>
        <w:pStyle w:val="Heading8"/>
        <w:spacing w:line="364" w:lineRule="exact"/>
      </w:pPr>
      <w:r>
        <w:rPr/>
        <w:t>33、履约保证金</w:t>
      </w:r>
    </w:p>
    <w:p>
      <w:pPr>
        <w:pStyle w:val="ListParagraph"/>
        <w:numPr>
          <w:ilvl w:val="1"/>
          <w:numId w:val="23"/>
        </w:numPr>
        <w:tabs>
          <w:tab w:pos="1410" w:val="left" w:leader="none"/>
        </w:tabs>
        <w:spacing w:line="240" w:lineRule="auto" w:before="140" w:after="0"/>
        <w:ind w:left="389" w:right="0" w:firstLine="480"/>
        <w:jc w:val="left"/>
        <w:rPr>
          <w:sz w:val="24"/>
        </w:rPr>
      </w:pPr>
      <w:r>
        <w:rPr>
          <w:spacing w:val="-7"/>
          <w:sz w:val="24"/>
        </w:rPr>
        <w:t>中标人的投标保证金，中标后将自动转为履约保证金。招标文件对履约保证</w:t>
      </w:r>
    </w:p>
    <w:p>
      <w:pPr>
        <w:pStyle w:val="BodyText"/>
        <w:rPr>
          <w:sz w:val="20"/>
        </w:rPr>
      </w:pPr>
    </w:p>
    <w:p>
      <w:pPr>
        <w:pStyle w:val="BodyText"/>
        <w:spacing w:before="9"/>
        <w:rPr>
          <w:sz w:val="18"/>
        </w:rPr>
      </w:pPr>
    </w:p>
    <w:p>
      <w:pPr>
        <w:spacing w:before="0"/>
        <w:ind w:left="54" w:right="0" w:firstLine="0"/>
        <w:jc w:val="center"/>
        <w:rPr>
          <w:rFonts w:ascii="Calibri"/>
          <w:sz w:val="18"/>
        </w:rPr>
      </w:pPr>
      <w:r>
        <w:rPr>
          <w:rFonts w:ascii="Calibri"/>
          <w:sz w:val="18"/>
        </w:rPr>
        <w:t>16</w:t>
      </w:r>
    </w:p>
    <w:p>
      <w:pPr>
        <w:spacing w:after="0"/>
        <w:jc w:val="center"/>
        <w:rPr>
          <w:rFonts w:ascii="Calibri"/>
          <w:sz w:val="18"/>
        </w:rPr>
        <w:sectPr>
          <w:pgSz w:w="11910" w:h="16840"/>
          <w:pgMar w:top="1540" w:bottom="280" w:left="1200" w:right="1140"/>
        </w:sectPr>
      </w:pPr>
    </w:p>
    <w:p>
      <w:pPr>
        <w:pStyle w:val="BodyText"/>
        <w:spacing w:before="43"/>
        <w:ind w:left="389"/>
      </w:pPr>
      <w:r>
        <w:rPr/>
        <w:drawing>
          <wp:anchor distT="0" distB="0" distL="0" distR="0" allowOverlap="1" layoutInCell="1" locked="0" behindDoc="1" simplePos="0" relativeHeight="268350191">
            <wp:simplePos x="0" y="0"/>
            <wp:positionH relativeFrom="page">
              <wp:posOffset>203309</wp:posOffset>
            </wp:positionH>
            <wp:positionV relativeFrom="page">
              <wp:posOffset>944714</wp:posOffset>
            </wp:positionV>
            <wp:extent cx="7115825" cy="9747669"/>
            <wp:effectExtent l="0" t="0" r="0" b="0"/>
            <wp:wrapNone/>
            <wp:docPr id="43" name="image2.jpeg" descr=""/>
            <wp:cNvGraphicFramePr>
              <a:graphicFrameLocks noChangeAspect="1"/>
            </wp:cNvGraphicFramePr>
            <a:graphic>
              <a:graphicData uri="http://schemas.openxmlformats.org/drawingml/2006/picture">
                <pic:pic>
                  <pic:nvPicPr>
                    <pic:cNvPr id="4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240" filled="true" fillcolor="#ffffff" stroked="false">
            <v:fill type="solid"/>
            <w10:wrap type="none"/>
          </v:rect>
        </w:pict>
      </w:r>
      <w:r>
        <w:rPr/>
        <w:t>金另有约定的从其约定，但不超过合同金额的 10%。</w:t>
      </w:r>
    </w:p>
    <w:p>
      <w:pPr>
        <w:pStyle w:val="ListParagraph"/>
        <w:numPr>
          <w:ilvl w:val="1"/>
          <w:numId w:val="23"/>
        </w:numPr>
        <w:tabs>
          <w:tab w:pos="1410" w:val="left" w:leader="none"/>
        </w:tabs>
        <w:spacing w:line="391" w:lineRule="auto" w:before="191" w:after="0"/>
        <w:ind w:left="389" w:right="330" w:firstLine="480"/>
        <w:jc w:val="both"/>
        <w:rPr>
          <w:sz w:val="24"/>
        </w:rPr>
      </w:pPr>
      <w:r>
        <w:rPr>
          <w:spacing w:val="-9"/>
          <w:sz w:val="24"/>
        </w:rPr>
        <w:t>项目完成后，中标人凭采购人出具的验收报告、履约保证金收据到当地公共</w:t>
      </w:r>
      <w:r>
        <w:rPr>
          <w:spacing w:val="-11"/>
          <w:sz w:val="24"/>
        </w:rPr>
        <w:t>资源交易中心办理退付履约保证金手续，履约保证金将无息退回至中标人法人基本账户中。</w:t>
      </w:r>
    </w:p>
    <w:p>
      <w:pPr>
        <w:pStyle w:val="BodyText"/>
        <w:spacing w:before="10"/>
        <w:rPr>
          <w:sz w:val="35"/>
        </w:rPr>
      </w:pPr>
    </w:p>
    <w:p>
      <w:pPr>
        <w:pStyle w:val="Heading2"/>
        <w:spacing w:line="240" w:lineRule="auto"/>
      </w:pPr>
      <w:bookmarkStart w:name="_TOC_250024" w:id="21"/>
      <w:bookmarkStart w:name="八、验收及付款" w:id="22"/>
      <w:r>
        <w:rPr>
          <w:b w:val="0"/>
        </w:rPr>
      </w:r>
      <w:bookmarkEnd w:id="21"/>
      <w:r>
        <w:rPr/>
        <w:t>八、验收及付款</w:t>
      </w:r>
    </w:p>
    <w:p>
      <w:pPr>
        <w:pStyle w:val="Heading8"/>
        <w:spacing w:before="118"/>
      </w:pPr>
      <w:r>
        <w:rPr/>
        <w:t>34、验收</w:t>
      </w:r>
    </w:p>
    <w:p>
      <w:pPr>
        <w:pStyle w:val="BodyText"/>
        <w:spacing w:before="141"/>
        <w:ind w:left="869"/>
      </w:pPr>
      <w:r>
        <w:rPr/>
        <w:t>32.1 采购单位成立验收小组，必要时应聘请专业人员，并出具验收报告。</w:t>
      </w:r>
    </w:p>
    <w:p>
      <w:pPr>
        <w:pStyle w:val="BodyText"/>
      </w:pPr>
    </w:p>
    <w:p>
      <w:pPr>
        <w:pStyle w:val="BodyText"/>
        <w:spacing w:before="9"/>
        <w:rPr>
          <w:sz w:val="23"/>
        </w:rPr>
      </w:pPr>
    </w:p>
    <w:p>
      <w:pPr>
        <w:pStyle w:val="Heading8"/>
      </w:pPr>
      <w:r>
        <w:rPr/>
        <w:t>35、付款</w:t>
      </w:r>
    </w:p>
    <w:p>
      <w:pPr>
        <w:pStyle w:val="BodyText"/>
        <w:spacing w:line="388" w:lineRule="auto" w:before="140"/>
        <w:ind w:left="389" w:right="275" w:firstLine="479"/>
      </w:pPr>
      <w:r>
        <w:rPr/>
        <w:t>33.1 货物进场付至合同价的 20％，验收合格并交付使用后 10 个工作日内付至合同价的 95％，余款于质保期结束且无任何质量问题后付清。</w:t>
      </w:r>
    </w:p>
    <w:p>
      <w:pPr>
        <w:pStyle w:val="BodyText"/>
      </w:pPr>
    </w:p>
    <w:p>
      <w:pPr>
        <w:pStyle w:val="Heading2"/>
        <w:spacing w:line="240" w:lineRule="auto" w:before="157"/>
      </w:pPr>
      <w:bookmarkStart w:name="_TOC_250023" w:id="23"/>
      <w:bookmarkStart w:name="九、质疑与投诉" w:id="24"/>
      <w:r>
        <w:rPr>
          <w:b w:val="0"/>
        </w:rPr>
      </w:r>
      <w:bookmarkEnd w:id="23"/>
      <w:r>
        <w:rPr/>
        <w:t>九、质疑与投诉</w:t>
      </w:r>
    </w:p>
    <w:p>
      <w:pPr>
        <w:pStyle w:val="Heading8"/>
        <w:spacing w:before="118"/>
      </w:pPr>
      <w:r>
        <w:rPr>
          <w:w w:val="95"/>
        </w:rPr>
        <w:t>36、质疑与投诉</w:t>
      </w:r>
    </w:p>
    <w:p>
      <w:pPr>
        <w:pStyle w:val="ListParagraph"/>
        <w:numPr>
          <w:ilvl w:val="1"/>
          <w:numId w:val="24"/>
        </w:numPr>
        <w:tabs>
          <w:tab w:pos="1410" w:val="left" w:leader="none"/>
        </w:tabs>
        <w:spacing w:line="328" w:lineRule="auto" w:before="139" w:after="0"/>
        <w:ind w:left="389" w:right="327" w:firstLine="480"/>
        <w:jc w:val="left"/>
        <w:rPr>
          <w:rFonts w:ascii="Microsoft JhengHei" w:eastAsia="Microsoft JhengHei" w:hint="eastAsia"/>
          <w:b/>
          <w:sz w:val="24"/>
        </w:rPr>
      </w:pPr>
      <w:r>
        <w:rPr>
          <w:spacing w:val="-7"/>
          <w:sz w:val="24"/>
        </w:rPr>
        <w:t>投标人认为采购文件、采购过程和中标结果使自己的权益受到损害的，可以在知道或者应知其权益受到损害之日起七个工作日内（</w:t>
      </w:r>
      <w:r>
        <w:rPr>
          <w:spacing w:val="-11"/>
          <w:sz w:val="24"/>
        </w:rPr>
        <w:t>具体起算时间见 </w:t>
      </w:r>
      <w:r>
        <w:rPr>
          <w:sz w:val="24"/>
        </w:rPr>
        <w:t>36.2</w:t>
      </w:r>
      <w:r>
        <w:rPr>
          <w:spacing w:val="-120"/>
          <w:sz w:val="24"/>
        </w:rPr>
        <w:t>）</w:t>
      </w:r>
      <w:r>
        <w:rPr>
          <w:sz w:val="24"/>
        </w:rPr>
        <w:t>，</w:t>
      </w:r>
      <w:r>
        <w:rPr>
          <w:rFonts w:ascii="Microsoft JhengHei" w:eastAsia="Microsoft JhengHei" w:hint="eastAsia"/>
          <w:b/>
          <w:spacing w:val="1"/>
          <w:sz w:val="24"/>
        </w:rPr>
        <w:t>将质</w:t>
      </w:r>
    </w:p>
    <w:p>
      <w:pPr>
        <w:pStyle w:val="Heading8"/>
        <w:spacing w:line="335" w:lineRule="exact"/>
        <w:ind w:left="389"/>
        <w:rPr>
          <w:rFonts w:ascii="SimSun" w:eastAsia="SimSun" w:hint="eastAsia"/>
          <w:b w:val="0"/>
        </w:rPr>
      </w:pPr>
      <w:r>
        <w:rPr/>
        <w:t>疑函以书面形式由法定代表人或法人授权代表送达采购代理机构或采购单位</w:t>
      </w:r>
      <w:r>
        <w:rPr>
          <w:rFonts w:ascii="SimSun" w:eastAsia="SimSun" w:hint="eastAsia"/>
          <w:b w:val="0"/>
        </w:rPr>
        <w:t>。质疑超</w:t>
      </w:r>
    </w:p>
    <w:p>
      <w:pPr>
        <w:pStyle w:val="BodyText"/>
        <w:spacing w:before="140"/>
        <w:ind w:left="389"/>
      </w:pPr>
      <w:r>
        <w:rPr/>
        <w:t>出采购机构代理范围的，供应商应当向采购人提出。</w:t>
      </w:r>
    </w:p>
    <w:p>
      <w:pPr>
        <w:pStyle w:val="BodyText"/>
        <w:spacing w:line="391" w:lineRule="auto" w:before="192"/>
        <w:ind w:left="389" w:right="275" w:firstLine="479"/>
      </w:pPr>
      <w:r>
        <w:rPr/>
        <w:t>供应商质疑实行实名制，其质疑应当有具体的质疑事项及事实根据，并配合采购人、采购代理机构处理质疑。</w:t>
      </w:r>
    </w:p>
    <w:p>
      <w:pPr>
        <w:pStyle w:val="ListParagraph"/>
        <w:numPr>
          <w:ilvl w:val="1"/>
          <w:numId w:val="24"/>
        </w:numPr>
        <w:tabs>
          <w:tab w:pos="1410" w:val="left" w:leader="none"/>
        </w:tabs>
        <w:spacing w:line="306" w:lineRule="exact" w:before="0" w:after="0"/>
        <w:ind w:left="389" w:right="0" w:firstLine="480"/>
        <w:jc w:val="left"/>
        <w:rPr>
          <w:sz w:val="24"/>
        </w:rPr>
      </w:pPr>
      <w:r>
        <w:rPr>
          <w:sz w:val="24"/>
        </w:rPr>
        <w:t>供应商应知其权益受到损害之日，是指：</w:t>
      </w:r>
    </w:p>
    <w:p>
      <w:pPr>
        <w:pStyle w:val="BodyText"/>
        <w:spacing w:before="191"/>
        <w:ind w:left="869"/>
      </w:pPr>
      <w:r>
        <w:rPr/>
        <w:t>（1）对本项目采购文件提出质疑的，为采购文件公告期限届满之日；</w:t>
      </w:r>
    </w:p>
    <w:p>
      <w:pPr>
        <w:pStyle w:val="BodyText"/>
        <w:spacing w:before="192"/>
        <w:ind w:left="869"/>
      </w:pPr>
      <w:r>
        <w:rPr/>
        <w:t>（2）对本项目采购过程提出质疑的，为各采购程序环节结束之日；</w:t>
      </w:r>
    </w:p>
    <w:p>
      <w:pPr>
        <w:pStyle w:val="BodyText"/>
        <w:spacing w:line="388" w:lineRule="auto" w:before="194"/>
        <w:ind w:left="389" w:right="331" w:firstLine="479"/>
      </w:pPr>
      <w:r>
        <w:rPr/>
        <w:t>（3）对本项目中标或者成交结果提出质疑的，为中标或者成交结果公告期限届满之日。</w:t>
      </w:r>
    </w:p>
    <w:p>
      <w:pPr>
        <w:pStyle w:val="BodyText"/>
        <w:spacing w:before="4"/>
        <w:rPr>
          <w:sz w:val="19"/>
        </w:rPr>
      </w:pPr>
    </w:p>
    <w:p>
      <w:pPr>
        <w:spacing w:before="64"/>
        <w:ind w:left="54" w:right="0" w:firstLine="0"/>
        <w:jc w:val="center"/>
        <w:rPr>
          <w:rFonts w:ascii="Calibri"/>
          <w:sz w:val="18"/>
        </w:rPr>
      </w:pPr>
      <w:r>
        <w:rPr>
          <w:rFonts w:ascii="Calibri"/>
          <w:sz w:val="18"/>
        </w:rPr>
        <w:t>17</w:t>
      </w:r>
    </w:p>
    <w:p>
      <w:pPr>
        <w:spacing w:after="0"/>
        <w:jc w:val="center"/>
        <w:rPr>
          <w:rFonts w:ascii="Calibri"/>
          <w:sz w:val="18"/>
        </w:rPr>
        <w:sectPr>
          <w:pgSz w:w="11910" w:h="16840"/>
          <w:pgMar w:top="1540" w:bottom="280" w:left="1200" w:right="1140"/>
        </w:sectPr>
      </w:pPr>
    </w:p>
    <w:p>
      <w:pPr>
        <w:pStyle w:val="ListParagraph"/>
        <w:numPr>
          <w:ilvl w:val="1"/>
          <w:numId w:val="24"/>
        </w:numPr>
        <w:tabs>
          <w:tab w:pos="1410" w:val="left" w:leader="none"/>
        </w:tabs>
        <w:spacing w:line="388" w:lineRule="auto" w:before="43" w:after="0"/>
        <w:ind w:left="389" w:right="330" w:firstLine="480"/>
        <w:jc w:val="left"/>
        <w:rPr>
          <w:sz w:val="24"/>
        </w:rPr>
      </w:pPr>
      <w:r>
        <w:rPr/>
        <w:drawing>
          <wp:anchor distT="0" distB="0" distL="0" distR="0" allowOverlap="1" layoutInCell="1" locked="0" behindDoc="1" simplePos="0" relativeHeight="268350239">
            <wp:simplePos x="0" y="0"/>
            <wp:positionH relativeFrom="page">
              <wp:posOffset>203309</wp:posOffset>
            </wp:positionH>
            <wp:positionV relativeFrom="page">
              <wp:posOffset>944714</wp:posOffset>
            </wp:positionV>
            <wp:extent cx="7115825" cy="9747669"/>
            <wp:effectExtent l="0" t="0" r="0" b="0"/>
            <wp:wrapNone/>
            <wp:docPr id="45" name="image2.jpeg" descr=""/>
            <wp:cNvGraphicFramePr>
              <a:graphicFrameLocks noChangeAspect="1"/>
            </wp:cNvGraphicFramePr>
            <a:graphic>
              <a:graphicData uri="http://schemas.openxmlformats.org/drawingml/2006/picture">
                <pic:pic>
                  <pic:nvPicPr>
                    <pic:cNvPr id="4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192" filled="true" fillcolor="#ffffff" stroked="false">
            <v:fill type="solid"/>
            <w10:wrap type="none"/>
          </v:rect>
        </w:pict>
      </w:r>
      <w:r>
        <w:rPr>
          <w:spacing w:val="-7"/>
          <w:sz w:val="24"/>
        </w:rPr>
        <w:t>投标人委托代理质疑的，应当向代理人提交授权委托书，并载明委托代理的具体权限和事项。</w:t>
      </w:r>
    </w:p>
    <w:p>
      <w:pPr>
        <w:pStyle w:val="ListParagraph"/>
        <w:numPr>
          <w:ilvl w:val="1"/>
          <w:numId w:val="24"/>
        </w:numPr>
        <w:tabs>
          <w:tab w:pos="1410" w:val="left" w:leader="none"/>
        </w:tabs>
        <w:spacing w:line="240" w:lineRule="auto" w:before="4" w:after="0"/>
        <w:ind w:left="389" w:right="0" w:firstLine="480"/>
        <w:jc w:val="left"/>
        <w:rPr>
          <w:sz w:val="24"/>
        </w:rPr>
      </w:pPr>
      <w:r>
        <w:rPr>
          <w:sz w:val="24"/>
        </w:rPr>
        <w:t>质疑函的必备内容</w:t>
      </w:r>
    </w:p>
    <w:p>
      <w:pPr>
        <w:pStyle w:val="BodyText"/>
        <w:spacing w:line="388" w:lineRule="auto" w:before="192"/>
        <w:ind w:left="389" w:right="331" w:firstLine="479"/>
      </w:pPr>
      <w:r>
        <w:rPr/>
        <w:t>（1）质疑函必须注明质疑人单位名称、详细地址、邮编、单位和法定代表人电话号码、联系人及电话；</w:t>
      </w:r>
    </w:p>
    <w:p>
      <w:pPr>
        <w:pStyle w:val="BodyText"/>
        <w:spacing w:before="4"/>
        <w:ind w:left="869"/>
      </w:pPr>
      <w:r>
        <w:rPr/>
        <w:t>（2）所参加项目的具体质疑事项及事实依据；</w:t>
      </w:r>
    </w:p>
    <w:p>
      <w:pPr>
        <w:pStyle w:val="BodyText"/>
        <w:spacing w:before="192"/>
        <w:ind w:left="869"/>
      </w:pPr>
      <w:r>
        <w:rPr/>
        <w:t>（3）认为自己合法权益受到损害或可能受到损害的相关证据材料；</w:t>
      </w:r>
    </w:p>
    <w:p>
      <w:pPr>
        <w:pStyle w:val="BodyText"/>
        <w:spacing w:before="192"/>
        <w:ind w:left="869"/>
      </w:pPr>
      <w:r>
        <w:rPr/>
        <w:t>（4）提起质疑的日期；</w:t>
      </w:r>
    </w:p>
    <w:p>
      <w:pPr>
        <w:pStyle w:val="BodyText"/>
        <w:spacing w:line="388" w:lineRule="auto" w:before="194"/>
        <w:ind w:left="389" w:right="327" w:firstLine="479"/>
      </w:pPr>
      <w:r>
        <w:rPr>
          <w:spacing w:val="-7"/>
        </w:rPr>
        <w:t>（5）</w:t>
      </w:r>
      <w:r>
        <w:rPr>
          <w:spacing w:val="-1"/>
        </w:rPr>
        <w:t>质疑函必须由法定代表人签字并加盖公章</w:t>
      </w:r>
      <w:r>
        <w:rPr/>
        <w:t>（</w:t>
      </w:r>
      <w:r>
        <w:rPr>
          <w:spacing w:val="-6"/>
        </w:rPr>
        <w:t>委托代理质疑的还应按 </w:t>
      </w:r>
      <w:r>
        <w:rPr/>
        <w:t>36.3</w:t>
      </w:r>
      <w:r>
        <w:rPr>
          <w:spacing w:val="-30"/>
        </w:rPr>
        <w:t> 条规定提供授权委托书</w:t>
      </w:r>
      <w:r>
        <w:rPr>
          <w:spacing w:val="-120"/>
        </w:rPr>
        <w:t>）</w:t>
      </w:r>
      <w:r>
        <w:rPr/>
        <w:t>。</w:t>
      </w:r>
    </w:p>
    <w:p>
      <w:pPr>
        <w:pStyle w:val="ListParagraph"/>
        <w:numPr>
          <w:ilvl w:val="1"/>
          <w:numId w:val="24"/>
        </w:numPr>
        <w:tabs>
          <w:tab w:pos="1410" w:val="left" w:leader="none"/>
        </w:tabs>
        <w:spacing w:line="240" w:lineRule="auto" w:before="2" w:after="0"/>
        <w:ind w:left="389" w:right="0" w:firstLine="480"/>
        <w:jc w:val="left"/>
        <w:rPr>
          <w:sz w:val="24"/>
        </w:rPr>
      </w:pPr>
      <w:r>
        <w:rPr>
          <w:sz w:val="24"/>
        </w:rPr>
        <w:t>质疑应符合下列条件：</w:t>
      </w:r>
    </w:p>
    <w:p>
      <w:pPr>
        <w:pStyle w:val="BodyText"/>
        <w:spacing w:before="194"/>
        <w:ind w:left="869"/>
      </w:pPr>
      <w:r>
        <w:rPr/>
        <w:t>（1）质疑人是参与所质疑项目的投标人；</w:t>
      </w:r>
    </w:p>
    <w:p>
      <w:pPr>
        <w:pStyle w:val="BodyText"/>
        <w:spacing w:before="192"/>
        <w:ind w:left="869"/>
      </w:pPr>
      <w:r>
        <w:rPr/>
        <w:t>（2）质疑函内容符合相关的规定；</w:t>
      </w:r>
    </w:p>
    <w:p>
      <w:pPr>
        <w:pStyle w:val="BodyText"/>
        <w:spacing w:before="192"/>
        <w:ind w:left="869"/>
      </w:pPr>
      <w:r>
        <w:rPr/>
        <w:t>（3）在规定的有效期限内提起质疑；</w:t>
      </w:r>
    </w:p>
    <w:p>
      <w:pPr>
        <w:pStyle w:val="BodyText"/>
        <w:spacing w:before="194"/>
        <w:ind w:left="869"/>
      </w:pPr>
      <w:r>
        <w:rPr/>
        <w:t>（4）国务院财政部门规定的其他条件。</w:t>
      </w:r>
    </w:p>
    <w:p>
      <w:pPr>
        <w:pStyle w:val="ListParagraph"/>
        <w:numPr>
          <w:ilvl w:val="1"/>
          <w:numId w:val="24"/>
        </w:numPr>
        <w:tabs>
          <w:tab w:pos="1410" w:val="left" w:leader="none"/>
        </w:tabs>
        <w:spacing w:line="391" w:lineRule="auto" w:before="192" w:after="0"/>
        <w:ind w:left="389" w:right="235" w:firstLine="480"/>
        <w:jc w:val="left"/>
        <w:rPr>
          <w:sz w:val="24"/>
        </w:rPr>
      </w:pPr>
      <w:r>
        <w:rPr>
          <w:sz w:val="24"/>
        </w:rPr>
        <w:t>招标采购单位在收到质疑函后，认为质疑函内容、格式等不符合本规定的， </w:t>
      </w:r>
      <w:r>
        <w:rPr>
          <w:spacing w:val="-3"/>
          <w:sz w:val="24"/>
        </w:rPr>
        <w:t>告知质疑人进行补正。质疑人应当在法定质疑期限内进行补正并重新提交质疑函，拒不补正或者超过法定期限后未重新提交质疑函的，为无效质疑。</w:t>
      </w:r>
    </w:p>
    <w:p>
      <w:pPr>
        <w:pStyle w:val="ListParagraph"/>
        <w:numPr>
          <w:ilvl w:val="1"/>
          <w:numId w:val="24"/>
        </w:numPr>
        <w:tabs>
          <w:tab w:pos="1410" w:val="left" w:leader="none"/>
        </w:tabs>
        <w:spacing w:line="388" w:lineRule="auto" w:before="0" w:after="0"/>
        <w:ind w:left="389" w:right="331" w:firstLine="480"/>
        <w:jc w:val="left"/>
        <w:rPr>
          <w:sz w:val="24"/>
        </w:rPr>
      </w:pPr>
      <w:r>
        <w:rPr>
          <w:spacing w:val="-4"/>
          <w:sz w:val="24"/>
        </w:rPr>
        <w:t>招标采购单位在收到投标人的书面质疑后七个工作日内作出答复，并以书面形式通知质疑投标人和其他有关人员，但答复的内容不涉及商业秘密。</w:t>
      </w:r>
    </w:p>
    <w:p>
      <w:pPr>
        <w:pStyle w:val="ListParagraph"/>
        <w:numPr>
          <w:ilvl w:val="1"/>
          <w:numId w:val="24"/>
        </w:numPr>
        <w:tabs>
          <w:tab w:pos="1410" w:val="left" w:leader="none"/>
        </w:tabs>
        <w:spacing w:line="388" w:lineRule="auto" w:before="1" w:after="0"/>
        <w:ind w:left="389" w:right="330" w:firstLine="480"/>
        <w:jc w:val="both"/>
        <w:rPr>
          <w:sz w:val="24"/>
        </w:rPr>
      </w:pPr>
      <w:r>
        <w:rPr>
          <w:spacing w:val="-3"/>
          <w:sz w:val="24"/>
        </w:rPr>
        <w:t>提出质疑的投标人对答复不满意的，</w:t>
      </w:r>
      <w:r>
        <w:rPr>
          <w:color w:val="FF0000"/>
          <w:spacing w:val="-7"/>
          <w:sz w:val="24"/>
        </w:rPr>
        <w:t>或者采购人、采购代理机构未在规定期</w:t>
      </w:r>
      <w:r>
        <w:rPr>
          <w:color w:val="FF0000"/>
          <w:spacing w:val="-11"/>
          <w:sz w:val="24"/>
        </w:rPr>
        <w:t>限内作出答复的，</w:t>
      </w:r>
      <w:r>
        <w:rPr>
          <w:sz w:val="24"/>
        </w:rPr>
        <w:t>可以在答复期满后十五个工作日内向同级政府采购监督管理部门投诉。</w:t>
      </w:r>
    </w:p>
    <w:p>
      <w:pPr>
        <w:pStyle w:val="ListParagraph"/>
        <w:numPr>
          <w:ilvl w:val="1"/>
          <w:numId w:val="24"/>
        </w:numPr>
        <w:tabs>
          <w:tab w:pos="1410" w:val="left" w:leader="none"/>
        </w:tabs>
        <w:spacing w:line="388" w:lineRule="auto" w:before="6" w:after="0"/>
        <w:ind w:left="389" w:right="331" w:firstLine="480"/>
        <w:jc w:val="both"/>
        <w:rPr>
          <w:sz w:val="24"/>
        </w:rPr>
      </w:pPr>
      <w:r>
        <w:rPr>
          <w:spacing w:val="-9"/>
          <w:sz w:val="24"/>
        </w:rPr>
        <w:t>对虚假、恶意质疑投诉、举报将予以驳回，并记录诚信管理档案，降低诚信</w:t>
      </w:r>
      <w:r>
        <w:rPr>
          <w:spacing w:val="-8"/>
          <w:sz w:val="24"/>
        </w:rPr>
        <w:t>等级。供应商捏造事实、提供虚假材料或者以非法手段取得证明材料进行投诉的，由</w:t>
      </w:r>
      <w:r>
        <w:rPr>
          <w:spacing w:val="-11"/>
          <w:sz w:val="24"/>
        </w:rPr>
        <w:t>财政部门列入不良行为记录名单，禁止其 </w:t>
      </w:r>
      <w:r>
        <w:rPr>
          <w:sz w:val="24"/>
        </w:rPr>
        <w:t>1</w:t>
      </w:r>
      <w:r>
        <w:rPr>
          <w:spacing w:val="-40"/>
          <w:sz w:val="24"/>
        </w:rPr>
        <w:t> 至 </w:t>
      </w:r>
      <w:r>
        <w:rPr>
          <w:sz w:val="24"/>
        </w:rPr>
        <w:t>3</w:t>
      </w:r>
      <w:r>
        <w:rPr>
          <w:spacing w:val="-8"/>
          <w:sz w:val="24"/>
        </w:rPr>
        <w:t> 年内参加政府采购活动。</w:t>
      </w:r>
    </w:p>
    <w:p>
      <w:pPr>
        <w:pStyle w:val="BodyText"/>
        <w:rPr>
          <w:sz w:val="20"/>
        </w:rPr>
      </w:pPr>
    </w:p>
    <w:p>
      <w:pPr>
        <w:pStyle w:val="BodyText"/>
        <w:rPr>
          <w:sz w:val="20"/>
        </w:rPr>
      </w:pPr>
    </w:p>
    <w:p>
      <w:pPr>
        <w:pStyle w:val="BodyText"/>
        <w:spacing w:before="2"/>
        <w:rPr>
          <w:sz w:val="18"/>
        </w:rPr>
      </w:pPr>
    </w:p>
    <w:p>
      <w:pPr>
        <w:spacing w:before="64"/>
        <w:ind w:left="54" w:right="0" w:firstLine="0"/>
        <w:jc w:val="center"/>
        <w:rPr>
          <w:rFonts w:ascii="Calibri"/>
          <w:sz w:val="18"/>
        </w:rPr>
      </w:pPr>
      <w:r>
        <w:rPr>
          <w:rFonts w:ascii="Calibri"/>
          <w:sz w:val="18"/>
        </w:rPr>
        <w:t>18</w:t>
      </w:r>
    </w:p>
    <w:p>
      <w:pPr>
        <w:spacing w:after="0"/>
        <w:jc w:val="center"/>
        <w:rPr>
          <w:rFonts w:ascii="Calibri"/>
          <w:sz w:val="18"/>
        </w:rPr>
        <w:sectPr>
          <w:pgSz w:w="11910" w:h="16840"/>
          <w:pgMar w:top="1540" w:bottom="280" w:left="1200" w:right="1140"/>
        </w:sectPr>
      </w:pPr>
    </w:p>
    <w:p>
      <w:pPr>
        <w:pStyle w:val="BodyText"/>
        <w:rPr>
          <w:rFonts w:ascii="Calibri"/>
          <w:sz w:val="20"/>
        </w:rPr>
      </w:pPr>
      <w:r>
        <w:rPr/>
        <w:drawing>
          <wp:anchor distT="0" distB="0" distL="0" distR="0" allowOverlap="1" layoutInCell="1" locked="0" behindDoc="1" simplePos="0" relativeHeight="268350287">
            <wp:simplePos x="0" y="0"/>
            <wp:positionH relativeFrom="page">
              <wp:posOffset>203309</wp:posOffset>
            </wp:positionH>
            <wp:positionV relativeFrom="page">
              <wp:posOffset>944714</wp:posOffset>
            </wp:positionV>
            <wp:extent cx="7115825" cy="9747669"/>
            <wp:effectExtent l="0" t="0" r="0" b="0"/>
            <wp:wrapNone/>
            <wp:docPr id="47" name="image2.jpeg" descr=""/>
            <wp:cNvGraphicFramePr>
              <a:graphicFrameLocks noChangeAspect="1"/>
            </wp:cNvGraphicFramePr>
            <a:graphic>
              <a:graphicData uri="http://schemas.openxmlformats.org/drawingml/2006/picture">
                <pic:pic>
                  <pic:nvPicPr>
                    <pic:cNvPr id="4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144" filled="true" fillcolor="#ffffff" stroked="false">
            <v:fill type="solid"/>
            <w10:wrap type="none"/>
          </v:rect>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2"/>
        <w:rPr>
          <w:rFonts w:ascii="Calibri"/>
          <w:sz w:val="25"/>
        </w:rPr>
      </w:pPr>
    </w:p>
    <w:p>
      <w:pPr>
        <w:spacing w:before="63"/>
        <w:ind w:left="54" w:right="0" w:firstLine="0"/>
        <w:jc w:val="center"/>
        <w:rPr>
          <w:rFonts w:ascii="Calibri"/>
          <w:sz w:val="18"/>
        </w:rPr>
      </w:pPr>
      <w:r>
        <w:rPr>
          <w:rFonts w:ascii="Calibri"/>
          <w:sz w:val="18"/>
        </w:rPr>
        <w:t>19</w:t>
      </w:r>
    </w:p>
    <w:p>
      <w:pPr>
        <w:spacing w:after="0"/>
        <w:jc w:val="center"/>
        <w:rPr>
          <w:rFonts w:ascii="Calibri"/>
          <w:sz w:val="18"/>
        </w:rPr>
        <w:sectPr>
          <w:pgSz w:w="11910" w:h="16840"/>
          <w:pgMar w:top="1580" w:bottom="280" w:left="1200" w:right="1140"/>
        </w:sectPr>
      </w:pPr>
    </w:p>
    <w:p>
      <w:pPr>
        <w:pStyle w:val="Heading1"/>
        <w:tabs>
          <w:tab w:pos="3927" w:val="left" w:leader="none"/>
        </w:tabs>
        <w:ind w:left="1718"/>
      </w:pPr>
      <w:r>
        <w:rPr/>
        <w:drawing>
          <wp:anchor distT="0" distB="0" distL="0" distR="0" allowOverlap="1" layoutInCell="1" locked="0" behindDoc="1" simplePos="0" relativeHeight="268350335">
            <wp:simplePos x="0" y="0"/>
            <wp:positionH relativeFrom="page">
              <wp:posOffset>203309</wp:posOffset>
            </wp:positionH>
            <wp:positionV relativeFrom="page">
              <wp:posOffset>944714</wp:posOffset>
            </wp:positionV>
            <wp:extent cx="7115825" cy="9747669"/>
            <wp:effectExtent l="0" t="0" r="0" b="0"/>
            <wp:wrapNone/>
            <wp:docPr id="49" name="image2.jpeg" descr=""/>
            <wp:cNvGraphicFramePr>
              <a:graphicFrameLocks noChangeAspect="1"/>
            </wp:cNvGraphicFramePr>
            <a:graphic>
              <a:graphicData uri="http://schemas.openxmlformats.org/drawingml/2006/picture">
                <pic:pic>
                  <pic:nvPicPr>
                    <pic:cNvPr id="5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096" filled="true" fillcolor="#ffffff" stroked="false">
            <v:fill type="solid"/>
            <w10:wrap type="none"/>
          </v:rect>
        </w:pict>
      </w:r>
      <w:bookmarkStart w:name="_TOC_250022" w:id="25"/>
      <w:bookmarkStart w:name="第三部分  资格审查及评标办法" w:id="26"/>
      <w:r>
        <w:rPr>
          <w:b w:val="0"/>
        </w:rPr>
      </w:r>
      <w:bookmarkEnd w:id="25"/>
      <w:r>
        <w:rPr/>
        <w:t>第三部分</w:t>
        <w:tab/>
        <w:t>资格审查及评标办法</w:t>
      </w:r>
    </w:p>
    <w:p>
      <w:pPr>
        <w:spacing w:before="87"/>
        <w:ind w:left="1032" w:right="0" w:firstLine="0"/>
        <w:jc w:val="left"/>
        <w:rPr>
          <w:rFonts w:ascii="Microsoft JhengHei" w:eastAsia="Microsoft JhengHei" w:hint="eastAsia"/>
          <w:b/>
          <w:sz w:val="32"/>
        </w:rPr>
      </w:pPr>
      <w:r>
        <w:rPr>
          <w:rFonts w:ascii="Microsoft JhengHei" w:eastAsia="Microsoft JhengHei" w:hint="eastAsia"/>
          <w:b/>
          <w:sz w:val="32"/>
        </w:rPr>
        <w:t>一、资格审查</w:t>
      </w:r>
    </w:p>
    <w:p>
      <w:pPr>
        <w:pStyle w:val="BodyText"/>
        <w:spacing w:line="242" w:lineRule="auto" w:before="192" w:after="4"/>
        <w:ind w:left="389" w:right="275" w:firstLine="479"/>
      </w:pPr>
      <w:r>
        <w:rPr/>
        <w:t>资审人员按照下列指标对各投标人的资格进行审查，未通过审查的为无效标，不参与评审。</w:t>
      </w:r>
    </w:p>
    <w:tbl>
      <w:tblPr>
        <w:tblW w:w="0" w:type="auto"/>
        <w:jc w:val="left"/>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31"/>
        <w:gridCol w:w="4429"/>
      </w:tblGrid>
      <w:tr>
        <w:trPr>
          <w:trHeight w:val="311" w:hRule="atLeast"/>
        </w:trPr>
        <w:tc>
          <w:tcPr>
            <w:tcW w:w="4431" w:type="dxa"/>
            <w:shd w:val="clear" w:color="auto" w:fill="FFFFFF"/>
          </w:tcPr>
          <w:p>
            <w:pPr>
              <w:pStyle w:val="TableParagraph"/>
              <w:spacing w:before="22"/>
              <w:ind w:left="1562" w:right="1554"/>
              <w:jc w:val="center"/>
              <w:rPr>
                <w:sz w:val="21"/>
              </w:rPr>
            </w:pPr>
            <w:r>
              <w:rPr>
                <w:sz w:val="21"/>
              </w:rPr>
              <w:t>资格审查因素</w:t>
            </w:r>
          </w:p>
        </w:tc>
        <w:tc>
          <w:tcPr>
            <w:tcW w:w="4429" w:type="dxa"/>
            <w:shd w:val="clear" w:color="auto" w:fill="FFFFFF"/>
          </w:tcPr>
          <w:p>
            <w:pPr>
              <w:pStyle w:val="TableParagraph"/>
              <w:spacing w:before="22"/>
              <w:ind w:left="1774" w:right="1760"/>
              <w:jc w:val="center"/>
              <w:rPr>
                <w:sz w:val="21"/>
              </w:rPr>
            </w:pPr>
            <w:r>
              <w:rPr>
                <w:sz w:val="21"/>
              </w:rPr>
              <w:t>审查标准</w:t>
            </w:r>
          </w:p>
        </w:tc>
      </w:tr>
      <w:tr>
        <w:trPr>
          <w:trHeight w:val="311" w:hRule="atLeast"/>
        </w:trPr>
        <w:tc>
          <w:tcPr>
            <w:tcW w:w="4431" w:type="dxa"/>
            <w:shd w:val="clear" w:color="auto" w:fill="FFFFFF"/>
          </w:tcPr>
          <w:p>
            <w:pPr>
              <w:pStyle w:val="TableParagraph"/>
              <w:spacing w:before="22"/>
              <w:ind w:left="4"/>
              <w:rPr>
                <w:sz w:val="21"/>
              </w:rPr>
            </w:pPr>
            <w:r>
              <w:rPr>
                <w:sz w:val="21"/>
              </w:rPr>
              <w:t>营业执照</w:t>
            </w:r>
          </w:p>
        </w:tc>
        <w:tc>
          <w:tcPr>
            <w:tcW w:w="4429" w:type="dxa"/>
            <w:shd w:val="clear" w:color="auto" w:fill="FFFFFF"/>
          </w:tcPr>
          <w:p>
            <w:pPr>
              <w:pStyle w:val="TableParagraph"/>
              <w:spacing w:before="22"/>
              <w:ind w:left="4"/>
              <w:rPr>
                <w:sz w:val="21"/>
              </w:rPr>
            </w:pPr>
            <w:r>
              <w:rPr>
                <w:sz w:val="21"/>
              </w:rPr>
              <w:t>营业范围涵盖本次招标货物</w:t>
            </w:r>
          </w:p>
        </w:tc>
      </w:tr>
      <w:tr>
        <w:trPr>
          <w:trHeight w:val="313" w:hRule="atLeast"/>
        </w:trPr>
        <w:tc>
          <w:tcPr>
            <w:tcW w:w="4431" w:type="dxa"/>
            <w:shd w:val="clear" w:color="auto" w:fill="FFFFFF"/>
          </w:tcPr>
          <w:p>
            <w:pPr>
              <w:pStyle w:val="TableParagraph"/>
              <w:spacing w:before="25"/>
              <w:ind w:left="4"/>
              <w:rPr>
                <w:sz w:val="21"/>
              </w:rPr>
            </w:pPr>
            <w:r>
              <w:rPr>
                <w:sz w:val="21"/>
              </w:rPr>
              <w:t>无重大违法行为声明</w:t>
            </w:r>
          </w:p>
        </w:tc>
        <w:tc>
          <w:tcPr>
            <w:tcW w:w="4429" w:type="dxa"/>
            <w:shd w:val="clear" w:color="auto" w:fill="FFFFFF"/>
          </w:tcPr>
          <w:p>
            <w:pPr>
              <w:pStyle w:val="TableParagraph"/>
              <w:spacing w:before="25"/>
              <w:ind w:left="4"/>
              <w:rPr>
                <w:sz w:val="21"/>
              </w:rPr>
            </w:pPr>
            <w:r>
              <w:rPr>
                <w:sz w:val="21"/>
              </w:rPr>
              <w:t>符合招标文件要求</w:t>
            </w:r>
          </w:p>
        </w:tc>
      </w:tr>
      <w:tr>
        <w:trPr>
          <w:trHeight w:val="311" w:hRule="atLeast"/>
        </w:trPr>
        <w:tc>
          <w:tcPr>
            <w:tcW w:w="4431" w:type="dxa"/>
            <w:shd w:val="clear" w:color="auto" w:fill="FFFFFF"/>
          </w:tcPr>
          <w:p>
            <w:pPr>
              <w:pStyle w:val="TableParagraph"/>
              <w:spacing w:before="22"/>
              <w:ind w:left="4"/>
              <w:rPr>
                <w:sz w:val="21"/>
              </w:rPr>
            </w:pPr>
            <w:r>
              <w:rPr>
                <w:sz w:val="21"/>
              </w:rPr>
              <w:t>投标人资质</w:t>
            </w:r>
          </w:p>
        </w:tc>
        <w:tc>
          <w:tcPr>
            <w:tcW w:w="4429" w:type="dxa"/>
            <w:shd w:val="clear" w:color="auto" w:fill="FFFFFF"/>
          </w:tcPr>
          <w:p>
            <w:pPr>
              <w:pStyle w:val="TableParagraph"/>
              <w:spacing w:before="22"/>
              <w:ind w:left="4"/>
              <w:rPr>
                <w:sz w:val="21"/>
              </w:rPr>
            </w:pPr>
            <w:r>
              <w:rPr>
                <w:sz w:val="21"/>
              </w:rPr>
              <w:t>符合招标文件要求</w:t>
            </w:r>
          </w:p>
        </w:tc>
      </w:tr>
      <w:tr>
        <w:trPr>
          <w:trHeight w:val="312" w:hRule="atLeast"/>
        </w:trPr>
        <w:tc>
          <w:tcPr>
            <w:tcW w:w="4431" w:type="dxa"/>
            <w:shd w:val="clear" w:color="auto" w:fill="FFFFFF"/>
          </w:tcPr>
          <w:p>
            <w:pPr>
              <w:pStyle w:val="TableParagraph"/>
              <w:spacing w:before="23"/>
              <w:ind w:left="4"/>
              <w:rPr>
                <w:sz w:val="21"/>
              </w:rPr>
            </w:pPr>
            <w:r>
              <w:rPr>
                <w:sz w:val="21"/>
              </w:rPr>
              <w:t>信用信息</w:t>
            </w:r>
          </w:p>
        </w:tc>
        <w:tc>
          <w:tcPr>
            <w:tcW w:w="4429" w:type="dxa"/>
            <w:shd w:val="clear" w:color="auto" w:fill="FFFFFF"/>
          </w:tcPr>
          <w:p>
            <w:pPr>
              <w:pStyle w:val="TableParagraph"/>
              <w:spacing w:before="23"/>
              <w:ind w:left="4"/>
              <w:rPr>
                <w:sz w:val="21"/>
              </w:rPr>
            </w:pPr>
            <w:r>
              <w:rPr>
                <w:sz w:val="21"/>
              </w:rPr>
              <w:t>符合招标文件要求</w:t>
            </w:r>
          </w:p>
        </w:tc>
      </w:tr>
    </w:tbl>
    <w:p>
      <w:pPr>
        <w:pStyle w:val="BodyText"/>
      </w:pPr>
    </w:p>
    <w:p>
      <w:pPr>
        <w:pStyle w:val="BodyText"/>
        <w:spacing w:before="2"/>
        <w:rPr>
          <w:sz w:val="22"/>
        </w:rPr>
      </w:pPr>
    </w:p>
    <w:p>
      <w:pPr>
        <w:spacing w:before="0"/>
        <w:ind w:left="1032" w:right="0" w:firstLine="0"/>
        <w:jc w:val="left"/>
        <w:rPr>
          <w:rFonts w:ascii="Microsoft JhengHei" w:hAnsi="Microsoft JhengHei" w:eastAsia="Microsoft JhengHei" w:hint="eastAsia"/>
          <w:b/>
          <w:sz w:val="32"/>
        </w:rPr>
      </w:pPr>
      <w:r>
        <w:rPr>
          <w:rFonts w:ascii="Microsoft JhengHei" w:hAnsi="Microsoft JhengHei" w:eastAsia="Microsoft JhengHei" w:hint="eastAsia"/>
          <w:b/>
          <w:sz w:val="32"/>
        </w:rPr>
        <w:t>二、评分办法—最低评标价法</w:t>
      </w:r>
    </w:p>
    <w:p>
      <w:pPr>
        <w:pStyle w:val="BodyText"/>
        <w:spacing w:line="314" w:lineRule="auto" w:before="274"/>
        <w:ind w:left="389" w:right="274" w:firstLine="482"/>
      </w:pPr>
      <w:r>
        <w:rPr>
          <w:rFonts w:ascii="Microsoft JhengHei" w:eastAsia="Microsoft JhengHei" w:hint="eastAsia"/>
          <w:b/>
        </w:rPr>
        <w:t>1、评标办法：</w:t>
      </w:r>
      <w:r>
        <w:rPr/>
        <w:t>本项目采用最低评标价法，评标委员会按经评审的有效投标报价由低到高的顺序推荐中标候选人。评审投标价相同的并列。投标文件满足招标文件全</w:t>
      </w:r>
    </w:p>
    <w:p>
      <w:pPr>
        <w:pStyle w:val="BodyText"/>
        <w:spacing w:before="99"/>
        <w:ind w:left="389"/>
      </w:pPr>
      <w:r>
        <w:rPr/>
        <w:t>部实质性要求且经评审后的有效最低价的投标人为排名第一的中标候选人。</w:t>
      </w:r>
    </w:p>
    <w:p>
      <w:pPr>
        <w:pStyle w:val="BodyText"/>
        <w:spacing w:line="314" w:lineRule="auto" w:before="113"/>
        <w:ind w:left="389" w:right="406" w:firstLine="482"/>
      </w:pPr>
      <w:r>
        <w:rPr/>
        <w:pict>
          <v:shapetype id="_x0000_t202" o:spt="202" coordsize="21600,21600" path="m,l,21600r21600,l21600,xe">
            <v:stroke joinstyle="miter"/>
            <v:path gradientshapeok="t" o:connecttype="rect"/>
          </v:shapetype>
          <v:shape style="position:absolute;margin-left:78.744003pt;margin-top:51.630924pt;width:444.1pt;height:115.2pt;mso-position-horizontal-relative:page;mso-position-vertical-relative:paragraph;z-index:215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31"/>
                    <w:gridCol w:w="4429"/>
                  </w:tblGrid>
                  <w:tr>
                    <w:trPr>
                      <w:trHeight w:val="311" w:hRule="atLeast"/>
                    </w:trPr>
                    <w:tc>
                      <w:tcPr>
                        <w:tcW w:w="4431" w:type="dxa"/>
                        <w:shd w:val="clear" w:color="auto" w:fill="FFFFFF"/>
                      </w:tcPr>
                      <w:p>
                        <w:pPr>
                          <w:pStyle w:val="TableParagraph"/>
                          <w:spacing w:before="22"/>
                          <w:ind w:left="1475"/>
                          <w:rPr>
                            <w:sz w:val="21"/>
                          </w:rPr>
                        </w:pPr>
                        <w:r>
                          <w:rPr>
                            <w:sz w:val="21"/>
                          </w:rPr>
                          <w:t>符合性审查因素</w:t>
                        </w:r>
                      </w:p>
                    </w:tc>
                    <w:tc>
                      <w:tcPr>
                        <w:tcW w:w="4429" w:type="dxa"/>
                        <w:shd w:val="clear" w:color="auto" w:fill="FFFFFF"/>
                      </w:tcPr>
                      <w:p>
                        <w:pPr>
                          <w:pStyle w:val="TableParagraph"/>
                          <w:spacing w:before="22"/>
                          <w:ind w:left="1774" w:right="1760"/>
                          <w:jc w:val="center"/>
                          <w:rPr>
                            <w:sz w:val="21"/>
                          </w:rPr>
                        </w:pPr>
                        <w:r>
                          <w:rPr>
                            <w:sz w:val="21"/>
                          </w:rPr>
                          <w:t>审查标准</w:t>
                        </w:r>
                      </w:p>
                    </w:tc>
                  </w:tr>
                  <w:tr>
                    <w:trPr>
                      <w:trHeight w:val="311" w:hRule="atLeast"/>
                    </w:trPr>
                    <w:tc>
                      <w:tcPr>
                        <w:tcW w:w="4431" w:type="dxa"/>
                        <w:shd w:val="clear" w:color="auto" w:fill="FFFFFF"/>
                      </w:tcPr>
                      <w:p>
                        <w:pPr>
                          <w:pStyle w:val="TableParagraph"/>
                          <w:spacing w:before="22"/>
                          <w:ind w:left="4"/>
                          <w:rPr>
                            <w:sz w:val="21"/>
                          </w:rPr>
                        </w:pPr>
                        <w:r>
                          <w:rPr>
                            <w:sz w:val="21"/>
                          </w:rPr>
                          <w:t>投标函</w:t>
                        </w:r>
                      </w:p>
                    </w:tc>
                    <w:tc>
                      <w:tcPr>
                        <w:tcW w:w="4429" w:type="dxa"/>
                        <w:shd w:val="clear" w:color="auto" w:fill="FFFFFF"/>
                      </w:tcPr>
                      <w:p>
                        <w:pPr>
                          <w:pStyle w:val="TableParagraph"/>
                          <w:spacing w:before="22"/>
                          <w:ind w:left="4"/>
                          <w:rPr>
                            <w:sz w:val="21"/>
                          </w:rPr>
                        </w:pPr>
                        <w:r>
                          <w:rPr>
                            <w:sz w:val="21"/>
                          </w:rPr>
                          <w:t>符合招标文件要求</w:t>
                        </w:r>
                      </w:p>
                    </w:tc>
                  </w:tr>
                  <w:tr>
                    <w:trPr>
                      <w:trHeight w:val="313" w:hRule="atLeast"/>
                    </w:trPr>
                    <w:tc>
                      <w:tcPr>
                        <w:tcW w:w="4431" w:type="dxa"/>
                        <w:shd w:val="clear" w:color="auto" w:fill="FFFFFF"/>
                      </w:tcPr>
                      <w:p>
                        <w:pPr>
                          <w:pStyle w:val="TableParagraph"/>
                          <w:spacing w:before="25"/>
                          <w:ind w:left="4"/>
                          <w:rPr>
                            <w:sz w:val="21"/>
                          </w:rPr>
                        </w:pPr>
                        <w:r>
                          <w:rPr>
                            <w:sz w:val="21"/>
                          </w:rPr>
                          <w:t>法人代表证明或法定代表人授权委托书</w:t>
                        </w:r>
                      </w:p>
                    </w:tc>
                    <w:tc>
                      <w:tcPr>
                        <w:tcW w:w="4429" w:type="dxa"/>
                        <w:shd w:val="clear" w:color="auto" w:fill="FFFFFF"/>
                      </w:tcPr>
                      <w:p>
                        <w:pPr>
                          <w:pStyle w:val="TableParagraph"/>
                          <w:spacing w:before="25"/>
                          <w:ind w:left="4"/>
                          <w:rPr>
                            <w:sz w:val="21"/>
                          </w:rPr>
                        </w:pPr>
                        <w:r>
                          <w:rPr>
                            <w:sz w:val="21"/>
                          </w:rPr>
                          <w:t>符合招标文件要求</w:t>
                        </w:r>
                      </w:p>
                    </w:tc>
                  </w:tr>
                  <w:tr>
                    <w:trPr>
                      <w:trHeight w:val="311" w:hRule="atLeast"/>
                    </w:trPr>
                    <w:tc>
                      <w:tcPr>
                        <w:tcW w:w="4431" w:type="dxa"/>
                        <w:shd w:val="clear" w:color="auto" w:fill="FFFFFF"/>
                      </w:tcPr>
                      <w:p>
                        <w:pPr>
                          <w:pStyle w:val="TableParagraph"/>
                          <w:spacing w:before="22"/>
                          <w:ind w:left="4"/>
                          <w:rPr>
                            <w:sz w:val="21"/>
                          </w:rPr>
                        </w:pPr>
                        <w:r>
                          <w:rPr>
                            <w:sz w:val="21"/>
                          </w:rPr>
                          <w:t>开标一览表及投标报价</w:t>
                        </w:r>
                      </w:p>
                    </w:tc>
                    <w:tc>
                      <w:tcPr>
                        <w:tcW w:w="4429" w:type="dxa"/>
                        <w:shd w:val="clear" w:color="auto" w:fill="FFFFFF"/>
                      </w:tcPr>
                      <w:p>
                        <w:pPr>
                          <w:pStyle w:val="TableParagraph"/>
                          <w:spacing w:before="22"/>
                          <w:ind w:left="4"/>
                          <w:rPr>
                            <w:sz w:val="21"/>
                          </w:rPr>
                        </w:pPr>
                        <w:r>
                          <w:rPr>
                            <w:sz w:val="21"/>
                          </w:rPr>
                          <w:t>格式、填写要求符合招标文件规定</w:t>
                        </w:r>
                      </w:p>
                    </w:tc>
                  </w:tr>
                  <w:tr>
                    <w:trPr>
                      <w:trHeight w:val="311" w:hRule="atLeast"/>
                    </w:trPr>
                    <w:tc>
                      <w:tcPr>
                        <w:tcW w:w="4431" w:type="dxa"/>
                        <w:shd w:val="clear" w:color="auto" w:fill="FFFFFF"/>
                      </w:tcPr>
                      <w:p>
                        <w:pPr>
                          <w:pStyle w:val="TableParagraph"/>
                          <w:spacing w:before="22"/>
                          <w:ind w:left="4"/>
                          <w:rPr>
                            <w:sz w:val="21"/>
                          </w:rPr>
                        </w:pPr>
                        <w:r>
                          <w:rPr>
                            <w:sz w:val="21"/>
                          </w:rPr>
                          <w:t>技术标准和要求</w:t>
                        </w:r>
                      </w:p>
                    </w:tc>
                    <w:tc>
                      <w:tcPr>
                        <w:tcW w:w="4429" w:type="dxa"/>
                        <w:shd w:val="clear" w:color="auto" w:fill="FFFFFF"/>
                      </w:tcPr>
                      <w:p>
                        <w:pPr>
                          <w:pStyle w:val="TableParagraph"/>
                          <w:spacing w:before="22"/>
                          <w:ind w:left="4"/>
                          <w:rPr>
                            <w:sz w:val="21"/>
                          </w:rPr>
                        </w:pPr>
                        <w:r>
                          <w:rPr>
                            <w:sz w:val="21"/>
                          </w:rPr>
                          <w:t>符合招标文件要求</w:t>
                        </w:r>
                      </w:p>
                    </w:tc>
                  </w:tr>
                  <w:tr>
                    <w:trPr>
                      <w:trHeight w:val="311" w:hRule="atLeast"/>
                    </w:trPr>
                    <w:tc>
                      <w:tcPr>
                        <w:tcW w:w="4431" w:type="dxa"/>
                        <w:shd w:val="clear" w:color="auto" w:fill="FFFFFF"/>
                      </w:tcPr>
                      <w:p>
                        <w:pPr>
                          <w:pStyle w:val="TableParagraph"/>
                          <w:spacing w:before="22"/>
                          <w:ind w:left="4"/>
                          <w:rPr>
                            <w:sz w:val="21"/>
                          </w:rPr>
                        </w:pPr>
                        <w:r>
                          <w:rPr>
                            <w:sz w:val="21"/>
                          </w:rPr>
                          <w:t>投标保证金</w:t>
                        </w:r>
                      </w:p>
                    </w:tc>
                    <w:tc>
                      <w:tcPr>
                        <w:tcW w:w="4429" w:type="dxa"/>
                        <w:shd w:val="clear" w:color="auto" w:fill="FFFFFF"/>
                      </w:tcPr>
                      <w:p>
                        <w:pPr>
                          <w:pStyle w:val="TableParagraph"/>
                          <w:spacing w:before="22"/>
                          <w:ind w:left="4"/>
                          <w:rPr>
                            <w:sz w:val="21"/>
                          </w:rPr>
                        </w:pPr>
                        <w:r>
                          <w:rPr>
                            <w:sz w:val="21"/>
                          </w:rPr>
                          <w:t>符合招标文件要求</w:t>
                        </w:r>
                      </w:p>
                    </w:tc>
                  </w:tr>
                  <w:tr>
                    <w:trPr>
                      <w:trHeight w:val="313" w:hRule="atLeast"/>
                    </w:trPr>
                    <w:tc>
                      <w:tcPr>
                        <w:tcW w:w="4431" w:type="dxa"/>
                        <w:shd w:val="clear" w:color="auto" w:fill="FFFFFF"/>
                      </w:tcPr>
                      <w:p>
                        <w:pPr>
                          <w:pStyle w:val="TableParagraph"/>
                          <w:spacing w:before="25"/>
                          <w:ind w:left="4"/>
                          <w:rPr>
                            <w:sz w:val="21"/>
                          </w:rPr>
                        </w:pPr>
                        <w:r>
                          <w:rPr>
                            <w:sz w:val="21"/>
                          </w:rPr>
                          <w:t>其他</w:t>
                        </w:r>
                      </w:p>
                    </w:tc>
                    <w:tc>
                      <w:tcPr>
                        <w:tcW w:w="4429" w:type="dxa"/>
                        <w:shd w:val="clear" w:color="auto" w:fill="FFFFFF"/>
                      </w:tcPr>
                      <w:p>
                        <w:pPr>
                          <w:pStyle w:val="TableParagraph"/>
                          <w:spacing w:before="25"/>
                          <w:ind w:left="4"/>
                          <w:rPr>
                            <w:sz w:val="21"/>
                          </w:rPr>
                        </w:pPr>
                        <w:r>
                          <w:rPr>
                            <w:sz w:val="21"/>
                          </w:rPr>
                          <w:t>符合招标文件要求</w:t>
                        </w:r>
                      </w:p>
                    </w:tc>
                  </w:tr>
                </w:tbl>
                <w:p>
                  <w:pPr>
                    <w:pStyle w:val="BodyText"/>
                  </w:pPr>
                </w:p>
              </w:txbxContent>
            </v:textbox>
            <w10:wrap type="none"/>
          </v:shape>
        </w:pict>
      </w:r>
      <w:r>
        <w:rPr>
          <w:rFonts w:ascii="Microsoft JhengHei" w:eastAsia="Microsoft JhengHei" w:hint="eastAsia"/>
          <w:b/>
          <w:w w:val="95"/>
        </w:rPr>
        <w:t>2、符合性审查。</w:t>
      </w:r>
      <w:r>
        <w:rPr>
          <w:spacing w:val="-2"/>
          <w:w w:val="95"/>
        </w:rPr>
        <w:t>评标委员会首先按照下列指标对各投标人的投标文件进行符合  </w:t>
      </w:r>
      <w:r>
        <w:rPr>
          <w:spacing w:val="-2"/>
        </w:rPr>
        <w:t>性审查，未通过审查的为无效标，不再参与评审。</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9"/>
        </w:rPr>
      </w:pPr>
    </w:p>
    <w:p>
      <w:pPr>
        <w:pStyle w:val="BodyText"/>
        <w:spacing w:line="297" w:lineRule="auto"/>
        <w:ind w:left="389" w:right="339" w:firstLine="472"/>
      </w:pPr>
      <w:r>
        <w:rPr>
          <w:rFonts w:ascii="Calibri" w:eastAsia="Calibri"/>
          <w:b/>
        </w:rPr>
        <w:t>3</w:t>
      </w:r>
      <w:r>
        <w:rPr>
          <w:rFonts w:ascii="Microsoft JhengHei" w:eastAsia="Microsoft JhengHei" w:hint="eastAsia"/>
          <w:b/>
        </w:rPr>
        <w:t>、详细评审。</w:t>
      </w:r>
      <w:r>
        <w:rPr/>
        <w:t>评标委员会按照招标文件规定的评审标准，对各投标文件进行进一步评审和比较。</w:t>
      </w:r>
    </w:p>
    <w:p>
      <w:pPr>
        <w:pStyle w:val="BodyText"/>
        <w:spacing w:before="7"/>
        <w:ind w:left="861"/>
      </w:pPr>
      <w:r>
        <w:rPr>
          <w:rFonts w:ascii="Calibri" w:eastAsia="Calibri"/>
          <w:b/>
        </w:rPr>
        <w:t>4</w:t>
      </w:r>
      <w:r>
        <w:rPr>
          <w:rFonts w:ascii="Microsoft JhengHei" w:eastAsia="Microsoft JhengHei" w:hint="eastAsia"/>
          <w:b/>
        </w:rPr>
        <w:t>、评标结果。</w:t>
      </w:r>
      <w:r>
        <w:rPr/>
        <w:t>评标委员会按照本办法规定推荐中标候选人，并形成评标报告。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spacing w:before="0"/>
        <w:ind w:left="54" w:right="0" w:firstLine="0"/>
        <w:jc w:val="center"/>
        <w:rPr>
          <w:rFonts w:ascii="Calibri"/>
          <w:sz w:val="18"/>
        </w:rPr>
      </w:pPr>
      <w:r>
        <w:rPr>
          <w:rFonts w:ascii="Calibri"/>
          <w:sz w:val="18"/>
        </w:rPr>
        <w:t>20</w:t>
      </w:r>
    </w:p>
    <w:p>
      <w:pPr>
        <w:spacing w:after="0"/>
        <w:jc w:val="center"/>
        <w:rPr>
          <w:rFonts w:ascii="Calibri"/>
          <w:sz w:val="18"/>
        </w:rPr>
        <w:sectPr>
          <w:pgSz w:w="11910" w:h="16840"/>
          <w:pgMar w:top="1440" w:bottom="280" w:left="1200" w:right="1140"/>
        </w:sectPr>
      </w:pPr>
    </w:p>
    <w:p>
      <w:pPr>
        <w:pStyle w:val="Heading1"/>
        <w:tabs>
          <w:tab w:pos="5031" w:val="left" w:leader="none"/>
        </w:tabs>
        <w:ind w:left="2823"/>
      </w:pPr>
      <w:r>
        <w:rPr/>
        <w:drawing>
          <wp:anchor distT="0" distB="0" distL="0" distR="0" allowOverlap="1" layoutInCell="1" locked="0" behindDoc="1" simplePos="0" relativeHeight="268350407">
            <wp:simplePos x="0" y="0"/>
            <wp:positionH relativeFrom="page">
              <wp:posOffset>203309</wp:posOffset>
            </wp:positionH>
            <wp:positionV relativeFrom="page">
              <wp:posOffset>944714</wp:posOffset>
            </wp:positionV>
            <wp:extent cx="7115825" cy="9747669"/>
            <wp:effectExtent l="0" t="0" r="0" b="0"/>
            <wp:wrapNone/>
            <wp:docPr id="51" name="image2.jpeg" descr=""/>
            <wp:cNvGraphicFramePr>
              <a:graphicFrameLocks noChangeAspect="1"/>
            </wp:cNvGraphicFramePr>
            <a:graphic>
              <a:graphicData uri="http://schemas.openxmlformats.org/drawingml/2006/picture">
                <pic:pic>
                  <pic:nvPicPr>
                    <pic:cNvPr id="5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5024" filled="true" fillcolor="#ffffff" stroked="false">
            <v:fill type="solid"/>
            <w10:wrap type="none"/>
          </v:rect>
        </w:pict>
      </w:r>
      <w:bookmarkStart w:name="_TOC_250021" w:id="27"/>
      <w:bookmarkStart w:name="第四部分  采购需求" w:id="28"/>
      <w:r>
        <w:rPr>
          <w:b w:val="0"/>
        </w:rPr>
      </w:r>
      <w:bookmarkEnd w:id="27"/>
      <w:r>
        <w:rPr/>
        <w:t>第四部分</w:t>
        <w:tab/>
        <w:t>采购需求</w:t>
      </w:r>
    </w:p>
    <w:p>
      <w:pPr>
        <w:spacing w:before="229"/>
        <w:ind w:left="389" w:right="0" w:firstLine="0"/>
        <w:jc w:val="left"/>
        <w:rPr>
          <w:rFonts w:ascii="Microsoft YaHei" w:eastAsia="Microsoft YaHei" w:hint="eastAsia"/>
          <w:sz w:val="22"/>
        </w:rPr>
      </w:pPr>
      <w:r>
        <w:rPr>
          <w:rFonts w:ascii="Microsoft YaHei" w:eastAsia="Microsoft YaHei" w:hint="eastAsia"/>
          <w:sz w:val="22"/>
        </w:rPr>
        <w:t>一、招标项目名称</w:t>
      </w:r>
    </w:p>
    <w:p>
      <w:pPr>
        <w:spacing w:line="340" w:lineRule="auto" w:before="173"/>
        <w:ind w:left="389" w:right="3011" w:firstLine="0"/>
        <w:jc w:val="left"/>
        <w:rPr>
          <w:rFonts w:ascii="Microsoft YaHei" w:eastAsia="Microsoft YaHei" w:hint="eastAsia"/>
          <w:sz w:val="22"/>
        </w:rPr>
      </w:pPr>
      <w:r>
        <w:rPr>
          <w:rFonts w:ascii="Microsoft YaHei" w:eastAsia="Microsoft YaHei" w:hint="eastAsia"/>
          <w:spacing w:val="-3"/>
          <w:sz w:val="22"/>
        </w:rPr>
        <w:t>泗阳县交运港务有限公司电缆采贩项目， 投资总额 </w:t>
      </w:r>
      <w:r>
        <w:rPr>
          <w:sz w:val="22"/>
        </w:rPr>
        <w:t>346660</w:t>
      </w:r>
      <w:r>
        <w:rPr>
          <w:spacing w:val="-54"/>
          <w:sz w:val="22"/>
        </w:rPr>
        <w:t> </w:t>
      </w:r>
      <w:r>
        <w:rPr>
          <w:rFonts w:ascii="Microsoft YaHei" w:eastAsia="Microsoft YaHei" w:hint="eastAsia"/>
          <w:sz w:val="22"/>
        </w:rPr>
        <w:t>元。</w:t>
      </w:r>
      <w:r>
        <w:rPr>
          <w:rFonts w:ascii="Microsoft YaHei" w:eastAsia="Microsoft YaHei" w:hint="eastAsia"/>
          <w:spacing w:val="-2"/>
          <w:sz w:val="22"/>
        </w:rPr>
        <w:t>二、项目基本情况</w:t>
      </w:r>
    </w:p>
    <w:p>
      <w:pPr>
        <w:spacing w:line="340" w:lineRule="auto" w:before="3" w:after="18"/>
        <w:ind w:left="389" w:right="3013" w:firstLine="0"/>
        <w:jc w:val="left"/>
        <w:rPr>
          <w:rFonts w:ascii="Microsoft YaHei" w:eastAsia="Microsoft YaHei" w:hint="eastAsia"/>
          <w:sz w:val="22"/>
        </w:rPr>
      </w:pPr>
      <w:r>
        <w:rPr>
          <w:rFonts w:ascii="Microsoft YaHei" w:eastAsia="Microsoft YaHei" w:hint="eastAsia"/>
          <w:sz w:val="22"/>
        </w:rPr>
        <w:t>泗阳县交运港务有限公司电缆采贩项目，具体规格数量见下表。三、货物需求一览表</w:t>
      </w: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1630"/>
        <w:gridCol w:w="2124"/>
        <w:gridCol w:w="1503"/>
        <w:gridCol w:w="1817"/>
      </w:tblGrid>
      <w:tr>
        <w:trPr>
          <w:trHeight w:val="1153" w:hRule="atLeast"/>
        </w:trPr>
        <w:tc>
          <w:tcPr>
            <w:tcW w:w="1812" w:type="dxa"/>
            <w:shd w:val="clear" w:color="auto" w:fill="FFFFFF"/>
          </w:tcPr>
          <w:p>
            <w:pPr>
              <w:pStyle w:val="TableParagraph"/>
              <w:spacing w:before="15"/>
              <w:rPr>
                <w:rFonts w:ascii="Microsoft YaHei"/>
                <w:sz w:val="14"/>
              </w:rPr>
            </w:pPr>
          </w:p>
          <w:p>
            <w:pPr>
              <w:pStyle w:val="TableParagraph"/>
              <w:ind w:left="666" w:right="655"/>
              <w:jc w:val="center"/>
              <w:rPr>
                <w:rFonts w:ascii="Microsoft YaHei" w:eastAsia="Microsoft YaHei" w:hint="eastAsia"/>
                <w:sz w:val="22"/>
              </w:rPr>
            </w:pPr>
            <w:r>
              <w:rPr>
                <w:rFonts w:ascii="Microsoft YaHei" w:eastAsia="Microsoft YaHei" w:hint="eastAsia"/>
                <w:sz w:val="22"/>
              </w:rPr>
              <w:t>序号</w:t>
            </w:r>
          </w:p>
        </w:tc>
        <w:tc>
          <w:tcPr>
            <w:tcW w:w="1630" w:type="dxa"/>
            <w:shd w:val="clear" w:color="auto" w:fill="FFFFFF"/>
          </w:tcPr>
          <w:p>
            <w:pPr>
              <w:pStyle w:val="TableParagraph"/>
              <w:spacing w:before="15"/>
              <w:rPr>
                <w:rFonts w:ascii="Microsoft YaHei"/>
                <w:sz w:val="14"/>
              </w:rPr>
            </w:pPr>
          </w:p>
          <w:p>
            <w:pPr>
              <w:pStyle w:val="TableParagraph"/>
              <w:ind w:left="356" w:right="344"/>
              <w:jc w:val="center"/>
              <w:rPr>
                <w:rFonts w:ascii="Microsoft YaHei" w:eastAsia="Microsoft YaHei" w:hint="eastAsia"/>
                <w:sz w:val="22"/>
              </w:rPr>
            </w:pPr>
            <w:r>
              <w:rPr>
                <w:rFonts w:ascii="Microsoft YaHei" w:eastAsia="Microsoft YaHei" w:hint="eastAsia"/>
                <w:sz w:val="22"/>
              </w:rPr>
              <w:t>项目名称</w:t>
            </w:r>
          </w:p>
        </w:tc>
        <w:tc>
          <w:tcPr>
            <w:tcW w:w="2124" w:type="dxa"/>
            <w:shd w:val="clear" w:color="auto" w:fill="FFFFFF"/>
          </w:tcPr>
          <w:p>
            <w:pPr>
              <w:pStyle w:val="TableParagraph"/>
              <w:spacing w:before="15"/>
              <w:rPr>
                <w:rFonts w:ascii="Microsoft YaHei"/>
                <w:sz w:val="14"/>
              </w:rPr>
            </w:pPr>
          </w:p>
          <w:p>
            <w:pPr>
              <w:pStyle w:val="TableParagraph"/>
              <w:ind w:left="381" w:right="372"/>
              <w:jc w:val="center"/>
              <w:rPr>
                <w:rFonts w:ascii="Microsoft YaHei" w:eastAsia="Microsoft YaHei" w:hint="eastAsia"/>
                <w:sz w:val="22"/>
              </w:rPr>
            </w:pPr>
            <w:r>
              <w:rPr>
                <w:rFonts w:ascii="Microsoft YaHei" w:eastAsia="Microsoft YaHei" w:hint="eastAsia"/>
                <w:sz w:val="22"/>
              </w:rPr>
              <w:t>项目特征描述</w:t>
            </w:r>
          </w:p>
        </w:tc>
        <w:tc>
          <w:tcPr>
            <w:tcW w:w="1503" w:type="dxa"/>
            <w:shd w:val="clear" w:color="auto" w:fill="FFFFFF"/>
          </w:tcPr>
          <w:p>
            <w:pPr>
              <w:pStyle w:val="TableParagraph"/>
              <w:spacing w:line="391" w:lineRule="exact"/>
              <w:ind w:left="511" w:right="501"/>
              <w:jc w:val="center"/>
              <w:rPr>
                <w:rFonts w:ascii="Microsoft YaHei" w:eastAsia="Microsoft YaHei" w:hint="eastAsia"/>
                <w:sz w:val="22"/>
              </w:rPr>
            </w:pPr>
            <w:r>
              <w:rPr>
                <w:rFonts w:ascii="Microsoft YaHei" w:eastAsia="Microsoft YaHei" w:hint="eastAsia"/>
                <w:sz w:val="22"/>
              </w:rPr>
              <w:t>计量</w:t>
            </w:r>
          </w:p>
          <w:p>
            <w:pPr>
              <w:pStyle w:val="TableParagraph"/>
              <w:spacing w:before="173"/>
              <w:ind w:left="511" w:right="501"/>
              <w:jc w:val="center"/>
              <w:rPr>
                <w:rFonts w:ascii="Microsoft YaHei" w:eastAsia="Microsoft YaHei" w:hint="eastAsia"/>
                <w:sz w:val="22"/>
              </w:rPr>
            </w:pPr>
            <w:r>
              <w:rPr>
                <w:rFonts w:ascii="Microsoft YaHei" w:eastAsia="Microsoft YaHei" w:hint="eastAsia"/>
                <w:sz w:val="22"/>
              </w:rPr>
              <w:t>单位</w:t>
            </w:r>
          </w:p>
        </w:tc>
        <w:tc>
          <w:tcPr>
            <w:tcW w:w="1817" w:type="dxa"/>
            <w:shd w:val="clear" w:color="auto" w:fill="FFFFFF"/>
          </w:tcPr>
          <w:p>
            <w:pPr>
              <w:pStyle w:val="TableParagraph"/>
              <w:spacing w:before="15"/>
              <w:rPr>
                <w:rFonts w:ascii="Microsoft YaHei"/>
                <w:sz w:val="14"/>
              </w:rPr>
            </w:pPr>
          </w:p>
          <w:p>
            <w:pPr>
              <w:pStyle w:val="TableParagraph"/>
              <w:ind w:left="557" w:right="549"/>
              <w:jc w:val="center"/>
              <w:rPr>
                <w:rFonts w:ascii="Microsoft YaHei" w:eastAsia="Microsoft YaHei" w:hint="eastAsia"/>
                <w:sz w:val="22"/>
              </w:rPr>
            </w:pPr>
            <w:r>
              <w:rPr>
                <w:rFonts w:ascii="Microsoft YaHei" w:eastAsia="Microsoft YaHei" w:hint="eastAsia"/>
                <w:sz w:val="22"/>
              </w:rPr>
              <w:t>工程量</w:t>
            </w:r>
          </w:p>
        </w:tc>
      </w:tr>
      <w:tr>
        <w:trPr>
          <w:trHeight w:val="599" w:hRule="atLeast"/>
        </w:trPr>
        <w:tc>
          <w:tcPr>
            <w:tcW w:w="1812" w:type="dxa"/>
            <w:shd w:val="clear" w:color="auto" w:fill="FFFFFF"/>
          </w:tcPr>
          <w:p>
            <w:pPr>
              <w:pStyle w:val="TableParagraph"/>
              <w:spacing w:before="58"/>
              <w:ind w:left="7"/>
              <w:jc w:val="center"/>
              <w:rPr>
                <w:sz w:val="22"/>
              </w:rPr>
            </w:pPr>
            <w:r>
              <w:rPr>
                <w:w w:val="100"/>
                <w:sz w:val="22"/>
              </w:rPr>
              <w:t>1</w:t>
            </w:r>
          </w:p>
        </w:tc>
        <w:tc>
          <w:tcPr>
            <w:tcW w:w="1630" w:type="dxa"/>
            <w:shd w:val="clear" w:color="auto" w:fill="FFFFFF"/>
          </w:tcPr>
          <w:p>
            <w:pPr>
              <w:pStyle w:val="TableParagraph"/>
              <w:spacing w:line="403" w:lineRule="exact"/>
              <w:ind w:left="356" w:right="344"/>
              <w:jc w:val="center"/>
              <w:rPr>
                <w:rFonts w:ascii="Microsoft YaHei" w:eastAsia="Microsoft YaHei" w:hint="eastAsia"/>
                <w:sz w:val="22"/>
              </w:rPr>
            </w:pPr>
            <w:r>
              <w:rPr>
                <w:rFonts w:ascii="Microsoft YaHei" w:eastAsia="Microsoft YaHei" w:hint="eastAsia"/>
                <w:sz w:val="22"/>
              </w:rPr>
              <w:t>电缆</w:t>
            </w:r>
          </w:p>
        </w:tc>
        <w:tc>
          <w:tcPr>
            <w:tcW w:w="2124" w:type="dxa"/>
            <w:shd w:val="clear" w:color="auto" w:fill="FFFFFF"/>
          </w:tcPr>
          <w:p>
            <w:pPr>
              <w:pStyle w:val="TableParagraph"/>
              <w:spacing w:before="58"/>
              <w:ind w:left="381" w:right="371"/>
              <w:jc w:val="center"/>
              <w:rPr>
                <w:sz w:val="22"/>
              </w:rPr>
            </w:pPr>
            <w:r>
              <w:rPr>
                <w:sz w:val="22"/>
              </w:rPr>
              <w:t>YJV22 4*240</w:t>
            </w:r>
          </w:p>
        </w:tc>
        <w:tc>
          <w:tcPr>
            <w:tcW w:w="1503" w:type="dxa"/>
            <w:shd w:val="clear" w:color="auto" w:fill="FFFFFF"/>
          </w:tcPr>
          <w:p>
            <w:pPr>
              <w:pStyle w:val="TableParagraph"/>
              <w:spacing w:line="403" w:lineRule="exact"/>
              <w:ind w:left="10"/>
              <w:jc w:val="center"/>
              <w:rPr>
                <w:rFonts w:ascii="Microsoft YaHei" w:eastAsia="Microsoft YaHei" w:hint="eastAsia"/>
                <w:sz w:val="22"/>
              </w:rPr>
            </w:pPr>
            <w:r>
              <w:rPr>
                <w:rFonts w:ascii="Microsoft YaHei" w:eastAsia="Microsoft YaHei" w:hint="eastAsia"/>
                <w:w w:val="100"/>
                <w:sz w:val="22"/>
              </w:rPr>
              <w:t>米</w:t>
            </w:r>
          </w:p>
        </w:tc>
        <w:tc>
          <w:tcPr>
            <w:tcW w:w="1817" w:type="dxa"/>
            <w:shd w:val="clear" w:color="auto" w:fill="FFFFFF"/>
          </w:tcPr>
          <w:p>
            <w:pPr>
              <w:pStyle w:val="TableParagraph"/>
              <w:spacing w:before="58"/>
              <w:ind w:left="557" w:right="549"/>
              <w:jc w:val="center"/>
              <w:rPr>
                <w:sz w:val="22"/>
              </w:rPr>
            </w:pPr>
            <w:r>
              <w:rPr>
                <w:sz w:val="22"/>
              </w:rPr>
              <w:t>250</w:t>
            </w:r>
          </w:p>
        </w:tc>
      </w:tr>
      <w:tr>
        <w:trPr>
          <w:trHeight w:val="599" w:hRule="atLeast"/>
        </w:trPr>
        <w:tc>
          <w:tcPr>
            <w:tcW w:w="1812" w:type="dxa"/>
            <w:shd w:val="clear" w:color="auto" w:fill="FFFFFF"/>
          </w:tcPr>
          <w:p>
            <w:pPr>
              <w:pStyle w:val="TableParagraph"/>
              <w:spacing w:before="58"/>
              <w:ind w:left="7"/>
              <w:jc w:val="center"/>
              <w:rPr>
                <w:sz w:val="22"/>
              </w:rPr>
            </w:pPr>
            <w:r>
              <w:rPr>
                <w:w w:val="100"/>
                <w:sz w:val="22"/>
              </w:rPr>
              <w:t>2</w:t>
            </w:r>
          </w:p>
        </w:tc>
        <w:tc>
          <w:tcPr>
            <w:tcW w:w="1630" w:type="dxa"/>
            <w:shd w:val="clear" w:color="auto" w:fill="FFFFFF"/>
          </w:tcPr>
          <w:p>
            <w:pPr>
              <w:pStyle w:val="TableParagraph"/>
              <w:spacing w:line="403" w:lineRule="exact"/>
              <w:ind w:left="356" w:right="344"/>
              <w:jc w:val="center"/>
              <w:rPr>
                <w:rFonts w:ascii="Microsoft YaHei" w:eastAsia="Microsoft YaHei" w:hint="eastAsia"/>
                <w:sz w:val="22"/>
              </w:rPr>
            </w:pPr>
            <w:r>
              <w:rPr>
                <w:rFonts w:ascii="Microsoft YaHei" w:eastAsia="Microsoft YaHei" w:hint="eastAsia"/>
                <w:sz w:val="22"/>
              </w:rPr>
              <w:t>电缆</w:t>
            </w:r>
          </w:p>
        </w:tc>
        <w:tc>
          <w:tcPr>
            <w:tcW w:w="2124" w:type="dxa"/>
            <w:shd w:val="clear" w:color="auto" w:fill="FFFFFF"/>
          </w:tcPr>
          <w:p>
            <w:pPr>
              <w:pStyle w:val="TableParagraph"/>
              <w:spacing w:before="58"/>
              <w:ind w:left="381" w:right="371"/>
              <w:jc w:val="center"/>
              <w:rPr>
                <w:sz w:val="22"/>
              </w:rPr>
            </w:pPr>
            <w:r>
              <w:rPr>
                <w:sz w:val="22"/>
              </w:rPr>
              <w:t>YJV22 4*185</w:t>
            </w:r>
          </w:p>
        </w:tc>
        <w:tc>
          <w:tcPr>
            <w:tcW w:w="1503" w:type="dxa"/>
            <w:shd w:val="clear" w:color="auto" w:fill="FFFFFF"/>
          </w:tcPr>
          <w:p>
            <w:pPr>
              <w:pStyle w:val="TableParagraph"/>
              <w:spacing w:line="403" w:lineRule="exact"/>
              <w:ind w:left="10"/>
              <w:jc w:val="center"/>
              <w:rPr>
                <w:rFonts w:ascii="Microsoft YaHei" w:eastAsia="Microsoft YaHei" w:hint="eastAsia"/>
                <w:sz w:val="22"/>
              </w:rPr>
            </w:pPr>
            <w:r>
              <w:rPr>
                <w:rFonts w:ascii="Microsoft YaHei" w:eastAsia="Microsoft YaHei" w:hint="eastAsia"/>
                <w:w w:val="100"/>
                <w:sz w:val="22"/>
              </w:rPr>
              <w:t>米</w:t>
            </w:r>
          </w:p>
        </w:tc>
        <w:tc>
          <w:tcPr>
            <w:tcW w:w="1817" w:type="dxa"/>
            <w:shd w:val="clear" w:color="auto" w:fill="FFFFFF"/>
          </w:tcPr>
          <w:p>
            <w:pPr>
              <w:pStyle w:val="TableParagraph"/>
              <w:spacing w:before="58"/>
              <w:ind w:left="557" w:right="549"/>
              <w:jc w:val="center"/>
              <w:rPr>
                <w:sz w:val="22"/>
              </w:rPr>
            </w:pPr>
            <w:r>
              <w:rPr>
                <w:sz w:val="22"/>
              </w:rPr>
              <w:t>420</w:t>
            </w:r>
          </w:p>
        </w:tc>
      </w:tr>
    </w:tbl>
    <w:p>
      <w:pPr>
        <w:pStyle w:val="BodyText"/>
        <w:spacing w:before="9"/>
        <w:rPr>
          <w:rFonts w:ascii="Microsoft YaHei"/>
          <w:sz w:val="25"/>
        </w:rPr>
      </w:pPr>
    </w:p>
    <w:p>
      <w:pPr>
        <w:spacing w:before="0"/>
        <w:ind w:left="389" w:right="0" w:firstLine="0"/>
        <w:jc w:val="left"/>
        <w:rPr>
          <w:rFonts w:ascii="Microsoft YaHei" w:eastAsia="Microsoft YaHei" w:hint="eastAsia"/>
          <w:sz w:val="22"/>
        </w:rPr>
      </w:pPr>
      <w:r>
        <w:rPr>
          <w:rFonts w:ascii="Microsoft YaHei" w:eastAsia="Microsoft YaHei" w:hint="eastAsia"/>
          <w:sz w:val="22"/>
        </w:rPr>
        <w:t>四、 技术要求</w:t>
      </w:r>
    </w:p>
    <w:p>
      <w:pPr>
        <w:spacing w:before="174"/>
        <w:ind w:left="389" w:right="0" w:firstLine="0"/>
        <w:jc w:val="left"/>
        <w:rPr>
          <w:rFonts w:ascii="Microsoft YaHei" w:eastAsia="Microsoft YaHei" w:hint="eastAsia"/>
          <w:sz w:val="22"/>
        </w:rPr>
      </w:pPr>
      <w:r>
        <w:rPr>
          <w:sz w:val="22"/>
        </w:rPr>
        <w:t>1</w:t>
      </w:r>
      <w:r>
        <w:rPr>
          <w:rFonts w:ascii="Microsoft YaHei" w:eastAsia="Microsoft YaHei" w:hint="eastAsia"/>
          <w:sz w:val="22"/>
        </w:rPr>
        <w:t>、所提供电缆必须符合国家标准（执行 </w:t>
      </w:r>
      <w:r>
        <w:rPr>
          <w:sz w:val="22"/>
        </w:rPr>
        <w:t>GB/T12706.1-2008 </w:t>
      </w:r>
      <w:r>
        <w:rPr>
          <w:rFonts w:ascii="Microsoft YaHei" w:eastAsia="Microsoft YaHei" w:hint="eastAsia"/>
          <w:sz w:val="22"/>
        </w:rPr>
        <w:t>标准） ；</w:t>
      </w:r>
    </w:p>
    <w:p>
      <w:pPr>
        <w:spacing w:line="223" w:lineRule="auto" w:before="190"/>
        <w:ind w:left="389" w:right="272" w:firstLine="0"/>
        <w:jc w:val="left"/>
        <w:rPr>
          <w:rFonts w:ascii="Microsoft YaHei" w:eastAsia="Microsoft YaHei" w:hint="eastAsia"/>
          <w:sz w:val="22"/>
        </w:rPr>
      </w:pPr>
      <w:r>
        <w:rPr>
          <w:sz w:val="22"/>
        </w:rPr>
        <w:t>2</w:t>
      </w:r>
      <w:r>
        <w:rPr>
          <w:rFonts w:ascii="Microsoft YaHei" w:eastAsia="Microsoft YaHei" w:hint="eastAsia"/>
          <w:sz w:val="22"/>
        </w:rPr>
        <w:t>、电缆主要为铜芯材质的 </w:t>
      </w:r>
      <w:r>
        <w:rPr>
          <w:sz w:val="22"/>
        </w:rPr>
        <w:t>185#</w:t>
      </w:r>
      <w:r>
        <w:rPr>
          <w:rFonts w:ascii="Microsoft YaHei" w:eastAsia="Microsoft YaHei" w:hint="eastAsia"/>
          <w:sz w:val="22"/>
        </w:rPr>
        <w:t>四芯电缆 </w:t>
      </w:r>
      <w:r>
        <w:rPr>
          <w:sz w:val="22"/>
        </w:rPr>
        <w:t>420m</w:t>
      </w:r>
      <w:r>
        <w:rPr>
          <w:rFonts w:ascii="Microsoft YaHei" w:eastAsia="Microsoft YaHei" w:hint="eastAsia"/>
          <w:sz w:val="22"/>
        </w:rPr>
        <w:t>，</w:t>
      </w:r>
      <w:r>
        <w:rPr>
          <w:sz w:val="22"/>
        </w:rPr>
        <w:t>240#</w:t>
      </w:r>
      <w:r>
        <w:rPr>
          <w:rFonts w:ascii="Microsoft YaHei" w:eastAsia="Microsoft YaHei" w:hint="eastAsia"/>
          <w:sz w:val="22"/>
        </w:rPr>
        <w:t>四芯电缆 </w:t>
      </w:r>
      <w:r>
        <w:rPr>
          <w:sz w:val="22"/>
        </w:rPr>
        <w:t>250m</w:t>
      </w:r>
      <w:r>
        <w:rPr>
          <w:rFonts w:ascii="Microsoft YaHei" w:eastAsia="Microsoft YaHei" w:hint="eastAsia"/>
          <w:sz w:val="22"/>
        </w:rPr>
        <w:t>；要求绝缘带铠，满足国标检测要求。</w:t>
      </w:r>
    </w:p>
    <w:p>
      <w:pPr>
        <w:spacing w:before="181"/>
        <w:ind w:left="389" w:right="0" w:firstLine="0"/>
        <w:jc w:val="left"/>
        <w:rPr>
          <w:rFonts w:ascii="Microsoft YaHei" w:eastAsia="Microsoft YaHei" w:hint="eastAsia"/>
          <w:sz w:val="22"/>
        </w:rPr>
      </w:pPr>
      <w:r>
        <w:rPr>
          <w:rFonts w:ascii="Microsoft YaHei" w:eastAsia="Microsoft YaHei" w:hint="eastAsia"/>
          <w:sz w:val="22"/>
        </w:rPr>
        <w:t>五 、 其他事项</w:t>
      </w:r>
    </w:p>
    <w:p>
      <w:pPr>
        <w:spacing w:line="223" w:lineRule="auto" w:before="193"/>
        <w:ind w:left="389" w:right="370" w:firstLine="0"/>
        <w:jc w:val="left"/>
        <w:rPr>
          <w:rFonts w:ascii="Microsoft YaHei" w:eastAsia="Microsoft YaHei" w:hint="eastAsia"/>
          <w:sz w:val="22"/>
        </w:rPr>
      </w:pPr>
      <w:r>
        <w:rPr>
          <w:sz w:val="22"/>
        </w:rPr>
        <w:t>1 </w:t>
      </w:r>
      <w:r>
        <w:rPr>
          <w:rFonts w:ascii="Microsoft YaHei" w:eastAsia="Microsoft YaHei" w:hint="eastAsia"/>
          <w:sz w:val="22"/>
        </w:rPr>
        <w:t>、付款方式</w:t>
      </w:r>
      <w:r>
        <w:rPr>
          <w:sz w:val="22"/>
        </w:rPr>
        <w:t>:</w:t>
      </w:r>
      <w:r>
        <w:rPr>
          <w:rFonts w:ascii="Microsoft YaHei" w:eastAsia="Microsoft YaHei" w:hint="eastAsia"/>
          <w:sz w:val="22"/>
        </w:rPr>
        <w:t>货物进场付至合同价的 </w:t>
      </w:r>
      <w:r>
        <w:rPr>
          <w:sz w:val="22"/>
        </w:rPr>
        <w:t>20</w:t>
      </w:r>
      <w:r>
        <w:rPr>
          <w:rFonts w:ascii="Microsoft YaHei" w:eastAsia="Microsoft YaHei" w:hint="eastAsia"/>
          <w:sz w:val="22"/>
        </w:rPr>
        <w:t>％，验收合格并交付使用后 </w:t>
      </w:r>
      <w:r>
        <w:rPr>
          <w:sz w:val="22"/>
        </w:rPr>
        <w:t>10 </w:t>
      </w:r>
      <w:r>
        <w:rPr>
          <w:rFonts w:ascii="Microsoft YaHei" w:eastAsia="Microsoft YaHei" w:hint="eastAsia"/>
          <w:sz w:val="22"/>
        </w:rPr>
        <w:t>个工作日内付至合同价的 </w:t>
      </w:r>
      <w:r>
        <w:rPr>
          <w:sz w:val="22"/>
        </w:rPr>
        <w:t>95</w:t>
      </w:r>
      <w:r>
        <w:rPr>
          <w:rFonts w:ascii="Microsoft YaHei" w:eastAsia="Microsoft YaHei" w:hint="eastAsia"/>
          <w:sz w:val="22"/>
        </w:rPr>
        <w:t>％，余款亍质保期结束且无任何质量问题后付清。</w:t>
      </w:r>
    </w:p>
    <w:p>
      <w:pPr>
        <w:spacing w:before="178"/>
        <w:ind w:left="389" w:right="0" w:firstLine="0"/>
        <w:jc w:val="left"/>
        <w:rPr>
          <w:rFonts w:ascii="Microsoft YaHei" w:eastAsia="Microsoft YaHei" w:hint="eastAsia"/>
          <w:sz w:val="22"/>
        </w:rPr>
      </w:pPr>
      <w:r>
        <w:rPr>
          <w:sz w:val="22"/>
        </w:rPr>
        <w:t>2</w:t>
      </w:r>
      <w:r>
        <w:rPr>
          <w:rFonts w:ascii="Microsoft YaHei" w:eastAsia="Microsoft YaHei" w:hint="eastAsia"/>
          <w:sz w:val="22"/>
        </w:rPr>
        <w:t>、 交货时间： 合同签订后 </w:t>
      </w:r>
      <w:r>
        <w:rPr>
          <w:sz w:val="22"/>
        </w:rPr>
        <w:t>20 </w:t>
      </w:r>
      <w:r>
        <w:rPr>
          <w:rFonts w:ascii="Microsoft YaHei" w:eastAsia="Microsoft YaHei" w:hint="eastAsia"/>
          <w:sz w:val="22"/>
        </w:rPr>
        <w:t>天内完成全部供货。</w:t>
      </w:r>
    </w:p>
    <w:p>
      <w:pPr>
        <w:pStyle w:val="BodyText"/>
        <w:spacing w:before="236"/>
        <w:ind w:left="389"/>
      </w:pPr>
      <w:r>
        <w:rPr/>
        <w:t>3、免费维保期：叁年。</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pPr>
    </w:p>
    <w:p>
      <w:pPr>
        <w:spacing w:before="64"/>
        <w:ind w:left="54" w:right="0" w:firstLine="0"/>
        <w:jc w:val="center"/>
        <w:rPr>
          <w:rFonts w:ascii="Calibri"/>
          <w:sz w:val="18"/>
        </w:rPr>
      </w:pPr>
      <w:r>
        <w:rPr>
          <w:rFonts w:ascii="Calibri"/>
          <w:sz w:val="18"/>
        </w:rPr>
        <w:t>21</w:t>
      </w:r>
    </w:p>
    <w:p>
      <w:pPr>
        <w:spacing w:after="0"/>
        <w:jc w:val="center"/>
        <w:rPr>
          <w:rFonts w:ascii="Calibri"/>
          <w:sz w:val="18"/>
        </w:rPr>
        <w:sectPr>
          <w:pgSz w:w="11910" w:h="16840"/>
          <w:pgMar w:top="1440" w:bottom="280" w:left="1200" w:right="1140"/>
        </w:sectPr>
      </w:pPr>
    </w:p>
    <w:p>
      <w:pPr>
        <w:pStyle w:val="Heading1"/>
        <w:tabs>
          <w:tab w:pos="4368" w:val="left" w:leader="none"/>
        </w:tabs>
        <w:ind w:left="2160"/>
      </w:pPr>
      <w:r>
        <w:rPr/>
        <w:drawing>
          <wp:anchor distT="0" distB="0" distL="0" distR="0" allowOverlap="1" layoutInCell="1" locked="0" behindDoc="1" simplePos="0" relativeHeight="268350455">
            <wp:simplePos x="0" y="0"/>
            <wp:positionH relativeFrom="page">
              <wp:posOffset>203309</wp:posOffset>
            </wp:positionH>
            <wp:positionV relativeFrom="page">
              <wp:posOffset>944714</wp:posOffset>
            </wp:positionV>
            <wp:extent cx="7115825" cy="9747669"/>
            <wp:effectExtent l="0" t="0" r="0" b="0"/>
            <wp:wrapNone/>
            <wp:docPr id="53" name="image2.jpeg" descr=""/>
            <wp:cNvGraphicFramePr>
              <a:graphicFrameLocks noChangeAspect="1"/>
            </wp:cNvGraphicFramePr>
            <a:graphic>
              <a:graphicData uri="http://schemas.openxmlformats.org/drawingml/2006/picture">
                <pic:pic>
                  <pic:nvPicPr>
                    <pic:cNvPr id="5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976" filled="true" fillcolor="#ffffff" stroked="false">
            <v:fill type="solid"/>
            <w10:wrap type="none"/>
          </v:rect>
        </w:pict>
      </w:r>
      <w:bookmarkStart w:name="_TOC_250020" w:id="29"/>
      <w:bookmarkStart w:name="第五部分  合同格式及条款" w:id="30"/>
      <w:r>
        <w:rPr>
          <w:b w:val="0"/>
        </w:rPr>
      </w:r>
      <w:bookmarkEnd w:id="29"/>
      <w:r>
        <w:rPr/>
        <w:t>第五部分</w:t>
        <w:tab/>
        <w:t>合同格式及条款</w:t>
      </w:r>
    </w:p>
    <w:p>
      <w:pPr>
        <w:pStyle w:val="Heading3"/>
        <w:tabs>
          <w:tab w:pos="6092" w:val="left" w:leader="none"/>
        </w:tabs>
        <w:spacing w:line="220" w:lineRule="auto" w:before="129"/>
        <w:ind w:left="2890" w:right="2833"/>
      </w:pPr>
      <w:r>
        <w:rPr>
          <w:rFonts w:ascii="Times New Roman" w:eastAsia="Times New Roman"/>
          <w:w w:val="99"/>
          <w:u w:val="single"/>
        </w:rPr>
        <w:t> </w:t>
      </w:r>
      <w:r>
        <w:rPr>
          <w:rFonts w:ascii="Times New Roman" w:eastAsia="Times New Roman"/>
          <w:u w:val="single"/>
        </w:rPr>
        <w:tab/>
      </w:r>
      <w:r>
        <w:rPr/>
        <w:t>项目政府采贩合同</w:t>
      </w:r>
    </w:p>
    <w:p>
      <w:pPr>
        <w:spacing w:line="551" w:lineRule="exact" w:before="0"/>
        <w:ind w:left="54" w:right="0" w:firstLine="0"/>
        <w:jc w:val="center"/>
        <w:rPr>
          <w:rFonts w:ascii="Microsoft YaHei" w:eastAsia="Microsoft YaHei" w:hint="eastAsia"/>
          <w:b/>
          <w:sz w:val="32"/>
        </w:rPr>
      </w:pPr>
      <w:r>
        <w:rPr>
          <w:rFonts w:ascii="Microsoft YaHei" w:eastAsia="Microsoft YaHei" w:hint="eastAsia"/>
          <w:b/>
          <w:sz w:val="32"/>
        </w:rPr>
        <w:t>专用条款</w:t>
      </w:r>
    </w:p>
    <w:p>
      <w:pPr>
        <w:pStyle w:val="BodyText"/>
        <w:tabs>
          <w:tab w:pos="5790" w:val="left" w:leader="none"/>
          <w:tab w:pos="5910" w:val="left" w:leader="none"/>
        </w:tabs>
        <w:spacing w:line="561" w:lineRule="auto" w:before="276"/>
        <w:ind w:left="869" w:right="2214"/>
      </w:pPr>
      <w:r>
        <w:rPr/>
        <w:t>采购单位（全称）：</w:t>
      </w:r>
      <w:r>
        <w:rPr>
          <w:u w:val="single"/>
        </w:rPr>
        <w:t> </w:t>
        <w:tab/>
      </w:r>
      <w:r>
        <w:rPr/>
        <w:t>（简称甲方） 中标供应商（全称）：</w:t>
      </w:r>
      <w:r>
        <w:rPr>
          <w:u w:val="single"/>
        </w:rPr>
        <w:t> </w:t>
        <w:tab/>
        <w:tab/>
      </w:r>
      <w:r>
        <w:rPr/>
        <w:t>（简称乙方）</w:t>
      </w:r>
    </w:p>
    <w:p>
      <w:pPr>
        <w:pStyle w:val="BodyText"/>
        <w:tabs>
          <w:tab w:pos="8994" w:val="left" w:leader="none"/>
        </w:tabs>
        <w:spacing w:line="405" w:lineRule="auto"/>
        <w:ind w:left="389" w:right="329" w:firstLine="479"/>
        <w:jc w:val="both"/>
      </w:pPr>
      <w:r>
        <w:rPr/>
        <w:t>依</w:t>
      </w:r>
      <w:r>
        <w:rPr>
          <w:spacing w:val="-8"/>
        </w:rPr>
        <w:t>照</w:t>
      </w:r>
      <w:r>
        <w:rPr/>
        <w:t>《中华人民共和国政府采购法</w:t>
      </w:r>
      <w:r>
        <w:rPr>
          <w:spacing w:val="-8"/>
        </w:rPr>
        <w:t>》</w:t>
      </w:r>
      <w:r>
        <w:rPr>
          <w:spacing w:val="-15"/>
        </w:rPr>
        <w:t>、</w:t>
      </w:r>
      <w:r>
        <w:rPr/>
        <w:t>《中华人民共和国合同法</w:t>
      </w:r>
      <w:r>
        <w:rPr>
          <w:spacing w:val="-8"/>
        </w:rPr>
        <w:t>》</w:t>
      </w:r>
      <w:r>
        <w:rPr/>
        <w:t>及其他有关法律</w:t>
      </w:r>
      <w:r>
        <w:rPr>
          <w:spacing w:val="-32"/>
        </w:rPr>
        <w:t>、</w:t>
      </w:r>
      <w:r>
        <w:rPr/>
        <w:t>行政法规</w:t>
      </w:r>
      <w:r>
        <w:rPr>
          <w:spacing w:val="-32"/>
        </w:rPr>
        <w:t>，</w:t>
      </w:r>
      <w:r>
        <w:rPr/>
        <w:t>遵循平等</w:t>
      </w:r>
      <w:r>
        <w:rPr>
          <w:spacing w:val="-32"/>
        </w:rPr>
        <w:t>、</w:t>
      </w:r>
      <w:r>
        <w:rPr/>
        <w:t>自愿</w:t>
      </w:r>
      <w:r>
        <w:rPr>
          <w:spacing w:val="-32"/>
        </w:rPr>
        <w:t>、</w:t>
      </w:r>
      <w:r>
        <w:rPr/>
        <w:t>公平和诚实信用的原则</w:t>
      </w:r>
      <w:r>
        <w:rPr>
          <w:spacing w:val="-32"/>
        </w:rPr>
        <w:t>，</w:t>
      </w:r>
      <w:r>
        <w:rPr/>
        <w:t>双方就</w:t>
      </w:r>
      <w:r>
        <w:rPr>
          <w:u w:val="single"/>
        </w:rPr>
        <w:t> </w:t>
        <w:tab/>
      </w:r>
      <w:r>
        <w:rPr/>
        <w:t>相关事项协商一致，达成如下合同条款：</w:t>
      </w:r>
    </w:p>
    <w:p>
      <w:pPr>
        <w:pStyle w:val="Heading8"/>
        <w:tabs>
          <w:tab w:pos="5667" w:val="left" w:leader="none"/>
          <w:tab w:pos="7222" w:val="left" w:leader="none"/>
        </w:tabs>
        <w:spacing w:before="123"/>
      </w:pPr>
      <w:r>
        <w:rPr/>
        <w:t>一</w:t>
      </w:r>
      <w:r>
        <w:rPr>
          <w:spacing w:val="-12"/>
        </w:rPr>
        <w:t>、</w:t>
      </w:r>
      <w:r>
        <w:rPr/>
        <w:t>乙方向甲方提供总价值为</w:t>
      </w:r>
      <w:r>
        <w:rPr>
          <w:u w:val="single"/>
        </w:rPr>
        <w:t> </w:t>
        <w:tab/>
        <w:t>（￥：</w:t>
        <w:tab/>
      </w:r>
      <w:r>
        <w:rPr>
          <w:spacing w:val="-9"/>
          <w:u w:val="single"/>
        </w:rPr>
        <w:t>）</w:t>
      </w:r>
      <w:r>
        <w:rPr/>
        <w:t>的标</w:t>
      </w:r>
      <w:r>
        <w:rPr>
          <w:spacing w:val="-10"/>
        </w:rPr>
        <w:t>的</w:t>
      </w:r>
      <w:r>
        <w:rPr/>
        <w:t>（货物</w:t>
      </w:r>
      <w:r>
        <w:rPr>
          <w:spacing w:val="-12"/>
        </w:rPr>
        <w:t>）</w:t>
      </w:r>
      <w:r>
        <w:rPr/>
        <w:t>。</w:t>
      </w:r>
    </w:p>
    <w:p>
      <w:pPr>
        <w:pStyle w:val="Heading4"/>
        <w:spacing w:before="202"/>
        <w:jc w:val="center"/>
        <w:rPr>
          <w:rFonts w:ascii="Microsoft YaHei" w:eastAsia="Microsoft YaHei" w:hint="eastAsia"/>
        </w:rPr>
      </w:pPr>
      <w:r>
        <w:rPr>
          <w:rFonts w:ascii="Microsoft YaHei" w:eastAsia="Microsoft YaHei" w:hint="eastAsia"/>
        </w:rPr>
        <w:t>标  的  清 单</w:t>
      </w:r>
    </w:p>
    <w:p>
      <w:pPr>
        <w:pStyle w:val="BodyText"/>
        <w:spacing w:before="16" w:after="1"/>
        <w:rPr>
          <w:rFonts w:ascii="Microsoft YaHei"/>
          <w:b/>
          <w:sz w:val="7"/>
        </w:rPr>
      </w:pPr>
    </w:p>
    <w:tbl>
      <w:tblPr>
        <w:tblW w:w="0" w:type="auto"/>
        <w:jc w:val="left"/>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620"/>
        <w:gridCol w:w="1259"/>
        <w:gridCol w:w="719"/>
        <w:gridCol w:w="1199"/>
        <w:gridCol w:w="1574"/>
        <w:gridCol w:w="1686"/>
      </w:tblGrid>
      <w:tr>
        <w:trPr>
          <w:trHeight w:val="1401" w:hRule="atLeast"/>
        </w:trPr>
        <w:tc>
          <w:tcPr>
            <w:tcW w:w="835" w:type="dxa"/>
            <w:shd w:val="clear" w:color="auto" w:fill="FFFFFF"/>
          </w:tcPr>
          <w:p>
            <w:pPr>
              <w:pStyle w:val="TableParagraph"/>
              <w:spacing w:before="7"/>
              <w:rPr>
                <w:rFonts w:ascii="Microsoft YaHei"/>
                <w:b/>
                <w:sz w:val="32"/>
              </w:rPr>
            </w:pPr>
          </w:p>
          <w:p>
            <w:pPr>
              <w:pStyle w:val="TableParagraph"/>
              <w:ind w:left="235"/>
              <w:rPr>
                <w:sz w:val="24"/>
              </w:rPr>
            </w:pPr>
            <w:r>
              <w:rPr>
                <w:sz w:val="24"/>
              </w:rPr>
              <w:t>序号</w:t>
            </w:r>
          </w:p>
        </w:tc>
        <w:tc>
          <w:tcPr>
            <w:tcW w:w="1620" w:type="dxa"/>
            <w:shd w:val="clear" w:color="auto" w:fill="FFFFFF"/>
          </w:tcPr>
          <w:p>
            <w:pPr>
              <w:pStyle w:val="TableParagraph"/>
              <w:spacing w:before="7"/>
              <w:rPr>
                <w:rFonts w:ascii="Microsoft YaHei"/>
                <w:b/>
                <w:sz w:val="32"/>
              </w:rPr>
            </w:pPr>
          </w:p>
          <w:p>
            <w:pPr>
              <w:pStyle w:val="TableParagraph"/>
              <w:ind w:left="268"/>
              <w:rPr>
                <w:sz w:val="24"/>
              </w:rPr>
            </w:pPr>
            <w:r>
              <w:rPr>
                <w:sz w:val="24"/>
              </w:rPr>
              <w:t>货物的名称</w:t>
            </w:r>
          </w:p>
        </w:tc>
        <w:tc>
          <w:tcPr>
            <w:tcW w:w="1259" w:type="dxa"/>
            <w:shd w:val="clear" w:color="auto" w:fill="FFFFFF"/>
          </w:tcPr>
          <w:p>
            <w:pPr>
              <w:pStyle w:val="TableParagraph"/>
              <w:spacing w:line="520" w:lineRule="atLeast" w:before="123"/>
              <w:ind w:left="209" w:right="137" w:firstLine="60"/>
              <w:rPr>
                <w:sz w:val="24"/>
              </w:rPr>
            </w:pPr>
            <w:r>
              <w:rPr>
                <w:sz w:val="24"/>
              </w:rPr>
              <w:t>品牌.规格.型号</w:t>
            </w:r>
          </w:p>
        </w:tc>
        <w:tc>
          <w:tcPr>
            <w:tcW w:w="719" w:type="dxa"/>
            <w:shd w:val="clear" w:color="auto" w:fill="FFFFFF"/>
          </w:tcPr>
          <w:p>
            <w:pPr>
              <w:pStyle w:val="TableParagraph"/>
              <w:spacing w:before="7"/>
              <w:rPr>
                <w:rFonts w:ascii="Microsoft YaHei"/>
                <w:b/>
                <w:sz w:val="32"/>
              </w:rPr>
            </w:pPr>
          </w:p>
          <w:p>
            <w:pPr>
              <w:pStyle w:val="TableParagraph"/>
              <w:ind w:left="121"/>
              <w:rPr>
                <w:sz w:val="24"/>
              </w:rPr>
            </w:pPr>
            <w:r>
              <w:rPr>
                <w:sz w:val="24"/>
              </w:rPr>
              <w:t>单位</w:t>
            </w:r>
          </w:p>
        </w:tc>
        <w:tc>
          <w:tcPr>
            <w:tcW w:w="1199" w:type="dxa"/>
            <w:shd w:val="clear" w:color="auto" w:fill="FFFFFF"/>
          </w:tcPr>
          <w:p>
            <w:pPr>
              <w:pStyle w:val="TableParagraph"/>
              <w:spacing w:before="7"/>
              <w:rPr>
                <w:rFonts w:ascii="Microsoft YaHei"/>
                <w:b/>
                <w:sz w:val="32"/>
              </w:rPr>
            </w:pPr>
          </w:p>
          <w:p>
            <w:pPr>
              <w:pStyle w:val="TableParagraph"/>
              <w:ind w:left="362"/>
              <w:rPr>
                <w:sz w:val="24"/>
              </w:rPr>
            </w:pPr>
            <w:r>
              <w:rPr>
                <w:sz w:val="24"/>
              </w:rPr>
              <w:t>数量</w:t>
            </w:r>
          </w:p>
        </w:tc>
        <w:tc>
          <w:tcPr>
            <w:tcW w:w="1574" w:type="dxa"/>
            <w:shd w:val="clear" w:color="auto" w:fill="FFFFFF"/>
          </w:tcPr>
          <w:p>
            <w:pPr>
              <w:pStyle w:val="TableParagraph"/>
              <w:spacing w:before="7"/>
              <w:rPr>
                <w:rFonts w:ascii="Microsoft YaHei"/>
                <w:b/>
                <w:sz w:val="32"/>
              </w:rPr>
            </w:pPr>
          </w:p>
          <w:p>
            <w:pPr>
              <w:pStyle w:val="TableParagraph"/>
              <w:ind w:left="191"/>
              <w:rPr>
                <w:sz w:val="24"/>
              </w:rPr>
            </w:pPr>
            <w:r>
              <w:rPr>
                <w:sz w:val="24"/>
              </w:rPr>
              <w:t>单价（元）</w:t>
            </w:r>
          </w:p>
        </w:tc>
        <w:tc>
          <w:tcPr>
            <w:tcW w:w="1686" w:type="dxa"/>
            <w:shd w:val="clear" w:color="auto" w:fill="FFFFFF"/>
          </w:tcPr>
          <w:p>
            <w:pPr>
              <w:pStyle w:val="TableParagraph"/>
              <w:spacing w:before="7"/>
              <w:rPr>
                <w:rFonts w:ascii="Microsoft YaHei"/>
                <w:b/>
                <w:sz w:val="32"/>
              </w:rPr>
            </w:pPr>
          </w:p>
          <w:p>
            <w:pPr>
              <w:pStyle w:val="TableParagraph"/>
              <w:ind w:left="247"/>
              <w:rPr>
                <w:sz w:val="24"/>
              </w:rPr>
            </w:pPr>
            <w:r>
              <w:rPr>
                <w:sz w:val="24"/>
              </w:rPr>
              <w:t>总价（元）</w:t>
            </w:r>
          </w:p>
        </w:tc>
      </w:tr>
      <w:tr>
        <w:trPr>
          <w:trHeight w:val="880" w:hRule="atLeast"/>
        </w:trPr>
        <w:tc>
          <w:tcPr>
            <w:tcW w:w="83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1259" w:type="dxa"/>
            <w:shd w:val="clear" w:color="auto" w:fill="FFFFFF"/>
          </w:tcPr>
          <w:p>
            <w:pPr>
              <w:pStyle w:val="TableParagraph"/>
              <w:rPr>
                <w:rFonts w:ascii="Times New Roman"/>
                <w:sz w:val="24"/>
              </w:rPr>
            </w:pPr>
          </w:p>
        </w:tc>
        <w:tc>
          <w:tcPr>
            <w:tcW w:w="719" w:type="dxa"/>
            <w:shd w:val="clear" w:color="auto" w:fill="FFFFFF"/>
          </w:tcPr>
          <w:p>
            <w:pPr>
              <w:pStyle w:val="TableParagraph"/>
              <w:rPr>
                <w:rFonts w:ascii="Times New Roman"/>
                <w:sz w:val="24"/>
              </w:rPr>
            </w:pPr>
          </w:p>
        </w:tc>
        <w:tc>
          <w:tcPr>
            <w:tcW w:w="1199" w:type="dxa"/>
            <w:shd w:val="clear" w:color="auto" w:fill="FFFFFF"/>
          </w:tcPr>
          <w:p>
            <w:pPr>
              <w:pStyle w:val="TableParagraph"/>
              <w:rPr>
                <w:rFonts w:ascii="Times New Roman"/>
                <w:sz w:val="24"/>
              </w:rPr>
            </w:pPr>
          </w:p>
        </w:tc>
        <w:tc>
          <w:tcPr>
            <w:tcW w:w="1574" w:type="dxa"/>
            <w:shd w:val="clear" w:color="auto" w:fill="FFFFFF"/>
          </w:tcPr>
          <w:p>
            <w:pPr>
              <w:pStyle w:val="TableParagraph"/>
              <w:rPr>
                <w:rFonts w:ascii="Times New Roman"/>
                <w:sz w:val="24"/>
              </w:rPr>
            </w:pPr>
          </w:p>
        </w:tc>
        <w:tc>
          <w:tcPr>
            <w:tcW w:w="1686" w:type="dxa"/>
            <w:shd w:val="clear" w:color="auto" w:fill="FFFFFF"/>
          </w:tcPr>
          <w:p>
            <w:pPr>
              <w:pStyle w:val="TableParagraph"/>
              <w:rPr>
                <w:rFonts w:ascii="Times New Roman"/>
                <w:sz w:val="24"/>
              </w:rPr>
            </w:pPr>
          </w:p>
        </w:tc>
      </w:tr>
      <w:tr>
        <w:trPr>
          <w:trHeight w:val="878" w:hRule="atLeast"/>
        </w:trPr>
        <w:tc>
          <w:tcPr>
            <w:tcW w:w="83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1259" w:type="dxa"/>
            <w:shd w:val="clear" w:color="auto" w:fill="FFFFFF"/>
          </w:tcPr>
          <w:p>
            <w:pPr>
              <w:pStyle w:val="TableParagraph"/>
              <w:rPr>
                <w:rFonts w:ascii="Times New Roman"/>
                <w:sz w:val="24"/>
              </w:rPr>
            </w:pPr>
          </w:p>
        </w:tc>
        <w:tc>
          <w:tcPr>
            <w:tcW w:w="719" w:type="dxa"/>
            <w:shd w:val="clear" w:color="auto" w:fill="FFFFFF"/>
          </w:tcPr>
          <w:p>
            <w:pPr>
              <w:pStyle w:val="TableParagraph"/>
              <w:rPr>
                <w:rFonts w:ascii="Times New Roman"/>
                <w:sz w:val="24"/>
              </w:rPr>
            </w:pPr>
          </w:p>
        </w:tc>
        <w:tc>
          <w:tcPr>
            <w:tcW w:w="1199" w:type="dxa"/>
            <w:shd w:val="clear" w:color="auto" w:fill="FFFFFF"/>
          </w:tcPr>
          <w:p>
            <w:pPr>
              <w:pStyle w:val="TableParagraph"/>
              <w:rPr>
                <w:rFonts w:ascii="Times New Roman"/>
                <w:sz w:val="24"/>
              </w:rPr>
            </w:pPr>
          </w:p>
        </w:tc>
        <w:tc>
          <w:tcPr>
            <w:tcW w:w="1574" w:type="dxa"/>
            <w:shd w:val="clear" w:color="auto" w:fill="FFFFFF"/>
          </w:tcPr>
          <w:p>
            <w:pPr>
              <w:pStyle w:val="TableParagraph"/>
              <w:rPr>
                <w:rFonts w:ascii="Times New Roman"/>
                <w:sz w:val="24"/>
              </w:rPr>
            </w:pPr>
          </w:p>
        </w:tc>
        <w:tc>
          <w:tcPr>
            <w:tcW w:w="1686" w:type="dxa"/>
            <w:shd w:val="clear" w:color="auto" w:fill="FFFFFF"/>
          </w:tcPr>
          <w:p>
            <w:pPr>
              <w:pStyle w:val="TableParagraph"/>
              <w:rPr>
                <w:rFonts w:ascii="Times New Roman"/>
                <w:sz w:val="24"/>
              </w:rPr>
            </w:pPr>
          </w:p>
        </w:tc>
      </w:tr>
      <w:tr>
        <w:trPr>
          <w:trHeight w:val="880" w:hRule="atLeast"/>
        </w:trPr>
        <w:tc>
          <w:tcPr>
            <w:tcW w:w="83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1259" w:type="dxa"/>
            <w:shd w:val="clear" w:color="auto" w:fill="FFFFFF"/>
          </w:tcPr>
          <w:p>
            <w:pPr>
              <w:pStyle w:val="TableParagraph"/>
              <w:rPr>
                <w:rFonts w:ascii="Times New Roman"/>
                <w:sz w:val="24"/>
              </w:rPr>
            </w:pPr>
          </w:p>
        </w:tc>
        <w:tc>
          <w:tcPr>
            <w:tcW w:w="719" w:type="dxa"/>
            <w:shd w:val="clear" w:color="auto" w:fill="FFFFFF"/>
          </w:tcPr>
          <w:p>
            <w:pPr>
              <w:pStyle w:val="TableParagraph"/>
              <w:rPr>
                <w:rFonts w:ascii="Times New Roman"/>
                <w:sz w:val="24"/>
              </w:rPr>
            </w:pPr>
          </w:p>
        </w:tc>
        <w:tc>
          <w:tcPr>
            <w:tcW w:w="1199" w:type="dxa"/>
            <w:shd w:val="clear" w:color="auto" w:fill="FFFFFF"/>
          </w:tcPr>
          <w:p>
            <w:pPr>
              <w:pStyle w:val="TableParagraph"/>
              <w:rPr>
                <w:rFonts w:ascii="Times New Roman"/>
                <w:sz w:val="24"/>
              </w:rPr>
            </w:pPr>
          </w:p>
        </w:tc>
        <w:tc>
          <w:tcPr>
            <w:tcW w:w="1574" w:type="dxa"/>
            <w:shd w:val="clear" w:color="auto" w:fill="FFFFFF"/>
          </w:tcPr>
          <w:p>
            <w:pPr>
              <w:pStyle w:val="TableParagraph"/>
              <w:rPr>
                <w:rFonts w:ascii="Times New Roman"/>
                <w:sz w:val="24"/>
              </w:rPr>
            </w:pPr>
          </w:p>
        </w:tc>
        <w:tc>
          <w:tcPr>
            <w:tcW w:w="1686" w:type="dxa"/>
            <w:shd w:val="clear" w:color="auto" w:fill="FFFFFF"/>
          </w:tcPr>
          <w:p>
            <w:pPr>
              <w:pStyle w:val="TableParagraph"/>
              <w:rPr>
                <w:rFonts w:ascii="Times New Roman"/>
                <w:sz w:val="24"/>
              </w:rPr>
            </w:pPr>
          </w:p>
        </w:tc>
      </w:tr>
      <w:tr>
        <w:trPr>
          <w:trHeight w:val="921" w:hRule="atLeast"/>
        </w:trPr>
        <w:tc>
          <w:tcPr>
            <w:tcW w:w="8892" w:type="dxa"/>
            <w:gridSpan w:val="7"/>
            <w:shd w:val="clear" w:color="auto" w:fill="FFFFFF"/>
          </w:tcPr>
          <w:p>
            <w:pPr>
              <w:pStyle w:val="TableParagraph"/>
              <w:spacing w:before="4"/>
              <w:rPr>
                <w:rFonts w:ascii="Microsoft YaHei"/>
                <w:b/>
                <w:sz w:val="18"/>
              </w:rPr>
            </w:pPr>
          </w:p>
          <w:p>
            <w:pPr>
              <w:pStyle w:val="TableParagraph"/>
              <w:tabs>
                <w:tab w:pos="4555" w:val="left" w:leader="none"/>
                <w:tab w:pos="6843" w:val="left" w:leader="none"/>
              </w:tabs>
              <w:ind w:left="105"/>
              <w:rPr>
                <w:sz w:val="24"/>
              </w:rPr>
            </w:pPr>
            <w:r>
              <w:rPr>
                <w:sz w:val="24"/>
              </w:rPr>
              <w:t>合计人民币金额（大写）：</w:t>
            </w:r>
            <w:r>
              <w:rPr>
                <w:sz w:val="24"/>
                <w:u w:val="single"/>
              </w:rPr>
              <w:t> </w:t>
              <w:tab/>
            </w:r>
            <w:r>
              <w:rPr>
                <w:sz w:val="24"/>
              </w:rPr>
              <w:t>（￥：</w:t>
            </w:r>
            <w:r>
              <w:rPr>
                <w:sz w:val="24"/>
                <w:u w:val="single"/>
              </w:rPr>
              <w:t> </w:t>
              <w:tab/>
            </w:r>
            <w:r>
              <w:rPr>
                <w:sz w:val="24"/>
              </w:rPr>
              <w:t>）</w:t>
            </w:r>
          </w:p>
        </w:tc>
      </w:tr>
    </w:tbl>
    <w:p>
      <w:pPr>
        <w:pStyle w:val="Heading6"/>
      </w:pPr>
      <w:r>
        <w:rPr/>
        <w:t>注：清单另附。</w:t>
      </w:r>
    </w:p>
    <w:p>
      <w:pPr>
        <w:pStyle w:val="Heading8"/>
        <w:spacing w:before="247"/>
      </w:pPr>
      <w:r>
        <w:rPr/>
        <w:t>二、交货时间、地点</w:t>
      </w:r>
    </w:p>
    <w:p>
      <w:pPr>
        <w:pStyle w:val="BodyText"/>
        <w:spacing w:before="7"/>
        <w:rPr>
          <w:rFonts w:ascii="Microsoft JhengHei"/>
          <w:b/>
          <w:sz w:val="25"/>
        </w:rPr>
      </w:pPr>
    </w:p>
    <w:p>
      <w:pPr>
        <w:spacing w:before="64"/>
        <w:ind w:left="54" w:right="0" w:firstLine="0"/>
        <w:jc w:val="center"/>
        <w:rPr>
          <w:rFonts w:ascii="Calibri"/>
          <w:sz w:val="18"/>
        </w:rPr>
      </w:pPr>
      <w:r>
        <w:rPr>
          <w:rFonts w:ascii="Calibri"/>
          <w:sz w:val="18"/>
        </w:rPr>
        <w:t>22</w:t>
      </w:r>
    </w:p>
    <w:p>
      <w:pPr>
        <w:spacing w:after="0"/>
        <w:jc w:val="center"/>
        <w:rPr>
          <w:rFonts w:ascii="Calibri"/>
          <w:sz w:val="18"/>
        </w:rPr>
        <w:sectPr>
          <w:pgSz w:w="11910" w:h="16840"/>
          <w:pgMar w:top="1440" w:bottom="280" w:left="1200" w:right="1140"/>
        </w:sectPr>
      </w:pPr>
    </w:p>
    <w:p>
      <w:pPr>
        <w:pStyle w:val="BodyText"/>
        <w:tabs>
          <w:tab w:pos="5910" w:val="left" w:leader="none"/>
        </w:tabs>
        <w:spacing w:before="39"/>
        <w:ind w:left="749"/>
      </w:pPr>
      <w:r>
        <w:rPr/>
        <w:drawing>
          <wp:anchor distT="0" distB="0" distL="0" distR="0" allowOverlap="1" layoutInCell="1" locked="0" behindDoc="1" simplePos="0" relativeHeight="268350503">
            <wp:simplePos x="0" y="0"/>
            <wp:positionH relativeFrom="page">
              <wp:posOffset>203309</wp:posOffset>
            </wp:positionH>
            <wp:positionV relativeFrom="page">
              <wp:posOffset>944714</wp:posOffset>
            </wp:positionV>
            <wp:extent cx="7115825" cy="9747669"/>
            <wp:effectExtent l="0" t="0" r="0" b="0"/>
            <wp:wrapNone/>
            <wp:docPr id="55" name="image2.jpeg" descr=""/>
            <wp:cNvGraphicFramePr>
              <a:graphicFrameLocks noChangeAspect="1"/>
            </wp:cNvGraphicFramePr>
            <a:graphic>
              <a:graphicData uri="http://schemas.openxmlformats.org/drawingml/2006/picture">
                <pic:pic>
                  <pic:nvPicPr>
                    <pic:cNvPr id="5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928" filled="true" fillcolor="#ffffff" stroked="false">
            <v:fill type="solid"/>
            <w10:wrap type="none"/>
          </v:rect>
        </w:pict>
      </w:r>
      <w:r>
        <w:rPr/>
        <w:t>（一）交货时间：</w:t>
      </w:r>
      <w:r>
        <w:rPr>
          <w:u w:val="single"/>
        </w:rPr>
        <w:t> </w:t>
        <w:tab/>
      </w:r>
      <w:r>
        <w:rPr/>
        <w:t>。</w:t>
      </w:r>
    </w:p>
    <w:p>
      <w:pPr>
        <w:pStyle w:val="BodyText"/>
        <w:spacing w:before="3"/>
        <w:rPr>
          <w:sz w:val="32"/>
        </w:rPr>
      </w:pPr>
    </w:p>
    <w:p>
      <w:pPr>
        <w:pStyle w:val="BodyText"/>
        <w:tabs>
          <w:tab w:pos="5965" w:val="left" w:leader="none"/>
        </w:tabs>
        <w:ind w:left="869"/>
      </w:pPr>
      <w:r>
        <w:rPr/>
        <w:t>（二）交货地点：</w:t>
      </w:r>
      <w:r>
        <w:rPr>
          <w:u w:val="single"/>
        </w:rPr>
        <w:tab/>
      </w:r>
      <w:r>
        <w:rPr/>
        <w:t>。</w:t>
      </w:r>
    </w:p>
    <w:p>
      <w:pPr>
        <w:pStyle w:val="BodyText"/>
        <w:rPr>
          <w:sz w:val="26"/>
        </w:rPr>
      </w:pPr>
    </w:p>
    <w:p>
      <w:pPr>
        <w:pStyle w:val="Heading8"/>
      </w:pPr>
      <w:r>
        <w:rPr/>
        <w:t>三、质量技术标准</w:t>
      </w:r>
    </w:p>
    <w:p>
      <w:pPr>
        <w:pStyle w:val="BodyText"/>
        <w:spacing w:before="6"/>
        <w:rPr>
          <w:rFonts w:ascii="Microsoft JhengHei"/>
          <w:b/>
          <w:sz w:val="19"/>
        </w:rPr>
      </w:pPr>
    </w:p>
    <w:p>
      <w:pPr>
        <w:pStyle w:val="BodyText"/>
        <w:spacing w:line="408" w:lineRule="auto"/>
        <w:ind w:left="389" w:right="276" w:firstLine="479"/>
      </w:pPr>
      <w:r>
        <w:rPr/>
        <w:t>乙方提供的产品性能及质量有国家标准的应符合国家标准。无国家标准的应符合行业标准或企业标准，并满足招标文件要求，实现投标文件承诺条款。</w:t>
      </w:r>
    </w:p>
    <w:p>
      <w:pPr>
        <w:pStyle w:val="Heading8"/>
        <w:spacing w:before="119"/>
      </w:pPr>
      <w:r>
        <w:rPr/>
        <w:t>四、运输方式及费用</w:t>
      </w:r>
    </w:p>
    <w:p>
      <w:pPr>
        <w:pStyle w:val="BodyText"/>
        <w:spacing w:before="8"/>
        <w:rPr>
          <w:rFonts w:ascii="Microsoft JhengHei"/>
          <w:b/>
          <w:sz w:val="19"/>
        </w:rPr>
      </w:pPr>
    </w:p>
    <w:p>
      <w:pPr>
        <w:pStyle w:val="BodyText"/>
        <w:spacing w:before="1"/>
        <w:ind w:left="869"/>
      </w:pPr>
      <w:r>
        <w:rPr/>
        <w:t>由乙方视情况自定运输方式，费用自负。</w:t>
      </w:r>
    </w:p>
    <w:p>
      <w:pPr>
        <w:pStyle w:val="BodyText"/>
        <w:rPr>
          <w:sz w:val="26"/>
        </w:rPr>
      </w:pPr>
    </w:p>
    <w:p>
      <w:pPr>
        <w:pStyle w:val="Heading8"/>
      </w:pPr>
      <w:r>
        <w:rPr/>
        <w:t>五、验收</w:t>
      </w:r>
    </w:p>
    <w:p>
      <w:pPr>
        <w:pStyle w:val="BodyText"/>
        <w:spacing w:before="10"/>
        <w:rPr>
          <w:rFonts w:ascii="Microsoft JhengHei"/>
          <w:b/>
          <w:sz w:val="18"/>
        </w:rPr>
      </w:pPr>
    </w:p>
    <w:p>
      <w:pPr>
        <w:pStyle w:val="BodyText"/>
        <w:tabs>
          <w:tab w:pos="4938" w:val="left" w:leader="none"/>
        </w:tabs>
        <w:spacing w:line="391" w:lineRule="auto"/>
        <w:ind w:left="389" w:right="209" w:firstLine="479"/>
      </w:pPr>
      <w:r>
        <w:rPr/>
        <w:t>（一</w:t>
      </w:r>
      <w:r>
        <w:rPr>
          <w:spacing w:val="-12"/>
        </w:rPr>
        <w:t>）</w:t>
      </w:r>
      <w:r>
        <w:rPr/>
        <w:t>在货物进场并安装调试后</w:t>
      </w:r>
      <w:r>
        <w:rPr>
          <w:u w:val="single"/>
        </w:rPr>
        <w:t> </w:t>
        <w:tab/>
      </w:r>
      <w:r>
        <w:rPr/>
        <w:t>日内</w:t>
      </w:r>
      <w:r>
        <w:rPr>
          <w:spacing w:val="-12"/>
        </w:rPr>
        <w:t>，</w:t>
      </w:r>
      <w:r>
        <w:rPr/>
        <w:t>甲方根据技术要求组织验收</w:t>
      </w:r>
      <w:r>
        <w:rPr>
          <w:spacing w:val="-12"/>
        </w:rPr>
        <w:t>，</w:t>
      </w:r>
      <w:r>
        <w:rPr/>
        <w:t>验收内容包括</w:t>
      </w:r>
      <w:r>
        <w:rPr>
          <w:spacing w:val="-27"/>
        </w:rPr>
        <w:t>：</w:t>
      </w:r>
      <w:r>
        <w:rPr/>
        <w:t>型号</w:t>
      </w:r>
      <w:r>
        <w:rPr>
          <w:spacing w:val="-27"/>
        </w:rPr>
        <w:t>、</w:t>
      </w:r>
      <w:r>
        <w:rPr/>
        <w:t>规格</w:t>
      </w:r>
      <w:r>
        <w:rPr>
          <w:spacing w:val="-27"/>
        </w:rPr>
        <w:t>、</w:t>
      </w:r>
      <w:r>
        <w:rPr/>
        <w:t>数量</w:t>
      </w:r>
      <w:r>
        <w:rPr>
          <w:spacing w:val="-27"/>
        </w:rPr>
        <w:t>、</w:t>
      </w:r>
      <w:r>
        <w:rPr/>
        <w:t>外观质量</w:t>
      </w:r>
      <w:r>
        <w:rPr>
          <w:spacing w:val="-27"/>
        </w:rPr>
        <w:t>、</w:t>
      </w:r>
      <w:r>
        <w:rPr/>
        <w:t>及货物包装是否完好</w:t>
      </w:r>
      <w:r>
        <w:rPr>
          <w:spacing w:val="-27"/>
        </w:rPr>
        <w:t>，</w:t>
      </w:r>
      <w:r>
        <w:rPr/>
        <w:t>安装调试是否合格， 所提供货物的装箱清单</w:t>
      </w:r>
      <w:r>
        <w:rPr>
          <w:spacing w:val="-10"/>
        </w:rPr>
        <w:t>、</w:t>
      </w:r>
      <w:r>
        <w:rPr/>
        <w:t>用户手册</w:t>
      </w:r>
      <w:r>
        <w:rPr>
          <w:spacing w:val="-10"/>
        </w:rPr>
        <w:t>、</w:t>
      </w:r>
      <w:r>
        <w:rPr/>
        <w:t>原厂保修卡</w:t>
      </w:r>
      <w:r>
        <w:rPr>
          <w:spacing w:val="-10"/>
        </w:rPr>
        <w:t>、</w:t>
      </w:r>
      <w:r>
        <w:rPr/>
        <w:t>随机资料及配件</w:t>
      </w:r>
      <w:r>
        <w:rPr>
          <w:spacing w:val="-8"/>
        </w:rPr>
        <w:t>、</w:t>
      </w:r>
      <w:r>
        <w:rPr/>
        <w:t>随机工具等是否齐全</w:t>
      </w:r>
      <w:r>
        <w:rPr>
          <w:spacing w:val="-12"/>
        </w:rPr>
        <w:t>。</w:t>
      </w:r>
      <w:r>
        <w:rPr/>
        <w:t>货物最终验收后</w:t>
      </w:r>
      <w:r>
        <w:rPr>
          <w:spacing w:val="-12"/>
        </w:rPr>
        <w:t>，</w:t>
      </w:r>
      <w:r>
        <w:rPr/>
        <w:t>乙方应对由于设计</w:t>
      </w:r>
      <w:r>
        <w:rPr>
          <w:spacing w:val="-12"/>
        </w:rPr>
        <w:t>、</w:t>
      </w:r>
      <w:r>
        <w:rPr/>
        <w:t>工艺或材料的缺陷而发生的任何不足或故障负责，并承担由此引起的一切后果。</w:t>
      </w:r>
    </w:p>
    <w:p>
      <w:pPr>
        <w:pStyle w:val="BodyText"/>
        <w:spacing w:line="405" w:lineRule="auto" w:before="209"/>
        <w:ind w:left="389" w:right="295" w:firstLine="479"/>
        <w:jc w:val="both"/>
      </w:pPr>
      <w:r>
        <w:rPr/>
        <w:t>（二</w:t>
      </w:r>
      <w:r>
        <w:rPr>
          <w:spacing w:val="-12"/>
        </w:rPr>
        <w:t>）</w:t>
      </w:r>
      <w:r>
        <w:rPr>
          <w:spacing w:val="-3"/>
        </w:rPr>
        <w:t>采购单位组建验收小组，验收小组由单位纪检人员、技术人员等三人以上</w:t>
      </w:r>
      <w:r>
        <w:rPr>
          <w:spacing w:val="-8"/>
        </w:rPr>
        <w:t>组成。 </w:t>
      </w:r>
      <w:r>
        <w:rPr/>
        <w:t>100</w:t>
      </w:r>
      <w:r>
        <w:rPr>
          <w:spacing w:val="-28"/>
        </w:rPr>
        <w:t> 万元</w:t>
      </w:r>
      <w:r>
        <w:rPr/>
        <w:t>（含</w:t>
      </w:r>
      <w:r>
        <w:rPr>
          <w:spacing w:val="-20"/>
        </w:rPr>
        <w:t>）</w:t>
      </w:r>
      <w:r>
        <w:rPr>
          <w:spacing w:val="-5"/>
        </w:rPr>
        <w:t>以上项目，由采购中心和采购单位共同组织验收，从政府采购评审专家库中随机抽取专业评委组成验收小组，财政部门、纪检监察部门现场监督。从政府采购评审库中抽取专业评委参与验收的，评委费（200-400</w:t>
      </w:r>
      <w:r>
        <w:rPr>
          <w:spacing w:val="-30"/>
        </w:rPr>
        <w:t> 元</w:t>
      </w:r>
      <w:r>
        <w:rPr/>
        <w:t>/人.次）由乙方支付。</w:t>
      </w:r>
    </w:p>
    <w:p>
      <w:pPr>
        <w:pStyle w:val="BodyText"/>
        <w:spacing w:line="391" w:lineRule="auto" w:before="186"/>
        <w:ind w:left="389" w:right="329" w:firstLine="479"/>
        <w:jc w:val="both"/>
      </w:pPr>
      <w:r>
        <w:rPr/>
        <w:t>（三</w:t>
      </w:r>
      <w:r>
        <w:rPr>
          <w:spacing w:val="-12"/>
        </w:rPr>
        <w:t>）</w:t>
      </w:r>
      <w:r>
        <w:rPr>
          <w:spacing w:val="-3"/>
        </w:rPr>
        <w:t>甲方在验收中，如发现有与合同规定不符的，应在</w:t>
      </w:r>
      <w:r>
        <w:rPr>
          <w:u w:val="single"/>
        </w:rPr>
        <w:t> 3 </w:t>
      </w:r>
      <w:r>
        <w:rPr/>
        <w:t>天内向乙方提出书</w:t>
      </w:r>
      <w:r>
        <w:rPr>
          <w:spacing w:val="-5"/>
        </w:rPr>
        <w:t>面意见，不签发验收单，并同时将该书面意见提交至采购中心。乙方在接到甲方书面意见后，应在</w:t>
      </w:r>
      <w:r>
        <w:rPr>
          <w:spacing w:val="-5"/>
          <w:u w:val="single"/>
        </w:rPr>
        <w:t> </w:t>
      </w:r>
      <w:r>
        <w:rPr>
          <w:u w:val="single"/>
        </w:rPr>
        <w:t>3 </w:t>
      </w:r>
      <w:r>
        <w:rPr/>
        <w:t>天内予以处理，并将处理结果以书面形式告知采购中心。</w:t>
      </w:r>
    </w:p>
    <w:p>
      <w:pPr>
        <w:pStyle w:val="Heading8"/>
        <w:spacing w:before="135"/>
      </w:pPr>
      <w:r>
        <w:rPr/>
        <w:t>六、付款方式</w:t>
      </w:r>
    </w:p>
    <w:p>
      <w:pPr>
        <w:pStyle w:val="BodyText"/>
        <w:rPr>
          <w:rFonts w:ascii="Microsoft JhengHei"/>
          <w:b/>
          <w:sz w:val="20"/>
        </w:rPr>
      </w:pPr>
    </w:p>
    <w:p>
      <w:pPr>
        <w:pStyle w:val="BodyText"/>
        <w:spacing w:before="13"/>
        <w:rPr>
          <w:rFonts w:ascii="Microsoft JhengHei"/>
          <w:b/>
          <w:sz w:val="12"/>
        </w:rPr>
      </w:pPr>
    </w:p>
    <w:p>
      <w:pPr>
        <w:spacing w:before="63"/>
        <w:ind w:left="54" w:right="0" w:firstLine="0"/>
        <w:jc w:val="center"/>
        <w:rPr>
          <w:rFonts w:ascii="Calibri"/>
          <w:sz w:val="18"/>
        </w:rPr>
      </w:pPr>
      <w:r>
        <w:rPr>
          <w:rFonts w:ascii="Calibri"/>
          <w:sz w:val="18"/>
        </w:rPr>
        <w:t>23</w:t>
      </w:r>
    </w:p>
    <w:p>
      <w:pPr>
        <w:spacing w:after="0"/>
        <w:jc w:val="center"/>
        <w:rPr>
          <w:rFonts w:ascii="Calibri"/>
          <w:sz w:val="18"/>
        </w:rPr>
        <w:sectPr>
          <w:pgSz w:w="11910" w:h="16840"/>
          <w:pgMar w:top="1560" w:bottom="280" w:left="1200" w:right="1140"/>
        </w:sectPr>
      </w:pPr>
    </w:p>
    <w:p>
      <w:pPr>
        <w:pStyle w:val="BodyText"/>
        <w:spacing w:line="388" w:lineRule="auto" w:before="43"/>
        <w:ind w:left="389" w:right="255" w:firstLine="470"/>
        <w:jc w:val="both"/>
      </w:pPr>
      <w:r>
        <w:rPr/>
        <w:drawing>
          <wp:anchor distT="0" distB="0" distL="0" distR="0" allowOverlap="1" layoutInCell="1" locked="0" behindDoc="1" simplePos="0" relativeHeight="268350551">
            <wp:simplePos x="0" y="0"/>
            <wp:positionH relativeFrom="page">
              <wp:posOffset>203309</wp:posOffset>
            </wp:positionH>
            <wp:positionV relativeFrom="page">
              <wp:posOffset>944714</wp:posOffset>
            </wp:positionV>
            <wp:extent cx="7115825" cy="9747669"/>
            <wp:effectExtent l="0" t="0" r="0" b="0"/>
            <wp:wrapNone/>
            <wp:docPr id="57" name="image2.jpeg" descr=""/>
            <wp:cNvGraphicFramePr>
              <a:graphicFrameLocks noChangeAspect="1"/>
            </wp:cNvGraphicFramePr>
            <a:graphic>
              <a:graphicData uri="http://schemas.openxmlformats.org/drawingml/2006/picture">
                <pic:pic>
                  <pic:nvPicPr>
                    <pic:cNvPr id="5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880" filled="true" fillcolor="#ffffff" stroked="false">
            <v:fill type="solid"/>
            <w10:wrap type="none"/>
          </v:rect>
        </w:pict>
      </w:r>
      <w:r>
        <w:rPr/>
        <w:t>货物进场付至合同价的 </w:t>
      </w:r>
      <w:r>
        <w:rPr>
          <w:spacing w:val="-18"/>
        </w:rPr>
        <w:t>20％</w:t>
      </w:r>
      <w:r>
        <w:rPr>
          <w:spacing w:val="-4"/>
        </w:rPr>
        <w:t>，验收合格并交付使用后 </w:t>
      </w:r>
      <w:r>
        <w:rPr/>
        <w:t>10 个工作日内付至合同价</w:t>
      </w:r>
      <w:r>
        <w:rPr>
          <w:spacing w:val="-1"/>
        </w:rPr>
        <w:t>的 </w:t>
      </w:r>
      <w:r>
        <w:rPr/>
        <w:t>95％，余款于质保期结束且无任何质量问题后付清。</w:t>
      </w:r>
    </w:p>
    <w:p>
      <w:pPr>
        <w:pStyle w:val="Heading8"/>
        <w:spacing w:before="124"/>
        <w:ind w:left="861"/>
      </w:pPr>
      <w:r>
        <w:rPr/>
        <w:t>七、售后服务</w:t>
      </w:r>
    </w:p>
    <w:p>
      <w:pPr>
        <w:pStyle w:val="BodyText"/>
        <w:spacing w:before="3"/>
        <w:rPr>
          <w:rFonts w:ascii="Microsoft JhengHei"/>
          <w:b/>
          <w:sz w:val="19"/>
        </w:rPr>
      </w:pPr>
    </w:p>
    <w:p>
      <w:pPr>
        <w:pStyle w:val="BodyText"/>
        <w:spacing w:line="405" w:lineRule="auto" w:before="1"/>
        <w:ind w:left="389" w:right="255" w:firstLine="470"/>
        <w:jc w:val="both"/>
      </w:pPr>
      <w:r>
        <w:rPr/>
        <w:t>（一</w:t>
      </w:r>
      <w:r>
        <w:rPr>
          <w:spacing w:val="-5"/>
        </w:rPr>
        <w:t>）</w:t>
      </w:r>
      <w:r>
        <w:rPr/>
        <w:t>验收通过之日起对设备免费保修</w:t>
      </w:r>
      <w:r>
        <w:rPr>
          <w:u w:val="single"/>
        </w:rPr>
        <w:t> 3</w:t>
      </w:r>
      <w:r>
        <w:rPr>
          <w:spacing w:val="-9"/>
        </w:rPr>
        <w:t> 年。质保期内，乙方对产品质量实行三</w:t>
      </w:r>
      <w:r>
        <w:rPr>
          <w:spacing w:val="-12"/>
        </w:rPr>
        <w:t>包，因设备配置或制造质量问题而引起的故障，乙方应在 </w:t>
      </w:r>
      <w:r>
        <w:rPr/>
        <w:t>24</w:t>
      </w:r>
      <w:r>
        <w:rPr>
          <w:spacing w:val="-8"/>
        </w:rPr>
        <w:t> 小时内立即予以免费维修或更换，由此引起的一切费用由乙方承担。</w:t>
      </w:r>
    </w:p>
    <w:p>
      <w:pPr>
        <w:pStyle w:val="BodyText"/>
        <w:spacing w:line="408" w:lineRule="auto" w:before="200"/>
        <w:ind w:left="389" w:right="297" w:firstLine="470"/>
      </w:pPr>
      <w:r>
        <w:rPr/>
        <w:t>（二）技术支持响应时间。一般问题</w:t>
      </w:r>
      <w:r>
        <w:rPr>
          <w:u w:val="single"/>
        </w:rPr>
        <w:t> 2 </w:t>
      </w:r>
      <w:r>
        <w:rPr/>
        <w:t>小时内电话支持，难点、重点问题</w:t>
      </w:r>
      <w:r>
        <w:rPr>
          <w:u w:val="single"/>
        </w:rPr>
        <w:t> 2</w:t>
      </w:r>
      <w:r>
        <w:rPr/>
        <w:t> 天内现场解决，质保期内相关费用由乙方承担，质保期满后乙方收取成本费。</w:t>
      </w:r>
    </w:p>
    <w:p>
      <w:pPr>
        <w:pStyle w:val="Heading8"/>
        <w:spacing w:before="119"/>
        <w:ind w:left="861"/>
      </w:pPr>
      <w:r>
        <w:rPr/>
        <w:t>八、履约保证金</w:t>
      </w:r>
    </w:p>
    <w:p>
      <w:pPr>
        <w:pStyle w:val="BodyText"/>
        <w:spacing w:before="6"/>
        <w:rPr>
          <w:rFonts w:ascii="Microsoft JhengHei"/>
          <w:b/>
          <w:sz w:val="19"/>
        </w:rPr>
      </w:pPr>
    </w:p>
    <w:p>
      <w:pPr>
        <w:pStyle w:val="BodyText"/>
        <w:spacing w:line="405" w:lineRule="auto"/>
        <w:ind w:left="389" w:right="328" w:firstLine="479"/>
        <w:jc w:val="both"/>
      </w:pPr>
      <w:r>
        <w:rPr>
          <w:spacing w:val="-4"/>
        </w:rPr>
        <w:t>双方在签订合同时，乙方投标保证金将自动转为合同履约保证金。如乙方未能履</w:t>
      </w:r>
      <w:r>
        <w:rPr>
          <w:spacing w:val="-7"/>
        </w:rPr>
        <w:t>行合同规定的义务，甲方有权从履约保证金中取得补偿。履约保证金在合同规定退还</w:t>
      </w:r>
      <w:r>
        <w:rPr>
          <w:spacing w:val="-21"/>
        </w:rPr>
        <w:t>期满后 </w:t>
      </w:r>
      <w:r>
        <w:rPr/>
        <w:t>3</w:t>
      </w:r>
      <w:r>
        <w:rPr>
          <w:spacing w:val="-8"/>
        </w:rPr>
        <w:t> 天内无息退还。</w:t>
      </w:r>
    </w:p>
    <w:p>
      <w:pPr>
        <w:pStyle w:val="Heading8"/>
        <w:spacing w:before="124"/>
      </w:pPr>
      <w:r>
        <w:rPr/>
        <w:t>九、违约条款</w:t>
      </w:r>
    </w:p>
    <w:p>
      <w:pPr>
        <w:pStyle w:val="BodyText"/>
        <w:spacing w:before="6"/>
        <w:rPr>
          <w:rFonts w:ascii="Microsoft JhengHei"/>
          <w:b/>
          <w:sz w:val="19"/>
        </w:rPr>
      </w:pPr>
    </w:p>
    <w:p>
      <w:pPr>
        <w:pStyle w:val="BodyText"/>
        <w:spacing w:line="405" w:lineRule="auto"/>
        <w:ind w:left="389" w:right="329" w:firstLine="479"/>
        <w:jc w:val="both"/>
      </w:pPr>
      <w:r>
        <w:rPr/>
        <w:t>（一</w:t>
      </w:r>
      <w:r>
        <w:rPr>
          <w:spacing w:val="-12"/>
        </w:rPr>
        <w:t>）</w:t>
      </w:r>
      <w:r>
        <w:rPr>
          <w:spacing w:val="-2"/>
        </w:rPr>
        <w:t>乙方不按期完成合同约定的内容，应向甲方支付违约金，除甲方或不可抗</w:t>
      </w:r>
      <w:r>
        <w:rPr>
          <w:spacing w:val="-5"/>
        </w:rPr>
        <w:t>力造成原因外，每延迟交付一天，按合同总价款的 </w:t>
      </w:r>
      <w:r>
        <w:rPr>
          <w:u w:val="single"/>
        </w:rPr>
        <w:t>1-3‰</w:t>
      </w:r>
      <w:r>
        <w:rPr/>
        <w:t>支付违约金，违约金可直接从履约保证金中扣除; 延期超过</w:t>
      </w:r>
      <w:r>
        <w:rPr>
          <w:u w:val="single"/>
        </w:rPr>
        <w:t> 3 </w:t>
      </w:r>
      <w:r>
        <w:rPr/>
        <w:t>日，甲方有权强制解除合同并没收履约保证金。</w:t>
      </w:r>
    </w:p>
    <w:p>
      <w:pPr>
        <w:pStyle w:val="BodyText"/>
        <w:spacing w:line="408" w:lineRule="auto" w:before="200"/>
        <w:ind w:left="389" w:right="327" w:firstLine="479"/>
        <w:jc w:val="both"/>
      </w:pPr>
      <w:r>
        <w:rPr/>
        <w:t>（二</w:t>
      </w:r>
      <w:r>
        <w:rPr>
          <w:spacing w:val="-8"/>
        </w:rPr>
        <w:t>）</w:t>
      </w:r>
      <w:r>
        <w:rPr>
          <w:spacing w:val="-5"/>
        </w:rPr>
        <w:t>乙方所供产品品种、型号、规格、花色、质量不符合规定的，由其负责包换或包修，并承担修理、调换或退货而支付的实际费用。</w:t>
      </w:r>
    </w:p>
    <w:p>
      <w:pPr>
        <w:pStyle w:val="BodyText"/>
        <w:spacing w:line="408" w:lineRule="auto" w:before="196"/>
        <w:ind w:left="389" w:right="331" w:firstLine="479"/>
        <w:jc w:val="both"/>
      </w:pPr>
      <w:r>
        <w:rPr/>
        <w:t>（三</w:t>
      </w:r>
      <w:r>
        <w:rPr>
          <w:spacing w:val="-10"/>
        </w:rPr>
        <w:t>）</w:t>
      </w:r>
      <w:r>
        <w:rPr>
          <w:spacing w:val="-4"/>
        </w:rPr>
        <w:t>非因甲方原因，乙方不履行本合同规定的义务，致使工作延误，甲方有权要求其强制履行或解除合同，并要求乙方等额赔偿由此造成的一切损失。</w:t>
      </w:r>
    </w:p>
    <w:p>
      <w:pPr>
        <w:pStyle w:val="BodyText"/>
        <w:spacing w:line="405" w:lineRule="auto" w:before="195"/>
        <w:ind w:left="389" w:right="331" w:firstLine="479"/>
        <w:jc w:val="both"/>
      </w:pPr>
      <w:r>
        <w:rPr/>
        <w:t>（四</w:t>
      </w:r>
      <w:r>
        <w:rPr>
          <w:spacing w:val="-10"/>
        </w:rPr>
        <w:t>）</w:t>
      </w:r>
      <w:r>
        <w:rPr>
          <w:spacing w:val="-3"/>
        </w:rPr>
        <w:t>本项目不得转让分包，如有发生，除没收其履约保证金外，无条件清理退场，所造成的一切损失由乙方负责。</w:t>
      </w:r>
    </w:p>
    <w:p>
      <w:pPr>
        <w:pStyle w:val="BodyText"/>
        <w:rPr>
          <w:sz w:val="27"/>
        </w:rPr>
      </w:pPr>
    </w:p>
    <w:p>
      <w:pPr>
        <w:spacing w:before="64"/>
        <w:ind w:left="54" w:right="0" w:firstLine="0"/>
        <w:jc w:val="center"/>
        <w:rPr>
          <w:rFonts w:ascii="Calibri"/>
          <w:sz w:val="18"/>
        </w:rPr>
      </w:pPr>
      <w:r>
        <w:rPr>
          <w:rFonts w:ascii="Calibri"/>
          <w:sz w:val="18"/>
        </w:rPr>
        <w:t>24</w:t>
      </w:r>
    </w:p>
    <w:p>
      <w:pPr>
        <w:spacing w:after="0"/>
        <w:jc w:val="center"/>
        <w:rPr>
          <w:rFonts w:ascii="Calibri"/>
          <w:sz w:val="18"/>
        </w:rPr>
        <w:sectPr>
          <w:pgSz w:w="11910" w:h="16840"/>
          <w:pgMar w:top="1540" w:bottom="280" w:left="1200" w:right="1140"/>
        </w:sectPr>
      </w:pPr>
    </w:p>
    <w:p>
      <w:pPr>
        <w:pStyle w:val="BodyText"/>
        <w:spacing w:line="408" w:lineRule="auto" w:before="37"/>
        <w:ind w:left="389" w:right="276" w:firstLine="479"/>
      </w:pPr>
      <w:r>
        <w:rPr/>
        <w:t>（五）甲方未按约定期限付款的，除向乙方支付货款外，须按中国人民银行有关规定向乙方支付滞纳金。</w:t>
      </w:r>
    </w:p>
    <w:p>
      <w:pPr>
        <w:pStyle w:val="Heading8"/>
        <w:spacing w:before="118"/>
      </w:pPr>
      <w:r>
        <w:rPr/>
        <w:t>十、知识产权</w:t>
      </w:r>
    </w:p>
    <w:p>
      <w:pPr>
        <w:pStyle w:val="BodyText"/>
        <w:spacing w:before="6"/>
        <w:rPr>
          <w:rFonts w:ascii="Microsoft JhengHei"/>
          <w:b/>
          <w:sz w:val="19"/>
        </w:rPr>
      </w:pPr>
    </w:p>
    <w:p>
      <w:pPr>
        <w:pStyle w:val="BodyText"/>
        <w:spacing w:line="405" w:lineRule="auto"/>
        <w:ind w:left="389" w:right="331" w:firstLine="479"/>
      </w:pPr>
      <w:r>
        <w:rPr/>
        <w:t>乙方应保证甲方免除并承担由于甲方在其本国使用该项目时而引起第三方提出</w:t>
      </w:r>
      <w:r>
        <w:rPr>
          <w:spacing w:val="-5"/>
        </w:rPr>
        <w:t>的侵犯专利权、知识产权或设计权的起诉、行动、行政程序索赔、请求等以及甲方为此而产生的损失和损害、费用和支出（包括律师费</w:t>
      </w:r>
      <w:r>
        <w:rPr>
          <w:spacing w:val="-120"/>
        </w:rPr>
        <w:t>）</w:t>
      </w:r>
      <w:r>
        <w:rPr/>
        <w:t>。</w:t>
      </w:r>
    </w:p>
    <w:p>
      <w:pPr>
        <w:pStyle w:val="Heading8"/>
        <w:spacing w:line="366" w:lineRule="exact"/>
      </w:pPr>
      <w:r>
        <w:rPr/>
        <w:t>十一、合同生效及审核</w:t>
      </w:r>
    </w:p>
    <w:p>
      <w:pPr>
        <w:pStyle w:val="BodyText"/>
        <w:spacing w:before="6"/>
        <w:rPr>
          <w:rFonts w:ascii="Microsoft JhengHei"/>
          <w:b/>
          <w:sz w:val="19"/>
        </w:rPr>
      </w:pPr>
    </w:p>
    <w:p>
      <w:pPr>
        <w:pStyle w:val="BodyText"/>
        <w:spacing w:line="405" w:lineRule="auto" w:before="1"/>
        <w:ind w:left="389" w:right="274" w:firstLine="479"/>
      </w:pPr>
      <w:r>
        <w:rPr/>
        <w:t>本合同经甲方、乙方签字盖章后生效，合同签订的内容不能超出招标文件和投标文件的实质性内容。</w:t>
      </w:r>
    </w:p>
    <w:p>
      <w:pPr>
        <w:pStyle w:val="Heading8"/>
        <w:spacing w:before="122"/>
      </w:pPr>
      <w:r>
        <w:rPr/>
        <w:t>十二、合同的组成部分</w:t>
      </w:r>
    </w:p>
    <w:p>
      <w:pPr>
        <w:pStyle w:val="BodyText"/>
        <w:spacing w:before="6"/>
        <w:rPr>
          <w:rFonts w:ascii="Microsoft JhengHei"/>
          <w:b/>
          <w:sz w:val="19"/>
        </w:rPr>
      </w:pPr>
    </w:p>
    <w:p>
      <w:pPr>
        <w:pStyle w:val="BodyText"/>
        <w:spacing w:line="408" w:lineRule="auto"/>
        <w:ind w:left="389" w:right="276" w:firstLine="479"/>
      </w:pPr>
      <w:r>
        <w:rPr/>
        <w:t>本合同条款、中标通知书、招标文件、投标文件及投标人在开标时的书面承诺等构成合同的组成部分。</w:t>
      </w:r>
    </w:p>
    <w:p>
      <w:pPr>
        <w:pStyle w:val="BodyText"/>
        <w:spacing w:line="328" w:lineRule="auto" w:before="116"/>
        <w:ind w:left="389" w:right="297" w:firstLine="482"/>
      </w:pPr>
      <w:r>
        <w:rPr>
          <w:rFonts w:ascii="Microsoft JhengHei" w:eastAsia="Microsoft JhengHei" w:hint="eastAsia"/>
          <w:b/>
        </w:rPr>
        <w:t>十三</w:t>
      </w:r>
      <w:r>
        <w:rPr/>
        <w:t>、本合同一式四份，以中文书写，甲方、乙方各执一份，招标代理、财政局政府采购管理处各一份。</w:t>
      </w:r>
    </w:p>
    <w:p>
      <w:pPr>
        <w:pStyle w:val="BodyText"/>
        <w:spacing w:before="215"/>
        <w:ind w:left="871"/>
      </w:pPr>
      <w:r>
        <w:rPr>
          <w:rFonts w:ascii="Microsoft JhengHei" w:eastAsia="Microsoft JhengHei" w:hint="eastAsia"/>
          <w:b/>
        </w:rPr>
        <w:t>十四、</w:t>
      </w:r>
      <w:r>
        <w:rPr/>
        <w:t>本合同一切未尽事宜，按合同法有关规定执行，无相关规定的，由甲乙双</w:t>
      </w:r>
    </w:p>
    <w:p>
      <w:pPr>
        <w:spacing w:after="0"/>
        <w:sectPr>
          <w:pgSz w:w="11910" w:h="16840"/>
          <w:pgMar w:top="1560" w:bottom="280" w:left="1200" w:right="1140"/>
        </w:sectPr>
      </w:pPr>
    </w:p>
    <w:p>
      <w:pPr>
        <w:pStyle w:val="BodyText"/>
        <w:spacing w:before="159"/>
        <w:ind w:left="389"/>
      </w:pPr>
      <w:r>
        <w:rPr/>
        <w:t>方协商解决。</w:t>
      </w:r>
    </w:p>
    <w:p>
      <w:pPr>
        <w:pStyle w:val="BodyText"/>
        <w:spacing w:before="5"/>
        <w:rPr>
          <w:sz w:val="56"/>
        </w:rPr>
      </w:pPr>
      <w:r>
        <w:rPr/>
        <w:br w:type="column"/>
      </w:r>
      <w:r>
        <w:rPr>
          <w:sz w:val="56"/>
        </w:rPr>
      </w:r>
    </w:p>
    <w:p>
      <w:pPr>
        <w:pStyle w:val="Heading5"/>
      </w:pPr>
      <w:r>
        <w:rPr/>
        <w:t>通用条款</w:t>
      </w:r>
    </w:p>
    <w:p>
      <w:pPr>
        <w:spacing w:after="0"/>
        <w:sectPr>
          <w:type w:val="continuous"/>
          <w:pgSz w:w="11910" w:h="16840"/>
          <w:pgMar w:top="1580" w:bottom="280" w:left="1200" w:right="1140"/>
          <w:cols w:num="2" w:equalWidth="0">
            <w:col w:w="1870" w:space="1952"/>
            <w:col w:w="5748"/>
          </w:cols>
        </w:sectPr>
      </w:pPr>
    </w:p>
    <w:p>
      <w:pPr>
        <w:pStyle w:val="BodyText"/>
        <w:spacing w:before="17"/>
        <w:rPr>
          <w:rFonts w:ascii="Microsoft YaHei"/>
          <w:sz w:val="13"/>
        </w:rPr>
      </w:pPr>
      <w:r>
        <w:rPr/>
        <w:drawing>
          <wp:anchor distT="0" distB="0" distL="0" distR="0" allowOverlap="1" layoutInCell="1" locked="0" behindDoc="1" simplePos="0" relativeHeight="268350599">
            <wp:simplePos x="0" y="0"/>
            <wp:positionH relativeFrom="page">
              <wp:posOffset>203309</wp:posOffset>
            </wp:positionH>
            <wp:positionV relativeFrom="page">
              <wp:posOffset>944714</wp:posOffset>
            </wp:positionV>
            <wp:extent cx="7115825" cy="9747669"/>
            <wp:effectExtent l="0" t="0" r="0" b="0"/>
            <wp:wrapNone/>
            <wp:docPr id="59" name="image2.jpeg" descr=""/>
            <wp:cNvGraphicFramePr>
              <a:graphicFrameLocks noChangeAspect="1"/>
            </wp:cNvGraphicFramePr>
            <a:graphic>
              <a:graphicData uri="http://schemas.openxmlformats.org/drawingml/2006/picture">
                <pic:pic>
                  <pic:nvPicPr>
                    <pic:cNvPr id="6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832" filled="true" fillcolor="#ffffff" stroked="false">
            <v:fill type="solid"/>
            <w10:wrap type="none"/>
          </v:rect>
        </w:pict>
      </w:r>
    </w:p>
    <w:p>
      <w:pPr>
        <w:pStyle w:val="Heading8"/>
        <w:spacing w:line="429" w:lineRule="exact"/>
      </w:pPr>
      <w:r>
        <w:rPr/>
        <w:t>十五、词语涵义</w:t>
      </w:r>
    </w:p>
    <w:p>
      <w:pPr>
        <w:pStyle w:val="BodyText"/>
        <w:spacing w:before="6"/>
        <w:rPr>
          <w:rFonts w:ascii="Microsoft JhengHei"/>
          <w:b/>
          <w:sz w:val="19"/>
        </w:rPr>
      </w:pPr>
    </w:p>
    <w:p>
      <w:pPr>
        <w:pStyle w:val="BodyText"/>
        <w:spacing w:line="408" w:lineRule="auto"/>
        <w:ind w:left="389" w:right="276" w:firstLine="479"/>
      </w:pPr>
      <w:r>
        <w:rPr/>
        <w:t>（一）合同：甲乙双方签署的、合同格式中载明的甲方与乙方所达成的协议，包括所有的附件、附录和构成合同的所有文件。</w:t>
      </w:r>
    </w:p>
    <w:p>
      <w:pPr>
        <w:pStyle w:val="BodyText"/>
        <w:spacing w:line="408" w:lineRule="auto" w:before="195"/>
        <w:ind w:left="389" w:right="275" w:firstLine="479"/>
      </w:pPr>
      <w:r>
        <w:rPr/>
        <w:t>（二）合同价：根据合同规定，乙方在正确地完全履行合同义务后甲方应支付给卖方的价格。</w:t>
      </w:r>
    </w:p>
    <w:p>
      <w:pPr>
        <w:spacing w:before="144"/>
        <w:ind w:left="54" w:right="0" w:firstLine="0"/>
        <w:jc w:val="center"/>
        <w:rPr>
          <w:rFonts w:ascii="Calibri"/>
          <w:sz w:val="18"/>
        </w:rPr>
      </w:pPr>
      <w:r>
        <w:rPr>
          <w:rFonts w:ascii="Calibri"/>
          <w:sz w:val="18"/>
        </w:rPr>
        <w:t>25</w:t>
      </w:r>
    </w:p>
    <w:p>
      <w:pPr>
        <w:spacing w:after="0"/>
        <w:jc w:val="center"/>
        <w:rPr>
          <w:rFonts w:ascii="Calibri"/>
          <w:sz w:val="18"/>
        </w:rPr>
        <w:sectPr>
          <w:type w:val="continuous"/>
          <w:pgSz w:w="11910" w:h="16840"/>
          <w:pgMar w:top="1580" w:bottom="280" w:left="1200" w:right="1140"/>
        </w:sectPr>
      </w:pPr>
    </w:p>
    <w:p>
      <w:pPr>
        <w:pStyle w:val="BodyText"/>
        <w:spacing w:line="408" w:lineRule="auto" w:before="37"/>
        <w:ind w:left="389" w:right="294" w:firstLine="479"/>
      </w:pPr>
      <w:r>
        <w:rPr/>
        <w:drawing>
          <wp:anchor distT="0" distB="0" distL="0" distR="0" allowOverlap="1" layoutInCell="1" locked="0" behindDoc="1" simplePos="0" relativeHeight="268350647">
            <wp:simplePos x="0" y="0"/>
            <wp:positionH relativeFrom="page">
              <wp:posOffset>203309</wp:posOffset>
            </wp:positionH>
            <wp:positionV relativeFrom="page">
              <wp:posOffset>944714</wp:posOffset>
            </wp:positionV>
            <wp:extent cx="7115825" cy="9747669"/>
            <wp:effectExtent l="0" t="0" r="0" b="0"/>
            <wp:wrapNone/>
            <wp:docPr id="61" name="image2.jpeg" descr=""/>
            <wp:cNvGraphicFramePr>
              <a:graphicFrameLocks noChangeAspect="1"/>
            </wp:cNvGraphicFramePr>
            <a:graphic>
              <a:graphicData uri="http://schemas.openxmlformats.org/drawingml/2006/picture">
                <pic:pic>
                  <pic:nvPicPr>
                    <pic:cNvPr id="6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784" filled="true" fillcolor="#ffffff" stroked="false">
            <v:fill type="solid"/>
            <w10:wrap type="none"/>
          </v:rect>
        </w:pict>
      </w:r>
      <w:r>
        <w:rPr/>
        <w:t>（三）货物：乙方根据合同规定须向买方提供的一切设备、机械、仪表、备件、工具、手册和其他技术资料及其他材料。</w:t>
      </w:r>
    </w:p>
    <w:p>
      <w:pPr>
        <w:pStyle w:val="BodyText"/>
        <w:spacing w:line="405" w:lineRule="auto" w:before="195"/>
        <w:ind w:left="389" w:right="329" w:firstLine="479"/>
        <w:jc w:val="both"/>
      </w:pPr>
      <w:r>
        <w:rPr/>
        <w:t>（四</w:t>
      </w:r>
      <w:r>
        <w:rPr>
          <w:spacing w:val="-10"/>
        </w:rPr>
        <w:t>）</w:t>
      </w:r>
      <w:r>
        <w:rPr>
          <w:spacing w:val="-5"/>
        </w:rPr>
        <w:t>服务：根据合同规定甲方承担与供货有关的辅助服务，如运输、保险以及</w:t>
      </w:r>
      <w:r>
        <w:rPr>
          <w:spacing w:val="-9"/>
        </w:rPr>
        <w:t>其它的伴随服务，比如安装、调试、提供技术援助、培训和其他类似的乙方应承担的义务。</w:t>
      </w:r>
    </w:p>
    <w:p>
      <w:pPr>
        <w:pStyle w:val="BodyText"/>
        <w:tabs>
          <w:tab w:pos="5725" w:val="left" w:leader="none"/>
        </w:tabs>
        <w:spacing w:before="203"/>
        <w:ind w:left="869"/>
      </w:pPr>
      <w:r>
        <w:rPr/>
        <w:t>（五）甲方：采购单位，即</w:t>
      </w:r>
      <w:r>
        <w:rPr>
          <w:u w:val="single"/>
        </w:rPr>
        <w:tab/>
      </w:r>
      <w:r>
        <w:rPr/>
        <w:t>。</w:t>
      </w:r>
    </w:p>
    <w:p>
      <w:pPr>
        <w:pStyle w:val="BodyText"/>
        <w:spacing w:before="3"/>
        <w:rPr>
          <w:sz w:val="32"/>
        </w:rPr>
      </w:pPr>
    </w:p>
    <w:p>
      <w:pPr>
        <w:pStyle w:val="BodyText"/>
        <w:tabs>
          <w:tab w:pos="8190" w:val="left" w:leader="none"/>
        </w:tabs>
        <w:ind w:left="869"/>
      </w:pPr>
      <w:r>
        <w:rPr/>
        <w:t>（六）乙方：提供货物和服务的公司或实体，即</w:t>
      </w:r>
      <w:r>
        <w:rPr>
          <w:u w:val="single"/>
        </w:rPr>
        <w:t> </w:t>
        <w:tab/>
      </w:r>
      <w:r>
        <w:rPr/>
        <w:t>。</w:t>
      </w:r>
    </w:p>
    <w:p>
      <w:pPr>
        <w:pStyle w:val="BodyText"/>
        <w:rPr>
          <w:sz w:val="32"/>
        </w:rPr>
      </w:pPr>
    </w:p>
    <w:p>
      <w:pPr>
        <w:pStyle w:val="BodyText"/>
        <w:spacing w:line="405" w:lineRule="auto"/>
        <w:ind w:left="389" w:right="331" w:firstLine="479"/>
        <w:jc w:val="both"/>
      </w:pPr>
      <w:r>
        <w:rPr/>
        <w:t>（七</w:t>
      </w:r>
      <w:r>
        <w:rPr>
          <w:spacing w:val="-20"/>
        </w:rPr>
        <w:t>）</w:t>
      </w:r>
      <w:r>
        <w:rPr>
          <w:spacing w:val="-1"/>
        </w:rPr>
        <w:t>不可抗力：指不能预见、不能避免和不能克服的客观情况，如战争、动</w:t>
      </w:r>
      <w:r>
        <w:rPr>
          <w:spacing w:val="-6"/>
        </w:rPr>
        <w:t>乱、空中飞行物体坠落或其它非甲乙方责任造成的爆炸、火灾，以及协议条款约定等级以上的风、雨、雪、地震等。</w:t>
      </w:r>
    </w:p>
    <w:p>
      <w:pPr>
        <w:pStyle w:val="Heading8"/>
        <w:spacing w:before="123"/>
      </w:pPr>
      <w:r>
        <w:rPr/>
        <w:t>十六、技术规格</w:t>
      </w:r>
    </w:p>
    <w:p>
      <w:pPr>
        <w:pStyle w:val="BodyText"/>
        <w:spacing w:before="7"/>
        <w:rPr>
          <w:rFonts w:ascii="Microsoft JhengHei"/>
          <w:b/>
          <w:sz w:val="19"/>
        </w:rPr>
      </w:pPr>
    </w:p>
    <w:p>
      <w:pPr>
        <w:pStyle w:val="BodyText"/>
        <w:spacing w:line="408" w:lineRule="auto"/>
        <w:ind w:left="389" w:right="535" w:firstLine="479"/>
      </w:pPr>
      <w:r>
        <w:rPr/>
        <w:t>乙方所提供货物的技术规格应与招标文件规定的技术规格以及所附的技术规格响应表相一致。</w:t>
      </w:r>
    </w:p>
    <w:p>
      <w:pPr>
        <w:pStyle w:val="Heading8"/>
        <w:spacing w:before="118"/>
      </w:pPr>
      <w:r>
        <w:rPr/>
        <w:t>十七、专利权</w:t>
      </w:r>
    </w:p>
    <w:p>
      <w:pPr>
        <w:pStyle w:val="BodyText"/>
        <w:spacing w:before="6"/>
        <w:rPr>
          <w:rFonts w:ascii="Microsoft JhengHei"/>
          <w:b/>
          <w:sz w:val="19"/>
        </w:rPr>
      </w:pPr>
    </w:p>
    <w:p>
      <w:pPr>
        <w:pStyle w:val="BodyText"/>
        <w:spacing w:line="408" w:lineRule="auto"/>
        <w:ind w:left="389" w:right="294" w:firstLine="479"/>
      </w:pPr>
      <w:r>
        <w:rPr/>
        <w:t>乙方应保证甲方在使用该货物或其任何一部分时不受第三方提出侵犯其专利权、商标权和工业设计权的起诉。一旦出现专利侵权，乙方应负全部责任。</w:t>
      </w:r>
    </w:p>
    <w:p>
      <w:pPr>
        <w:pStyle w:val="Heading8"/>
        <w:spacing w:before="119"/>
      </w:pPr>
      <w:r>
        <w:rPr/>
        <w:t>十八、包装要求</w:t>
      </w:r>
    </w:p>
    <w:p>
      <w:pPr>
        <w:pStyle w:val="BodyText"/>
        <w:spacing w:before="6"/>
        <w:rPr>
          <w:rFonts w:ascii="Microsoft JhengHei"/>
          <w:b/>
          <w:sz w:val="19"/>
        </w:rPr>
      </w:pPr>
    </w:p>
    <w:p>
      <w:pPr>
        <w:pStyle w:val="BodyText"/>
        <w:spacing w:line="405" w:lineRule="auto" w:before="1"/>
        <w:ind w:left="389" w:right="330" w:firstLine="479"/>
        <w:jc w:val="both"/>
      </w:pPr>
      <w:r>
        <w:rPr/>
        <w:t>（一</w:t>
      </w:r>
      <w:r>
        <w:rPr>
          <w:spacing w:val="-12"/>
        </w:rPr>
        <w:t>）</w:t>
      </w:r>
      <w:r>
        <w:rPr>
          <w:spacing w:val="-3"/>
        </w:rPr>
        <w:t>除合同另有规定外，乙方提供的全部货物均按标准保护措施进行包装。该</w:t>
      </w:r>
      <w:r>
        <w:rPr>
          <w:spacing w:val="-7"/>
        </w:rPr>
        <w:t>包装应适应于远距离运输、防潮、防震、防锈和防野蛮装卸，以确保货物安全无损运抵指定现场。由于包装不善所引起的货物锈蚀、损坏和损失均由卖方承担。</w:t>
      </w:r>
    </w:p>
    <w:p>
      <w:pPr>
        <w:pStyle w:val="BodyText"/>
        <w:spacing w:before="202"/>
        <w:ind w:left="869"/>
      </w:pPr>
      <w:r>
        <w:rPr/>
        <w:t>（二）每件包装箱内应附一份详细装箱单和质量合格标识。</w:t>
      </w:r>
    </w:p>
    <w:p>
      <w:pPr>
        <w:pStyle w:val="BodyText"/>
        <w:rPr>
          <w:sz w:val="26"/>
        </w:rPr>
      </w:pPr>
    </w:p>
    <w:p>
      <w:pPr>
        <w:pStyle w:val="Heading8"/>
      </w:pPr>
      <w:r>
        <w:rPr/>
        <w:t>十九、装运条件</w:t>
      </w:r>
    </w:p>
    <w:p>
      <w:pPr>
        <w:spacing w:before="106"/>
        <w:ind w:left="54" w:right="0" w:firstLine="0"/>
        <w:jc w:val="center"/>
        <w:rPr>
          <w:rFonts w:ascii="Calibri"/>
          <w:sz w:val="18"/>
        </w:rPr>
      </w:pPr>
      <w:r>
        <w:rPr>
          <w:rFonts w:ascii="Calibri"/>
          <w:sz w:val="18"/>
        </w:rPr>
        <w:t>26</w:t>
      </w:r>
    </w:p>
    <w:p>
      <w:pPr>
        <w:spacing w:after="0"/>
        <w:jc w:val="center"/>
        <w:rPr>
          <w:rFonts w:ascii="Calibri"/>
          <w:sz w:val="18"/>
        </w:rPr>
        <w:sectPr>
          <w:pgSz w:w="11910" w:h="16840"/>
          <w:pgMar w:top="1560" w:bottom="280" w:left="1200" w:right="1140"/>
        </w:sectPr>
      </w:pPr>
    </w:p>
    <w:p>
      <w:pPr>
        <w:pStyle w:val="BodyText"/>
        <w:spacing w:before="39"/>
        <w:ind w:left="869"/>
      </w:pPr>
      <w:r>
        <w:rPr/>
        <w:drawing>
          <wp:anchor distT="0" distB="0" distL="0" distR="0" allowOverlap="1" layoutInCell="1" locked="0" behindDoc="1" simplePos="0" relativeHeight="268350695">
            <wp:simplePos x="0" y="0"/>
            <wp:positionH relativeFrom="page">
              <wp:posOffset>203309</wp:posOffset>
            </wp:positionH>
            <wp:positionV relativeFrom="page">
              <wp:posOffset>944714</wp:posOffset>
            </wp:positionV>
            <wp:extent cx="7115825" cy="9747669"/>
            <wp:effectExtent l="0" t="0" r="0" b="0"/>
            <wp:wrapNone/>
            <wp:docPr id="63" name="image2.jpeg" descr=""/>
            <wp:cNvGraphicFramePr>
              <a:graphicFrameLocks noChangeAspect="1"/>
            </wp:cNvGraphicFramePr>
            <a:graphic>
              <a:graphicData uri="http://schemas.openxmlformats.org/drawingml/2006/picture">
                <pic:pic>
                  <pic:nvPicPr>
                    <pic:cNvPr id="6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736" filled="true" fillcolor="#ffffff" stroked="false">
            <v:fill type="solid"/>
            <w10:wrap type="none"/>
          </v:rect>
        </w:pict>
      </w:r>
      <w:r>
        <w:rPr/>
        <w:t>根据采购人指定地点，乙方负责安排运输，并承担运费。</w:t>
      </w:r>
    </w:p>
    <w:p>
      <w:pPr>
        <w:pStyle w:val="BodyText"/>
        <w:rPr>
          <w:sz w:val="26"/>
        </w:rPr>
      </w:pPr>
    </w:p>
    <w:p>
      <w:pPr>
        <w:pStyle w:val="Heading8"/>
      </w:pPr>
      <w:r>
        <w:rPr/>
        <w:t>二十、付款</w:t>
      </w:r>
    </w:p>
    <w:p>
      <w:pPr>
        <w:pStyle w:val="BodyText"/>
        <w:spacing w:before="9"/>
        <w:rPr>
          <w:rFonts w:ascii="Microsoft JhengHei"/>
          <w:b/>
          <w:sz w:val="19"/>
        </w:rPr>
      </w:pPr>
    </w:p>
    <w:p>
      <w:pPr>
        <w:pStyle w:val="BodyText"/>
        <w:ind w:left="869"/>
      </w:pPr>
      <w:r>
        <w:rPr/>
        <w:t>（一）本合同以人民币付款。</w:t>
      </w:r>
    </w:p>
    <w:p>
      <w:pPr>
        <w:pStyle w:val="BodyText"/>
        <w:rPr>
          <w:sz w:val="32"/>
        </w:rPr>
      </w:pPr>
    </w:p>
    <w:p>
      <w:pPr>
        <w:pStyle w:val="BodyText"/>
        <w:spacing w:line="408" w:lineRule="auto"/>
        <w:ind w:left="389" w:right="207" w:firstLine="479"/>
      </w:pPr>
      <w:r>
        <w:rPr/>
        <w:t>（二</w:t>
      </w:r>
      <w:r>
        <w:rPr>
          <w:spacing w:val="-80"/>
        </w:rPr>
        <w:t>）</w:t>
      </w:r>
      <w:r>
        <w:rPr>
          <w:spacing w:val="-5"/>
        </w:rPr>
        <w:t>乙方应按照与甲方签订的合同规定交货。交货后乙方向甲方提供下列单据， 按合同规定审核后付款：</w:t>
      </w:r>
    </w:p>
    <w:p>
      <w:pPr>
        <w:pStyle w:val="BodyText"/>
        <w:spacing w:before="198"/>
        <w:ind w:left="869"/>
      </w:pPr>
      <w:r>
        <w:rPr/>
        <w:t>1、发票；</w:t>
      </w:r>
    </w:p>
    <w:p>
      <w:pPr>
        <w:pStyle w:val="BodyText"/>
        <w:spacing w:before="3"/>
        <w:rPr>
          <w:sz w:val="32"/>
        </w:rPr>
      </w:pPr>
    </w:p>
    <w:p>
      <w:pPr>
        <w:pStyle w:val="BodyText"/>
        <w:ind w:left="869"/>
      </w:pPr>
      <w:r>
        <w:rPr/>
        <w:t>2、制造厂家出具的质量检验证书等；</w:t>
      </w:r>
    </w:p>
    <w:p>
      <w:pPr>
        <w:pStyle w:val="BodyText"/>
        <w:spacing w:before="2"/>
        <w:rPr>
          <w:sz w:val="32"/>
        </w:rPr>
      </w:pPr>
    </w:p>
    <w:p>
      <w:pPr>
        <w:pStyle w:val="BodyText"/>
        <w:ind w:left="869"/>
      </w:pPr>
      <w:r>
        <w:rPr/>
        <w:t>3、装箱单；</w:t>
      </w:r>
    </w:p>
    <w:p>
      <w:pPr>
        <w:pStyle w:val="BodyText"/>
        <w:spacing w:before="3"/>
        <w:rPr>
          <w:sz w:val="32"/>
        </w:rPr>
      </w:pPr>
    </w:p>
    <w:p>
      <w:pPr>
        <w:pStyle w:val="BodyText"/>
        <w:ind w:left="869"/>
      </w:pPr>
      <w:r>
        <w:rPr/>
        <w:t>4、验收合格证书；</w:t>
      </w:r>
    </w:p>
    <w:p>
      <w:pPr>
        <w:spacing w:line="720" w:lineRule="exact" w:before="76"/>
        <w:ind w:left="871" w:right="2574" w:hanging="3"/>
        <w:jc w:val="left"/>
        <w:rPr>
          <w:rFonts w:ascii="Microsoft JhengHei" w:eastAsia="Microsoft JhengHei" w:hint="eastAsia"/>
          <w:b/>
          <w:sz w:val="24"/>
        </w:rPr>
      </w:pPr>
      <w:r>
        <w:rPr>
          <w:sz w:val="24"/>
        </w:rPr>
        <w:t>5、买方加盖公章证明货物交付使用合格的验收合格报告。</w:t>
      </w:r>
      <w:r>
        <w:rPr>
          <w:rFonts w:ascii="Microsoft JhengHei" w:eastAsia="Microsoft JhengHei" w:hint="eastAsia"/>
          <w:b/>
          <w:sz w:val="24"/>
        </w:rPr>
        <w:t>二十一、伴随服务</w:t>
      </w:r>
    </w:p>
    <w:p>
      <w:pPr>
        <w:pStyle w:val="BodyText"/>
        <w:spacing w:before="6"/>
        <w:rPr>
          <w:rFonts w:ascii="Microsoft JhengHei"/>
          <w:b/>
          <w:sz w:val="18"/>
        </w:rPr>
      </w:pPr>
    </w:p>
    <w:p>
      <w:pPr>
        <w:pStyle w:val="BodyText"/>
        <w:ind w:left="869"/>
      </w:pPr>
      <w:r>
        <w:rPr/>
        <w:t>乙方应按照国家有关规定和合同中所附的服务承诺提供服务，主要包括：</w:t>
      </w:r>
    </w:p>
    <w:p>
      <w:pPr>
        <w:pStyle w:val="BodyText"/>
        <w:spacing w:before="2"/>
        <w:rPr>
          <w:sz w:val="32"/>
        </w:rPr>
      </w:pPr>
    </w:p>
    <w:p>
      <w:pPr>
        <w:pStyle w:val="BodyText"/>
        <w:ind w:left="869"/>
      </w:pPr>
      <w:r>
        <w:rPr/>
        <w:t>（一）货物的现场安装；</w:t>
      </w:r>
    </w:p>
    <w:p>
      <w:pPr>
        <w:pStyle w:val="BodyText"/>
        <w:spacing w:before="3"/>
        <w:rPr>
          <w:sz w:val="32"/>
        </w:rPr>
      </w:pPr>
    </w:p>
    <w:p>
      <w:pPr>
        <w:pStyle w:val="BodyText"/>
        <w:ind w:left="869"/>
      </w:pPr>
      <w:r>
        <w:rPr/>
        <w:t>（二）提供货物组装和维修所需的工具；</w:t>
      </w:r>
    </w:p>
    <w:p>
      <w:pPr>
        <w:pStyle w:val="BodyText"/>
        <w:rPr>
          <w:sz w:val="32"/>
        </w:rPr>
      </w:pPr>
    </w:p>
    <w:p>
      <w:pPr>
        <w:pStyle w:val="BodyText"/>
        <w:spacing w:line="408" w:lineRule="auto"/>
        <w:ind w:left="389" w:right="275" w:firstLine="479"/>
      </w:pPr>
      <w:r>
        <w:rPr/>
        <w:t>（三）在合同中乙方承诺的期限内对所提供货物实施运行监督、维修，该服务并不能免除乙方在质量保证期内应承担的义务；</w:t>
      </w:r>
    </w:p>
    <w:p>
      <w:pPr>
        <w:pStyle w:val="BodyText"/>
        <w:spacing w:before="196"/>
        <w:ind w:left="869"/>
      </w:pPr>
      <w:r>
        <w:rPr/>
        <w:t>（四）在项目交货现场就货物的安装、启动、运行、维护对使用方人员进行培训。</w:t>
      </w:r>
    </w:p>
    <w:p>
      <w:pPr>
        <w:pStyle w:val="BodyText"/>
        <w:rPr>
          <w:sz w:val="26"/>
        </w:rPr>
      </w:pPr>
    </w:p>
    <w:p>
      <w:pPr>
        <w:pStyle w:val="Heading8"/>
      </w:pPr>
      <w:r>
        <w:rPr/>
        <w:t>二十二、质量保证</w:t>
      </w:r>
    </w:p>
    <w:p>
      <w:pPr>
        <w:pStyle w:val="BodyText"/>
        <w:spacing w:before="8"/>
        <w:rPr>
          <w:rFonts w:ascii="Microsoft JhengHei"/>
          <w:b/>
          <w:sz w:val="19"/>
        </w:rPr>
      </w:pPr>
    </w:p>
    <w:p>
      <w:pPr>
        <w:pStyle w:val="BodyText"/>
        <w:ind w:left="869"/>
      </w:pPr>
      <w:r>
        <w:rPr/>
        <w:t>（一）乙方所提供的产品必须符合最新的国家标准和行业标准。</w:t>
      </w:r>
    </w:p>
    <w:p>
      <w:pPr>
        <w:pStyle w:val="BodyText"/>
        <w:rPr>
          <w:sz w:val="20"/>
        </w:rPr>
      </w:pPr>
    </w:p>
    <w:p>
      <w:pPr>
        <w:pStyle w:val="BodyText"/>
        <w:rPr>
          <w:sz w:val="20"/>
        </w:rPr>
      </w:pPr>
    </w:p>
    <w:p>
      <w:pPr>
        <w:pStyle w:val="BodyText"/>
        <w:spacing w:before="12"/>
        <w:rPr>
          <w:sz w:val="26"/>
        </w:rPr>
      </w:pPr>
    </w:p>
    <w:p>
      <w:pPr>
        <w:spacing w:before="64"/>
        <w:ind w:left="49" w:right="0" w:firstLine="0"/>
        <w:jc w:val="center"/>
        <w:rPr>
          <w:rFonts w:ascii="Calibri"/>
          <w:sz w:val="18"/>
        </w:rPr>
      </w:pPr>
      <w:r>
        <w:rPr>
          <w:rFonts w:ascii="Calibri"/>
          <w:sz w:val="18"/>
        </w:rPr>
        <w:t>27</w:t>
      </w:r>
    </w:p>
    <w:p>
      <w:pPr>
        <w:spacing w:after="0"/>
        <w:jc w:val="center"/>
        <w:rPr>
          <w:rFonts w:ascii="Calibri"/>
          <w:sz w:val="18"/>
        </w:rPr>
        <w:sectPr>
          <w:pgSz w:w="11910" w:h="16840"/>
          <w:pgMar w:top="1560" w:bottom="280" w:left="1200" w:right="1140"/>
        </w:sectPr>
      </w:pPr>
    </w:p>
    <w:p>
      <w:pPr>
        <w:pStyle w:val="BodyText"/>
        <w:spacing w:line="405" w:lineRule="auto" w:before="37"/>
        <w:ind w:left="389" w:right="329" w:firstLine="479"/>
        <w:jc w:val="both"/>
      </w:pPr>
      <w:r>
        <w:rPr/>
        <w:drawing>
          <wp:anchor distT="0" distB="0" distL="0" distR="0" allowOverlap="1" layoutInCell="1" locked="0" behindDoc="1" simplePos="0" relativeHeight="268350743">
            <wp:simplePos x="0" y="0"/>
            <wp:positionH relativeFrom="page">
              <wp:posOffset>203309</wp:posOffset>
            </wp:positionH>
            <wp:positionV relativeFrom="page">
              <wp:posOffset>944714</wp:posOffset>
            </wp:positionV>
            <wp:extent cx="7115825" cy="9747669"/>
            <wp:effectExtent l="0" t="0" r="0" b="0"/>
            <wp:wrapNone/>
            <wp:docPr id="65" name="image2.jpeg" descr=""/>
            <wp:cNvGraphicFramePr>
              <a:graphicFrameLocks noChangeAspect="1"/>
            </wp:cNvGraphicFramePr>
            <a:graphic>
              <a:graphicData uri="http://schemas.openxmlformats.org/drawingml/2006/picture">
                <pic:pic>
                  <pic:nvPicPr>
                    <pic:cNvPr id="6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688" filled="true" fillcolor="#ffffff" stroked="false">
            <v:fill type="solid"/>
            <w10:wrap type="none"/>
          </v:rect>
        </w:pict>
      </w:r>
      <w:r>
        <w:rPr/>
        <w:t>（二</w:t>
      </w:r>
      <w:r>
        <w:rPr>
          <w:spacing w:val="-12"/>
        </w:rPr>
        <w:t>）</w:t>
      </w:r>
      <w:r>
        <w:rPr>
          <w:spacing w:val="-3"/>
        </w:rPr>
        <w:t>乙方应保证货物是全新、未使用过的原装合格正品，并完全符合合同规定</w:t>
      </w:r>
      <w:r>
        <w:rPr>
          <w:spacing w:val="-7"/>
        </w:rPr>
        <w:t>的质量、规格和性能。货物在正确安装、正常使用和保养条件下，在其使用寿命内应</w:t>
      </w:r>
      <w:r>
        <w:rPr>
          <w:spacing w:val="-9"/>
        </w:rPr>
        <w:t>具有满意的性能。货物最终验收后，在质量保证期内，对由于设计、工艺或材料缺陷而发生任何不足或故障，乙方应负责并承担相应费用。</w:t>
      </w:r>
    </w:p>
    <w:p>
      <w:pPr>
        <w:pStyle w:val="Heading8"/>
        <w:spacing w:before="124"/>
      </w:pPr>
      <w:r>
        <w:rPr/>
        <w:t>二十三、检验</w:t>
      </w:r>
    </w:p>
    <w:p>
      <w:pPr>
        <w:pStyle w:val="BodyText"/>
        <w:spacing w:before="6"/>
        <w:rPr>
          <w:rFonts w:ascii="Microsoft JhengHei"/>
          <w:b/>
          <w:sz w:val="19"/>
        </w:rPr>
      </w:pPr>
    </w:p>
    <w:p>
      <w:pPr>
        <w:pStyle w:val="BodyText"/>
        <w:spacing w:line="405" w:lineRule="auto"/>
        <w:ind w:left="389" w:right="329" w:firstLine="479"/>
        <w:jc w:val="both"/>
      </w:pPr>
      <w:r>
        <w:rPr/>
        <w:t>（一</w:t>
      </w:r>
      <w:r>
        <w:rPr>
          <w:spacing w:val="-8"/>
        </w:rPr>
        <w:t>）</w:t>
      </w:r>
      <w:r>
        <w:rPr>
          <w:spacing w:val="-5"/>
        </w:rPr>
        <w:t>在发货前，乙方应对货物的质量、规格、性能、数量和重量等进行准确而</w:t>
      </w:r>
      <w:r>
        <w:rPr>
          <w:spacing w:val="-8"/>
        </w:rPr>
        <w:t>全面的检验，并出具一份证明货物符合合同规定的证书。该证书将作为提交付款单据的一部分，但有关质量、规格、性能、数量或重量的检验不应视为最终检验。检验的结果和细节应附在检验证书后面。</w:t>
      </w:r>
    </w:p>
    <w:p>
      <w:pPr>
        <w:pStyle w:val="BodyText"/>
        <w:spacing w:line="405" w:lineRule="auto" w:before="202"/>
        <w:ind w:left="389" w:right="208" w:firstLine="479"/>
      </w:pPr>
      <w:r>
        <w:rPr/>
        <w:t>（二</w:t>
      </w:r>
      <w:r>
        <w:rPr>
          <w:spacing w:val="-80"/>
        </w:rPr>
        <w:t>）</w:t>
      </w:r>
      <w:r>
        <w:rPr>
          <w:spacing w:val="-6"/>
        </w:rPr>
        <w:t>甲方在乙方交货后及时组织验收，如果货物的质量和规格与合同规定相符， </w:t>
      </w:r>
      <w:r>
        <w:rPr>
          <w:spacing w:val="-9"/>
        </w:rPr>
        <w:t>甲方应及时填写验收表，加盖公章后报政府采购中心；如果货物的质量、规格与合同规定不符，或在质量保证期内发现货物是有缺陷的</w:t>
      </w:r>
      <w:r>
        <w:rPr/>
        <w:t>（包括潜在缺陷或使用不符合要求的材料</w:t>
      </w:r>
      <w:r>
        <w:rPr>
          <w:spacing w:val="-12"/>
        </w:rPr>
        <w:t>），</w:t>
      </w:r>
      <w:r>
        <w:rPr>
          <w:spacing w:val="-1"/>
        </w:rPr>
        <w:t>甲方应报请法定检验机构进行检查，有权凭其出具的检验报告向乙方提出索赔，检验报告送政府采购中心备案。</w:t>
      </w:r>
    </w:p>
    <w:p>
      <w:pPr>
        <w:pStyle w:val="Heading8"/>
        <w:spacing w:before="126"/>
      </w:pPr>
      <w:r>
        <w:rPr/>
        <w:t>二十四、索赔</w:t>
      </w:r>
    </w:p>
    <w:p>
      <w:pPr>
        <w:pStyle w:val="BodyText"/>
        <w:spacing w:before="6"/>
        <w:rPr>
          <w:rFonts w:ascii="Microsoft JhengHei"/>
          <w:b/>
          <w:sz w:val="19"/>
        </w:rPr>
      </w:pPr>
    </w:p>
    <w:p>
      <w:pPr>
        <w:pStyle w:val="BodyText"/>
        <w:spacing w:line="405" w:lineRule="auto"/>
        <w:ind w:left="389" w:right="328" w:firstLine="479"/>
        <w:jc w:val="both"/>
      </w:pPr>
      <w:r>
        <w:rPr/>
        <w:t>（一</w:t>
      </w:r>
      <w:r>
        <w:rPr>
          <w:spacing w:val="-12"/>
        </w:rPr>
        <w:t>）</w:t>
      </w:r>
      <w:r>
        <w:rPr>
          <w:spacing w:val="-2"/>
        </w:rPr>
        <w:t>甲方有权根据法定检验机构出具的检验报告，向乙方提出索赔。根据合同</w:t>
      </w:r>
      <w:r>
        <w:rPr>
          <w:spacing w:val="-5"/>
        </w:rPr>
        <w:t>规定的检验期和质量保证期内，如乙方对甲方提出的索赔和差异负有责任，乙方应按照甲方同意的下列一种或多种方式解决索赔事宜：</w:t>
      </w:r>
    </w:p>
    <w:p>
      <w:pPr>
        <w:pStyle w:val="BodyText"/>
        <w:spacing w:line="405" w:lineRule="auto" w:before="201"/>
        <w:ind w:left="389" w:right="276" w:firstLine="479"/>
      </w:pPr>
      <w:r>
        <w:rPr/>
        <w:t>1、乙方同意退货，按合同中规定的货币将货款退还给甲方，并承担由此发生的一切损失和费用，包括利息、银行手续费、运费、保险费、检验费、仓储费、装卸费以及为保护退回货物所需的其它必要费用。</w:t>
      </w:r>
    </w:p>
    <w:p>
      <w:pPr>
        <w:pStyle w:val="BodyText"/>
        <w:spacing w:line="408" w:lineRule="auto" w:before="200"/>
        <w:ind w:left="389" w:right="413" w:firstLine="479"/>
      </w:pPr>
      <w:r>
        <w:rPr/>
        <w:t>2、根据货物的低劣程度、损坏程度以及买方所遭损失的数额，乙方须降低货物的价格。</w:t>
      </w:r>
    </w:p>
    <w:p>
      <w:pPr>
        <w:pStyle w:val="BodyText"/>
        <w:spacing w:before="3"/>
        <w:rPr>
          <w:sz w:val="28"/>
        </w:rPr>
      </w:pPr>
    </w:p>
    <w:p>
      <w:pPr>
        <w:spacing w:before="64"/>
        <w:ind w:left="54" w:right="0" w:firstLine="0"/>
        <w:jc w:val="center"/>
        <w:rPr>
          <w:rFonts w:ascii="Calibri"/>
          <w:sz w:val="18"/>
        </w:rPr>
      </w:pPr>
      <w:r>
        <w:rPr>
          <w:rFonts w:ascii="Calibri"/>
          <w:sz w:val="18"/>
        </w:rPr>
        <w:t>28</w:t>
      </w:r>
    </w:p>
    <w:p>
      <w:pPr>
        <w:spacing w:after="0"/>
        <w:jc w:val="center"/>
        <w:rPr>
          <w:rFonts w:ascii="Calibri"/>
          <w:sz w:val="18"/>
        </w:rPr>
        <w:sectPr>
          <w:pgSz w:w="11910" w:h="16840"/>
          <w:pgMar w:top="1560" w:bottom="280" w:left="1200" w:right="1140"/>
        </w:sectPr>
      </w:pPr>
    </w:p>
    <w:p>
      <w:pPr>
        <w:pStyle w:val="BodyText"/>
        <w:spacing w:line="405" w:lineRule="auto" w:before="37"/>
        <w:ind w:left="389" w:right="275" w:firstLine="479"/>
      </w:pPr>
      <w:r>
        <w:rPr/>
        <w:drawing>
          <wp:anchor distT="0" distB="0" distL="0" distR="0" allowOverlap="1" layoutInCell="1" locked="0" behindDoc="1" simplePos="0" relativeHeight="268350791">
            <wp:simplePos x="0" y="0"/>
            <wp:positionH relativeFrom="page">
              <wp:posOffset>203309</wp:posOffset>
            </wp:positionH>
            <wp:positionV relativeFrom="page">
              <wp:posOffset>944714</wp:posOffset>
            </wp:positionV>
            <wp:extent cx="7115825" cy="9747669"/>
            <wp:effectExtent l="0" t="0" r="0" b="0"/>
            <wp:wrapNone/>
            <wp:docPr id="67" name="image2.jpeg" descr=""/>
            <wp:cNvGraphicFramePr>
              <a:graphicFrameLocks noChangeAspect="1"/>
            </wp:cNvGraphicFramePr>
            <a:graphic>
              <a:graphicData uri="http://schemas.openxmlformats.org/drawingml/2006/picture">
                <pic:pic>
                  <pic:nvPicPr>
                    <pic:cNvPr id="6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640" filled="true" fillcolor="#ffffff" stroked="false">
            <v:fill type="solid"/>
            <w10:wrap type="none"/>
          </v:rect>
        </w:pict>
      </w:r>
      <w:r>
        <w:rPr/>
        <w:t>3、用符合合同规定的规格、质量和性能要求的新零件、部件或设备来更换和或修补有缺陷的部分，乙方应承担一切费用和风险并负担甲方所蒙受的全部直接损失费用。同时应按合同规定对更换和修补件，相应延长质量保证期。</w:t>
      </w:r>
    </w:p>
    <w:p>
      <w:pPr>
        <w:pStyle w:val="BodyText"/>
        <w:spacing w:line="408" w:lineRule="auto" w:before="200"/>
        <w:ind w:left="389" w:right="329" w:firstLine="479"/>
      </w:pPr>
      <w:r>
        <w:rPr/>
        <w:t>（二）</w:t>
      </w:r>
      <w:r>
        <w:rPr>
          <w:spacing w:val="-6"/>
        </w:rPr>
        <w:t>在甲方发出索赔通知后 </w:t>
      </w:r>
      <w:r>
        <w:rPr/>
        <w:t>20</w:t>
      </w:r>
      <w:r>
        <w:rPr>
          <w:spacing w:val="-8"/>
        </w:rPr>
        <w:t> 天内，如乙方未作答复，上述索赔应视为已被</w:t>
      </w:r>
      <w:r>
        <w:rPr>
          <w:spacing w:val="-7"/>
        </w:rPr>
        <w:t>接受，按照本合同规定的任何一种方法解决索赔事宜，甲方将从乙方开具的履约保证金中扣除索赔金额或采用法律手段解决索赔事宜。</w:t>
      </w:r>
    </w:p>
    <w:p>
      <w:pPr>
        <w:pStyle w:val="Heading8"/>
        <w:spacing w:before="117"/>
      </w:pPr>
      <w:r>
        <w:rPr/>
        <w:t>二十五、误期赔偿</w:t>
      </w:r>
    </w:p>
    <w:p>
      <w:pPr>
        <w:pStyle w:val="BodyText"/>
        <w:spacing w:before="6"/>
        <w:rPr>
          <w:rFonts w:ascii="Microsoft JhengHei"/>
          <w:b/>
          <w:sz w:val="19"/>
        </w:rPr>
      </w:pPr>
    </w:p>
    <w:p>
      <w:pPr>
        <w:pStyle w:val="BodyText"/>
        <w:spacing w:line="405" w:lineRule="auto"/>
        <w:ind w:left="389" w:right="327" w:firstLine="479"/>
        <w:jc w:val="both"/>
      </w:pPr>
      <w:r>
        <w:rPr>
          <w:spacing w:val="-4"/>
        </w:rPr>
        <w:t>除合同规定外，如果乙方没有按照合同规定的时间交货和提供服务，甲方将从货</w:t>
      </w:r>
      <w:r>
        <w:rPr>
          <w:spacing w:val="-6"/>
        </w:rPr>
        <w:t>款中扣除误期赔偿费而不影响合同项目的其他补救方法，赔偿费按每周迟交货物交货</w:t>
      </w:r>
      <w:r>
        <w:rPr>
          <w:spacing w:val="-11"/>
        </w:rPr>
        <w:t>价或未提供服务费用的 </w:t>
      </w:r>
      <w:r>
        <w:rPr/>
        <w:t>0.5%</w:t>
      </w:r>
      <w:r>
        <w:rPr>
          <w:spacing w:val="-11"/>
        </w:rPr>
        <w:t>计收，直至交货或提供服务为止，一周按 </w:t>
      </w:r>
      <w:r>
        <w:rPr/>
        <w:t>7</w:t>
      </w:r>
      <w:r>
        <w:rPr>
          <w:spacing w:val="-15"/>
        </w:rPr>
        <w:t> 天计算，不足</w:t>
      </w:r>
    </w:p>
    <w:p>
      <w:pPr>
        <w:pStyle w:val="BodyText"/>
        <w:spacing w:line="405" w:lineRule="auto" w:before="1"/>
        <w:ind w:left="389" w:right="327"/>
      </w:pPr>
      <w:r>
        <w:rPr/>
        <w:t>7</w:t>
      </w:r>
      <w:r>
        <w:rPr>
          <w:spacing w:val="-11"/>
        </w:rPr>
        <w:t> 天按一周计算。但误期赔偿费的最高限为误期货物或服务合同价的 </w:t>
      </w:r>
      <w:r>
        <w:rPr/>
        <w:t>5%</w:t>
      </w:r>
      <w:r>
        <w:rPr>
          <w:spacing w:val="-4"/>
        </w:rPr>
        <w:t>。一旦达到误期赔偿的最高限额，甲方可考虑终止合同。</w:t>
      </w:r>
    </w:p>
    <w:p>
      <w:pPr>
        <w:pStyle w:val="Heading8"/>
        <w:spacing w:before="123"/>
      </w:pPr>
      <w:r>
        <w:rPr/>
        <w:t>二十六、不可抗力</w:t>
      </w:r>
    </w:p>
    <w:p>
      <w:pPr>
        <w:pStyle w:val="BodyText"/>
        <w:spacing w:before="6"/>
        <w:rPr>
          <w:rFonts w:ascii="Microsoft JhengHei"/>
          <w:b/>
          <w:sz w:val="19"/>
        </w:rPr>
      </w:pPr>
    </w:p>
    <w:p>
      <w:pPr>
        <w:pStyle w:val="BodyText"/>
        <w:spacing w:line="405" w:lineRule="auto"/>
        <w:ind w:left="389" w:right="327" w:firstLine="479"/>
        <w:jc w:val="both"/>
      </w:pPr>
      <w:r>
        <w:rPr>
          <w:spacing w:val="-4"/>
        </w:rPr>
        <w:t>在不可抗力事件发生后，乙方应尽快以书面形式将不可抗力的情况和原因通知甲</w:t>
      </w:r>
      <w:r>
        <w:rPr>
          <w:spacing w:val="-6"/>
        </w:rPr>
        <w:t>方，同时应尽实际可能继续履行合同义务，以及寻求采取合理的方案履行不受不可抗</w:t>
      </w:r>
      <w:r>
        <w:rPr>
          <w:spacing w:val="-11"/>
        </w:rPr>
        <w:t>力影响的其他事项。如果不可抗力事件影响时间持续 </w:t>
      </w:r>
      <w:r>
        <w:rPr/>
        <w:t>120</w:t>
      </w:r>
      <w:r>
        <w:rPr>
          <w:spacing w:val="-9"/>
        </w:rPr>
        <w:t> 天以上时，双方应通过友好协商在合理的时间内达成进一步履行合同的协议。</w:t>
      </w:r>
    </w:p>
    <w:p>
      <w:pPr>
        <w:pStyle w:val="Heading8"/>
        <w:spacing w:before="125"/>
      </w:pPr>
      <w:r>
        <w:rPr/>
        <w:t>二十七、税费</w:t>
      </w:r>
    </w:p>
    <w:p>
      <w:pPr>
        <w:pStyle w:val="BodyText"/>
        <w:spacing w:before="6"/>
        <w:rPr>
          <w:rFonts w:ascii="Microsoft JhengHei"/>
          <w:b/>
          <w:sz w:val="19"/>
        </w:rPr>
      </w:pPr>
    </w:p>
    <w:p>
      <w:pPr>
        <w:pStyle w:val="BodyText"/>
        <w:spacing w:line="408" w:lineRule="auto"/>
        <w:ind w:left="389" w:right="293" w:firstLine="479"/>
      </w:pPr>
      <w:r>
        <w:rPr/>
        <w:t>中国政府根据现行税法规定对甲方征收的与本合同有关的一切税费由甲方负担； 规定对乙方征收的与本合同有关的一切税费由乙方负担。</w:t>
      </w:r>
    </w:p>
    <w:p>
      <w:pPr>
        <w:pStyle w:val="Heading8"/>
        <w:spacing w:before="119"/>
      </w:pPr>
      <w:r>
        <w:rPr/>
        <w:t>二十八、履约保证金</w:t>
      </w:r>
    </w:p>
    <w:p>
      <w:pPr>
        <w:pStyle w:val="BodyText"/>
        <w:spacing w:before="2"/>
        <w:rPr>
          <w:rFonts w:ascii="Microsoft JhengHei"/>
          <w:b/>
          <w:sz w:val="21"/>
        </w:rPr>
      </w:pPr>
    </w:p>
    <w:p>
      <w:pPr>
        <w:pStyle w:val="BodyText"/>
        <w:spacing w:line="436" w:lineRule="auto" w:before="1"/>
        <w:ind w:left="389" w:right="274" w:firstLine="479"/>
      </w:pPr>
      <w:r>
        <w:rPr/>
        <w:t>在签订合同前，中标人应按中标价的5%向采购单位交纳履约保证金，该履约保证金在项目验收合格后一次性退还。</w:t>
      </w:r>
    </w:p>
    <w:p>
      <w:pPr>
        <w:spacing w:line="137" w:lineRule="exact" w:before="0"/>
        <w:ind w:left="54" w:right="0" w:firstLine="0"/>
        <w:jc w:val="center"/>
        <w:rPr>
          <w:rFonts w:ascii="Calibri"/>
          <w:sz w:val="18"/>
        </w:rPr>
      </w:pPr>
      <w:r>
        <w:rPr>
          <w:rFonts w:ascii="Calibri"/>
          <w:sz w:val="18"/>
        </w:rPr>
        <w:t>29</w:t>
      </w:r>
    </w:p>
    <w:p>
      <w:pPr>
        <w:spacing w:after="0" w:line="137" w:lineRule="exact"/>
        <w:jc w:val="center"/>
        <w:rPr>
          <w:rFonts w:ascii="Calibri"/>
          <w:sz w:val="18"/>
        </w:rPr>
        <w:sectPr>
          <w:pgSz w:w="11910" w:h="16840"/>
          <w:pgMar w:top="1560" w:bottom="280" w:left="1200" w:right="1140"/>
        </w:sectPr>
      </w:pPr>
    </w:p>
    <w:p>
      <w:pPr>
        <w:pStyle w:val="Heading8"/>
        <w:spacing w:line="402" w:lineRule="exact"/>
      </w:pPr>
      <w:r>
        <w:rPr/>
        <w:drawing>
          <wp:anchor distT="0" distB="0" distL="0" distR="0" allowOverlap="1" layoutInCell="1" locked="0" behindDoc="1" simplePos="0" relativeHeight="268350839">
            <wp:simplePos x="0" y="0"/>
            <wp:positionH relativeFrom="page">
              <wp:posOffset>203309</wp:posOffset>
            </wp:positionH>
            <wp:positionV relativeFrom="page">
              <wp:posOffset>944714</wp:posOffset>
            </wp:positionV>
            <wp:extent cx="7115825" cy="9747669"/>
            <wp:effectExtent l="0" t="0" r="0" b="0"/>
            <wp:wrapNone/>
            <wp:docPr id="69" name="image2.jpeg" descr=""/>
            <wp:cNvGraphicFramePr>
              <a:graphicFrameLocks noChangeAspect="1"/>
            </wp:cNvGraphicFramePr>
            <a:graphic>
              <a:graphicData uri="http://schemas.openxmlformats.org/drawingml/2006/picture">
                <pic:pic>
                  <pic:nvPicPr>
                    <pic:cNvPr id="7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592" filled="true" fillcolor="#ffffff" stroked="false">
            <v:fill type="solid"/>
            <w10:wrap type="none"/>
          </v:rect>
        </w:pict>
      </w:r>
      <w:r>
        <w:rPr/>
        <w:t>二十九、合同争议</w:t>
      </w:r>
    </w:p>
    <w:p>
      <w:pPr>
        <w:pStyle w:val="BodyText"/>
        <w:spacing w:before="6"/>
        <w:rPr>
          <w:rFonts w:ascii="Microsoft JhengHei"/>
          <w:b/>
          <w:sz w:val="19"/>
        </w:rPr>
      </w:pPr>
    </w:p>
    <w:p>
      <w:pPr>
        <w:pStyle w:val="BodyText"/>
        <w:spacing w:line="405" w:lineRule="auto"/>
        <w:ind w:left="389" w:right="331" w:firstLine="479"/>
        <w:jc w:val="both"/>
      </w:pPr>
      <w:r>
        <w:rPr>
          <w:spacing w:val="-3"/>
        </w:rPr>
        <w:t>甲乙双方应通过友好协商，解决在执行本合同中所发生的或与本合同有关的一切</w:t>
      </w:r>
      <w:r>
        <w:rPr>
          <w:spacing w:val="-7"/>
        </w:rPr>
        <w:t>争议。如果协商仍得不到解决，任何一方均可按“中华人民共和国合同法”规定提交调解和仲裁。</w:t>
      </w:r>
    </w:p>
    <w:p>
      <w:pPr>
        <w:pStyle w:val="Heading8"/>
        <w:spacing w:before="123"/>
      </w:pPr>
      <w:r>
        <w:rPr/>
        <w:t>三十、适用法律</w:t>
      </w:r>
    </w:p>
    <w:p>
      <w:pPr>
        <w:pStyle w:val="BodyText"/>
        <w:spacing w:before="8"/>
        <w:rPr>
          <w:rFonts w:ascii="Microsoft JhengHei"/>
          <w:b/>
          <w:sz w:val="19"/>
        </w:rPr>
      </w:pPr>
    </w:p>
    <w:p>
      <w:pPr>
        <w:pStyle w:val="BodyText"/>
        <w:tabs>
          <w:tab w:pos="3989" w:val="left" w:leader="none"/>
        </w:tabs>
        <w:spacing w:line="561" w:lineRule="auto" w:before="1"/>
        <w:ind w:left="1109" w:right="3175" w:hanging="240"/>
      </w:pPr>
      <w:r>
        <w:rPr/>
        <w:t>本合同应按照中华人民共和国的现行法律进行解释。甲方：</w:t>
      </w:r>
      <w:r>
        <w:rPr>
          <w:u w:val="single"/>
        </w:rPr>
        <w:t> </w:t>
        <w:tab/>
      </w:r>
      <w:r>
        <w:rPr/>
        <w:t>（盖章）</w:t>
      </w:r>
    </w:p>
    <w:p>
      <w:pPr>
        <w:pStyle w:val="BodyText"/>
        <w:tabs>
          <w:tab w:pos="5845" w:val="left" w:leader="none"/>
        </w:tabs>
        <w:spacing w:before="1"/>
        <w:ind w:left="1109"/>
        <w:rPr>
          <w:rFonts w:ascii="Times New Roman" w:eastAsia="Times New Roman"/>
        </w:rPr>
      </w:pPr>
      <w:r>
        <w:rPr/>
        <w:t>地址：</w:t>
      </w:r>
      <w:r>
        <w:rPr>
          <w:rFonts w:ascii="Times New Roman" w:eastAsia="Times New Roman"/>
          <w:u w:val="single"/>
        </w:rPr>
        <w:t> </w:t>
        <w:tab/>
      </w:r>
    </w:p>
    <w:p>
      <w:pPr>
        <w:pStyle w:val="BodyText"/>
        <w:spacing w:before="5"/>
        <w:rPr>
          <w:rFonts w:ascii="Times New Roman"/>
          <w:sz w:val="29"/>
        </w:rPr>
      </w:pPr>
    </w:p>
    <w:p>
      <w:pPr>
        <w:pStyle w:val="BodyText"/>
        <w:tabs>
          <w:tab w:pos="5005" w:val="left" w:leader="none"/>
        </w:tabs>
        <w:spacing w:before="74"/>
        <w:ind w:left="1109"/>
        <w:rPr>
          <w:rFonts w:ascii="Times New Roman" w:eastAsia="Times New Roman"/>
        </w:rPr>
      </w:pPr>
      <w:r>
        <w:rPr/>
        <w:t>法定（授权）代表人：</w:t>
      </w:r>
      <w:r>
        <w:rPr>
          <w:rFonts w:ascii="Times New Roman" w:eastAsia="Times New Roman"/>
          <w:u w:val="single"/>
        </w:rPr>
        <w:t> </w:t>
        <w:tab/>
      </w:r>
    </w:p>
    <w:p>
      <w:pPr>
        <w:pStyle w:val="BodyText"/>
        <w:spacing w:before="5"/>
        <w:rPr>
          <w:rFonts w:ascii="Times New Roman"/>
          <w:sz w:val="29"/>
        </w:rPr>
      </w:pPr>
    </w:p>
    <w:p>
      <w:pPr>
        <w:pStyle w:val="BodyText"/>
        <w:tabs>
          <w:tab w:pos="4164" w:val="left" w:leader="none"/>
        </w:tabs>
        <w:spacing w:before="74"/>
        <w:ind w:left="1469"/>
        <w:rPr>
          <w:rFonts w:ascii="Times New Roman" w:eastAsia="Times New Roman"/>
        </w:rPr>
      </w:pPr>
      <w:r>
        <w:rPr/>
        <w:t>联系人：</w:t>
      </w:r>
      <w:r>
        <w:rPr>
          <w:rFonts w:ascii="Times New Roman" w:eastAsia="Times New Roman"/>
          <w:u w:val="single"/>
        </w:rPr>
        <w:t> </w:t>
        <w:tab/>
      </w:r>
    </w:p>
    <w:p>
      <w:pPr>
        <w:pStyle w:val="BodyText"/>
        <w:spacing w:before="6"/>
        <w:rPr>
          <w:rFonts w:ascii="Times New Roman"/>
          <w:sz w:val="29"/>
        </w:rPr>
      </w:pPr>
    </w:p>
    <w:p>
      <w:pPr>
        <w:pStyle w:val="BodyText"/>
        <w:tabs>
          <w:tab w:pos="4044" w:val="left" w:leader="none"/>
        </w:tabs>
        <w:spacing w:before="74"/>
        <w:ind w:left="1109"/>
        <w:rPr>
          <w:rFonts w:ascii="Times New Roman" w:eastAsia="Times New Roman"/>
        </w:rPr>
      </w:pPr>
      <w:r>
        <w:rPr/>
        <w:t>联系电话：</w:t>
      </w:r>
      <w:r>
        <w:rPr>
          <w:rFonts w:ascii="Times New Roman" w:eastAsia="Times New Roman"/>
          <w:u w:val="single"/>
        </w:rPr>
        <w:t> </w:t>
        <w:tab/>
      </w:r>
    </w:p>
    <w:p>
      <w:pPr>
        <w:pStyle w:val="BodyText"/>
        <w:spacing w:before="5"/>
        <w:rPr>
          <w:rFonts w:ascii="Times New Roman"/>
          <w:sz w:val="29"/>
        </w:rPr>
      </w:pPr>
    </w:p>
    <w:p>
      <w:pPr>
        <w:pStyle w:val="BodyText"/>
        <w:tabs>
          <w:tab w:pos="2638" w:val="left" w:leader="none"/>
          <w:tab w:pos="3358" w:val="left" w:leader="none"/>
        </w:tabs>
        <w:spacing w:before="74"/>
        <w:ind w:left="1078"/>
      </w:pPr>
      <w:r>
        <w:rPr/>
        <w:t>二</w:t>
      </w:r>
      <w:r>
        <w:rPr>
          <w:spacing w:val="-60"/>
        </w:rPr>
        <w:t> </w:t>
      </w:r>
      <w:r>
        <w:rPr/>
        <w:t>0</w:t>
      </w:r>
      <w:r>
        <w:rPr>
          <w:spacing w:val="-60"/>
        </w:rPr>
        <w:t> </w:t>
      </w:r>
      <w:r>
        <w:rPr/>
        <w:t>一七年</w:t>
      </w:r>
      <w:r>
        <w:rPr>
          <w:u w:val="single"/>
        </w:rPr>
        <w:t> </w:t>
        <w:tab/>
      </w:r>
      <w:r>
        <w:rPr/>
        <w:t>月</w:t>
      </w:r>
      <w:r>
        <w:rPr>
          <w:u w:val="single"/>
        </w:rPr>
        <w:t> </w:t>
        <w:tab/>
      </w:r>
      <w:r>
        <w:rPr/>
        <w:t>日</w:t>
      </w:r>
    </w:p>
    <w:p>
      <w:pPr>
        <w:pStyle w:val="BodyText"/>
        <w:spacing w:before="2"/>
        <w:rPr>
          <w:sz w:val="32"/>
        </w:rPr>
      </w:pPr>
    </w:p>
    <w:p>
      <w:pPr>
        <w:pStyle w:val="BodyText"/>
        <w:tabs>
          <w:tab w:pos="3869" w:val="left" w:leader="none"/>
        </w:tabs>
        <w:ind w:left="989"/>
      </w:pPr>
      <w:r>
        <w:rPr/>
        <w:t>乙方：</w:t>
      </w:r>
      <w:r>
        <w:rPr>
          <w:u w:val="single"/>
        </w:rPr>
        <w:t> </w:t>
        <w:tab/>
      </w:r>
      <w:r>
        <w:rPr/>
        <w:t>（盖章）</w:t>
      </w:r>
    </w:p>
    <w:p>
      <w:pPr>
        <w:pStyle w:val="BodyText"/>
        <w:spacing w:before="2"/>
        <w:rPr>
          <w:sz w:val="32"/>
        </w:rPr>
      </w:pPr>
    </w:p>
    <w:p>
      <w:pPr>
        <w:pStyle w:val="BodyText"/>
        <w:tabs>
          <w:tab w:pos="5725" w:val="left" w:leader="none"/>
        </w:tabs>
        <w:spacing w:before="1"/>
        <w:ind w:left="989"/>
        <w:rPr>
          <w:rFonts w:ascii="Times New Roman" w:eastAsia="Times New Roman"/>
        </w:rPr>
      </w:pPr>
      <w:r>
        <w:rPr/>
        <w:t>地址：</w:t>
      </w:r>
      <w:r>
        <w:rPr>
          <w:rFonts w:ascii="Times New Roman" w:eastAsia="Times New Roman"/>
          <w:u w:val="single"/>
        </w:rPr>
        <w:t> </w:t>
        <w:tab/>
      </w:r>
    </w:p>
    <w:p>
      <w:pPr>
        <w:pStyle w:val="BodyText"/>
        <w:spacing w:before="5"/>
        <w:rPr>
          <w:rFonts w:ascii="Times New Roman"/>
          <w:sz w:val="29"/>
        </w:rPr>
      </w:pPr>
    </w:p>
    <w:p>
      <w:pPr>
        <w:pStyle w:val="BodyText"/>
        <w:tabs>
          <w:tab w:pos="4885" w:val="left" w:leader="none"/>
        </w:tabs>
        <w:spacing w:before="74"/>
        <w:ind w:left="989"/>
        <w:rPr>
          <w:rFonts w:ascii="Times New Roman" w:eastAsia="Times New Roman"/>
        </w:rPr>
      </w:pPr>
      <w:r>
        <w:rPr/>
        <w:t>法定（授权）代表人：</w:t>
      </w:r>
      <w:r>
        <w:rPr>
          <w:rFonts w:ascii="Times New Roman" w:eastAsia="Times New Roman"/>
          <w:u w:val="single"/>
        </w:rPr>
        <w:t> </w:t>
        <w:tab/>
      </w:r>
    </w:p>
    <w:p>
      <w:pPr>
        <w:pStyle w:val="BodyText"/>
        <w:spacing w:before="5"/>
        <w:rPr>
          <w:rFonts w:ascii="Times New Roman"/>
          <w:sz w:val="29"/>
        </w:rPr>
      </w:pPr>
    </w:p>
    <w:p>
      <w:pPr>
        <w:pStyle w:val="BodyText"/>
        <w:tabs>
          <w:tab w:pos="3444" w:val="left" w:leader="none"/>
        </w:tabs>
        <w:spacing w:before="74"/>
        <w:ind w:left="989"/>
        <w:rPr>
          <w:rFonts w:ascii="Times New Roman" w:eastAsia="Times New Roman"/>
        </w:rPr>
      </w:pPr>
      <w:r>
        <w:rPr/>
        <w:t>联系人：</w:t>
      </w:r>
      <w:r>
        <w:rPr>
          <w:rFonts w:ascii="Times New Roman" w:eastAsia="Times New Roman"/>
          <w:u w:val="single"/>
        </w:rPr>
        <w:t> </w:t>
        <w:tab/>
      </w:r>
    </w:p>
    <w:p>
      <w:pPr>
        <w:pStyle w:val="BodyText"/>
        <w:spacing w:before="5"/>
        <w:rPr>
          <w:rFonts w:ascii="Times New Roman"/>
          <w:sz w:val="29"/>
        </w:rPr>
      </w:pPr>
    </w:p>
    <w:p>
      <w:pPr>
        <w:pStyle w:val="BodyText"/>
        <w:tabs>
          <w:tab w:pos="3684" w:val="left" w:leader="none"/>
        </w:tabs>
        <w:spacing w:before="74"/>
        <w:ind w:left="989"/>
        <w:rPr>
          <w:rFonts w:ascii="Times New Roman" w:eastAsia="Times New Roman"/>
        </w:rPr>
      </w:pPr>
      <w:r>
        <w:rPr/>
        <w:t>联系电话：</w:t>
      </w:r>
      <w:r>
        <w:rPr>
          <w:rFonts w:ascii="Times New Roman" w:eastAsia="Times New Roman"/>
          <w:u w:val="single"/>
        </w:rPr>
        <w:t> </w:t>
        <w:tab/>
      </w:r>
    </w:p>
    <w:p>
      <w:pPr>
        <w:pStyle w:val="BodyText"/>
        <w:spacing w:before="5"/>
        <w:rPr>
          <w:rFonts w:ascii="Times New Roman"/>
          <w:sz w:val="29"/>
        </w:rPr>
      </w:pPr>
    </w:p>
    <w:p>
      <w:pPr>
        <w:pStyle w:val="BodyText"/>
        <w:tabs>
          <w:tab w:pos="2520" w:val="left" w:leader="none"/>
          <w:tab w:pos="3240" w:val="left" w:leader="none"/>
        </w:tabs>
        <w:spacing w:before="74"/>
        <w:ind w:left="960"/>
      </w:pPr>
      <w:r>
        <w:rPr/>
        <w:t>二</w:t>
      </w:r>
      <w:r>
        <w:rPr>
          <w:spacing w:val="-60"/>
        </w:rPr>
        <w:t> </w:t>
      </w:r>
      <w:r>
        <w:rPr/>
        <w:t>0</w:t>
      </w:r>
      <w:r>
        <w:rPr>
          <w:spacing w:val="-60"/>
        </w:rPr>
        <w:t> </w:t>
      </w:r>
      <w:r>
        <w:rPr/>
        <w:t>一七年</w:t>
      </w:r>
      <w:r>
        <w:rPr>
          <w:u w:val="single"/>
        </w:rPr>
        <w:t> </w:t>
        <w:tab/>
      </w:r>
      <w:r>
        <w:rPr/>
        <w:t>月</w:t>
      </w:r>
      <w:r>
        <w:rPr>
          <w:u w:val="single"/>
        </w:rPr>
        <w:t> </w:t>
        <w:tab/>
      </w:r>
      <w:r>
        <w:rPr/>
        <w:t>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spacing w:before="64"/>
        <w:ind w:left="54" w:right="0" w:firstLine="0"/>
        <w:jc w:val="center"/>
        <w:rPr>
          <w:rFonts w:ascii="Calibri"/>
          <w:sz w:val="18"/>
        </w:rPr>
      </w:pPr>
      <w:r>
        <w:rPr>
          <w:rFonts w:ascii="Calibri"/>
          <w:sz w:val="18"/>
        </w:rPr>
        <w:t>30</w:t>
      </w:r>
    </w:p>
    <w:p>
      <w:pPr>
        <w:spacing w:after="0"/>
        <w:jc w:val="center"/>
        <w:rPr>
          <w:rFonts w:ascii="Calibri"/>
          <w:sz w:val="18"/>
        </w:rPr>
        <w:sectPr>
          <w:pgSz w:w="11910" w:h="16840"/>
          <w:pgMar w:top="1560" w:bottom="280" w:left="1200" w:right="1140"/>
        </w:sectPr>
      </w:pPr>
    </w:p>
    <w:p>
      <w:pPr>
        <w:pStyle w:val="Heading1"/>
        <w:tabs>
          <w:tab w:pos="4589" w:val="left" w:leader="none"/>
        </w:tabs>
        <w:ind w:left="2381"/>
      </w:pPr>
      <w:r>
        <w:rPr/>
        <w:drawing>
          <wp:anchor distT="0" distB="0" distL="0" distR="0" allowOverlap="1" layoutInCell="1" locked="0" behindDoc="1" simplePos="0" relativeHeight="268350887">
            <wp:simplePos x="0" y="0"/>
            <wp:positionH relativeFrom="page">
              <wp:posOffset>203309</wp:posOffset>
            </wp:positionH>
            <wp:positionV relativeFrom="page">
              <wp:posOffset>944714</wp:posOffset>
            </wp:positionV>
            <wp:extent cx="7115825" cy="9747669"/>
            <wp:effectExtent l="0" t="0" r="0" b="0"/>
            <wp:wrapNone/>
            <wp:docPr id="71" name="image2.jpeg" descr=""/>
            <wp:cNvGraphicFramePr>
              <a:graphicFrameLocks noChangeAspect="1"/>
            </wp:cNvGraphicFramePr>
            <a:graphic>
              <a:graphicData uri="http://schemas.openxmlformats.org/drawingml/2006/picture">
                <pic:pic>
                  <pic:nvPicPr>
                    <pic:cNvPr id="7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544" filled="true" fillcolor="#ffffff" stroked="false">
            <v:fill type="solid"/>
            <w10:wrap type="none"/>
          </v:rect>
        </w:pict>
      </w:r>
      <w:bookmarkStart w:name="_TOC_250019" w:id="31"/>
      <w:bookmarkStart w:name="第六部分  投标文件格式" w:id="32"/>
      <w:r>
        <w:rPr>
          <w:b w:val="0"/>
        </w:rPr>
      </w:r>
      <w:bookmarkEnd w:id="31"/>
      <w:r>
        <w:rPr/>
        <w:t>第六部分</w:t>
        <w:tab/>
        <w:t>投标文件格式</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8"/>
        <w:rPr>
          <w:rFonts w:ascii="Microsoft JhengHei"/>
          <w:b/>
          <w:sz w:val="18"/>
        </w:rPr>
      </w:pPr>
    </w:p>
    <w:p>
      <w:pPr>
        <w:spacing w:before="63"/>
        <w:ind w:left="54" w:right="0" w:firstLine="0"/>
        <w:jc w:val="center"/>
        <w:rPr>
          <w:rFonts w:ascii="Calibri"/>
          <w:sz w:val="18"/>
        </w:rPr>
      </w:pPr>
      <w:r>
        <w:rPr>
          <w:rFonts w:ascii="Calibri"/>
          <w:sz w:val="18"/>
        </w:rPr>
        <w:t>31</w:t>
      </w:r>
    </w:p>
    <w:p>
      <w:pPr>
        <w:spacing w:after="0"/>
        <w:jc w:val="center"/>
        <w:rPr>
          <w:rFonts w:ascii="Calibri"/>
          <w:sz w:val="18"/>
        </w:rPr>
        <w:sectPr>
          <w:pgSz w:w="11910" w:h="16840"/>
          <w:pgMar w:top="1440" w:bottom="280" w:left="1200" w:right="1140"/>
        </w:sectPr>
      </w:pPr>
    </w:p>
    <w:p>
      <w:pPr>
        <w:pStyle w:val="Heading2"/>
      </w:pPr>
      <w:r>
        <w:rPr/>
        <w:drawing>
          <wp:anchor distT="0" distB="0" distL="0" distR="0" allowOverlap="1" layoutInCell="1" locked="0" behindDoc="1" simplePos="0" relativeHeight="268350935">
            <wp:simplePos x="0" y="0"/>
            <wp:positionH relativeFrom="page">
              <wp:posOffset>203309</wp:posOffset>
            </wp:positionH>
            <wp:positionV relativeFrom="page">
              <wp:posOffset>944714</wp:posOffset>
            </wp:positionV>
            <wp:extent cx="7115825" cy="9747669"/>
            <wp:effectExtent l="0" t="0" r="0" b="0"/>
            <wp:wrapNone/>
            <wp:docPr id="73" name="image2.jpeg" descr=""/>
            <wp:cNvGraphicFramePr>
              <a:graphicFrameLocks noChangeAspect="1"/>
            </wp:cNvGraphicFramePr>
            <a:graphic>
              <a:graphicData uri="http://schemas.openxmlformats.org/drawingml/2006/picture">
                <pic:pic>
                  <pic:nvPicPr>
                    <pic:cNvPr id="7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496" filled="true" fillcolor="#ffffff" stroked="false">
            <v:fill type="solid"/>
            <w10:wrap type="none"/>
          </v:rect>
        </w:pict>
      </w:r>
      <w:bookmarkStart w:name="_TOC_250018" w:id="33"/>
      <w:bookmarkStart w:name="封面" w:id="34"/>
      <w:r>
        <w:rPr>
          <w:b w:val="0"/>
        </w:rPr>
      </w:r>
      <w:bookmarkEnd w:id="33"/>
      <w:r>
        <w:rPr/>
        <w:t>封面</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4"/>
        <w:rPr>
          <w:rFonts w:ascii="Microsoft JhengHei"/>
          <w:b/>
          <w:sz w:val="23"/>
        </w:rPr>
      </w:pPr>
    </w:p>
    <w:p>
      <w:pPr>
        <w:tabs>
          <w:tab w:pos="3600" w:val="left" w:leader="none"/>
          <w:tab w:pos="6462" w:val="left" w:leader="none"/>
        </w:tabs>
        <w:spacing w:before="38"/>
        <w:ind w:left="2720" w:right="0" w:firstLine="0"/>
        <w:jc w:val="left"/>
        <w:rPr>
          <w:sz w:val="44"/>
        </w:rPr>
      </w:pPr>
      <w:r>
        <w:rPr>
          <w:sz w:val="44"/>
          <w:u w:val="thick"/>
        </w:rPr>
        <w:t>（</w:t>
        <w:tab/>
        <w:t>分 包</w:t>
      </w:r>
      <w:r>
        <w:rPr>
          <w:spacing w:val="-1"/>
          <w:sz w:val="44"/>
          <w:u w:val="thick"/>
        </w:rPr>
        <w:t> </w:t>
      </w:r>
      <w:r>
        <w:rPr>
          <w:sz w:val="44"/>
          <w:u w:val="thick"/>
        </w:rPr>
        <w:t>名</w:t>
      </w:r>
      <w:r>
        <w:rPr>
          <w:spacing w:val="-1"/>
          <w:sz w:val="44"/>
          <w:u w:val="thick"/>
        </w:rPr>
        <w:t> </w:t>
      </w:r>
      <w:r>
        <w:rPr>
          <w:sz w:val="44"/>
          <w:u w:val="thick"/>
        </w:rPr>
        <w:t>称</w:t>
        <w:tab/>
        <w:t>）</w:t>
      </w:r>
    </w:p>
    <w:p>
      <w:pPr>
        <w:pStyle w:val="BodyText"/>
        <w:rPr>
          <w:sz w:val="20"/>
        </w:rPr>
      </w:pPr>
    </w:p>
    <w:p>
      <w:pPr>
        <w:pStyle w:val="BodyText"/>
        <w:rPr>
          <w:sz w:val="20"/>
        </w:rPr>
      </w:pPr>
    </w:p>
    <w:p>
      <w:pPr>
        <w:pStyle w:val="BodyText"/>
        <w:rPr>
          <w:sz w:val="20"/>
        </w:rPr>
      </w:pPr>
    </w:p>
    <w:p>
      <w:pPr>
        <w:pStyle w:val="BodyText"/>
        <w:spacing w:before="1"/>
        <w:rPr>
          <w:sz w:val="16"/>
        </w:rPr>
      </w:pPr>
    </w:p>
    <w:p>
      <w:pPr>
        <w:tabs>
          <w:tab w:pos="3910" w:val="left" w:leader="none"/>
          <w:tab w:pos="6070" w:val="left" w:leader="none"/>
        </w:tabs>
        <w:spacing w:line="922" w:lineRule="exact" w:before="0"/>
        <w:ind w:left="2830" w:right="0" w:firstLine="0"/>
        <w:jc w:val="left"/>
        <w:rPr>
          <w:sz w:val="72"/>
        </w:rPr>
      </w:pPr>
      <w:r>
        <w:rPr>
          <w:sz w:val="72"/>
        </w:rPr>
        <w:t>投</w:t>
        <w:tab/>
        <w:t>标 文</w:t>
        <w:tab/>
        <w:t>件</w:t>
      </w: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spacing w:before="5"/>
        <w:rPr>
          <w:sz w:val="89"/>
        </w:rPr>
      </w:pPr>
    </w:p>
    <w:p>
      <w:pPr>
        <w:pStyle w:val="Heading7"/>
        <w:ind w:left="2909"/>
      </w:pPr>
      <w:r>
        <w:rPr/>
        <w:t>投标人： （电子印章）</w:t>
      </w:r>
    </w:p>
    <w:p>
      <w:pPr>
        <w:pStyle w:val="BodyText"/>
        <w:spacing w:before="9"/>
        <w:rPr>
          <w:sz w:val="20"/>
        </w:rPr>
      </w:pPr>
    </w:p>
    <w:p>
      <w:pPr>
        <w:pStyle w:val="Heading7"/>
        <w:tabs>
          <w:tab w:pos="4308" w:val="left" w:leader="none"/>
          <w:tab w:pos="5149" w:val="left" w:leader="none"/>
        </w:tabs>
        <w:spacing w:line="417" w:lineRule="auto"/>
        <w:ind w:left="3469" w:right="3153" w:hanging="560"/>
      </w:pPr>
      <w:r>
        <w:rPr/>
        <w:t>法定代表</w:t>
      </w:r>
      <w:r>
        <w:rPr>
          <w:spacing w:val="-3"/>
        </w:rPr>
        <w:t>人</w:t>
      </w:r>
      <w:r>
        <w:rPr/>
        <w:t>：</w:t>
      </w:r>
      <w:r>
        <w:rPr>
          <w:spacing w:val="7"/>
        </w:rPr>
        <w:t> </w:t>
      </w:r>
      <w:r>
        <w:rPr>
          <w:spacing w:val="-3"/>
        </w:rPr>
        <w:t>（</w:t>
      </w:r>
      <w:r>
        <w:rPr/>
        <w:t>电子签</w:t>
      </w:r>
      <w:r>
        <w:rPr>
          <w:spacing w:val="-3"/>
        </w:rPr>
        <w:t>章</w:t>
      </w:r>
      <w:r>
        <w:rPr/>
        <w:t>） 年</w:t>
        <w:tab/>
        <w:t>月</w:t>
        <w:tab/>
        <w:t>日</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64"/>
        <w:ind w:left="54" w:right="0" w:firstLine="0"/>
        <w:jc w:val="center"/>
        <w:rPr>
          <w:rFonts w:ascii="Calibri"/>
          <w:sz w:val="18"/>
        </w:rPr>
      </w:pPr>
      <w:r>
        <w:rPr>
          <w:rFonts w:ascii="Calibri"/>
          <w:sz w:val="18"/>
        </w:rPr>
        <w:t>32</w:t>
      </w:r>
    </w:p>
    <w:p>
      <w:pPr>
        <w:spacing w:after="0"/>
        <w:jc w:val="center"/>
        <w:rPr>
          <w:rFonts w:ascii="Calibri"/>
          <w:sz w:val="18"/>
        </w:rPr>
        <w:sectPr>
          <w:pgSz w:w="11910" w:h="16840"/>
          <w:pgMar w:top="1500" w:bottom="280" w:left="1200" w:right="1140"/>
        </w:sectPr>
      </w:pPr>
    </w:p>
    <w:p>
      <w:pPr>
        <w:pStyle w:val="Heading2"/>
        <w:ind w:left="54"/>
        <w:jc w:val="center"/>
      </w:pPr>
      <w:r>
        <w:rPr/>
        <w:drawing>
          <wp:anchor distT="0" distB="0" distL="0" distR="0" allowOverlap="1" layoutInCell="1" locked="0" behindDoc="1" simplePos="0" relativeHeight="268350983">
            <wp:simplePos x="0" y="0"/>
            <wp:positionH relativeFrom="page">
              <wp:posOffset>203309</wp:posOffset>
            </wp:positionH>
            <wp:positionV relativeFrom="page">
              <wp:posOffset>944714</wp:posOffset>
            </wp:positionV>
            <wp:extent cx="7115825" cy="9747669"/>
            <wp:effectExtent l="0" t="0" r="0" b="0"/>
            <wp:wrapNone/>
            <wp:docPr id="75" name="image2.jpeg" descr=""/>
            <wp:cNvGraphicFramePr>
              <a:graphicFrameLocks noChangeAspect="1"/>
            </wp:cNvGraphicFramePr>
            <a:graphic>
              <a:graphicData uri="http://schemas.openxmlformats.org/drawingml/2006/picture">
                <pic:pic>
                  <pic:nvPicPr>
                    <pic:cNvPr id="7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448" filled="true" fillcolor="#ffffff" stroked="false">
            <v:fill type="solid"/>
            <w10:wrap type="none"/>
          </v:rect>
        </w:pict>
      </w:r>
      <w:bookmarkStart w:name="_TOC_250017" w:id="35"/>
      <w:bookmarkStart w:name="目录" w:id="36"/>
      <w:r>
        <w:rPr>
          <w:b w:val="0"/>
        </w:rPr>
      </w:r>
      <w:bookmarkEnd w:id="35"/>
      <w:r>
        <w:rPr/>
        <w:t>目录</w:t>
      </w:r>
    </w:p>
    <w:p>
      <w:pPr>
        <w:pStyle w:val="BodyText"/>
        <w:spacing w:line="463" w:lineRule="auto" w:before="36"/>
        <w:ind w:left="389" w:right="7015"/>
      </w:pPr>
      <w:r>
        <w:rPr/>
        <w:t>一、投标人基本情况二、投标人资质</w:t>
      </w:r>
    </w:p>
    <w:p>
      <w:pPr>
        <w:pStyle w:val="BodyText"/>
        <w:spacing w:line="463" w:lineRule="auto"/>
        <w:ind w:left="389" w:right="6535"/>
        <w:jc w:val="both"/>
      </w:pPr>
      <w:r>
        <w:rPr/>
        <w:t>三、投标人财务状况报告四、无重大违法行为声明五、投标函</w:t>
      </w:r>
    </w:p>
    <w:p>
      <w:pPr>
        <w:pStyle w:val="BodyText"/>
        <w:spacing w:line="463" w:lineRule="auto"/>
        <w:ind w:left="389" w:right="5095"/>
      </w:pPr>
      <w:r>
        <w:rPr/>
        <w:t>六、法定代表人身份证明或授权委托书七、开标一览表</w:t>
      </w:r>
    </w:p>
    <w:p>
      <w:pPr>
        <w:pStyle w:val="BodyText"/>
        <w:spacing w:line="460" w:lineRule="auto"/>
        <w:ind w:left="389" w:right="7495"/>
        <w:jc w:val="both"/>
      </w:pPr>
      <w:r>
        <w:rPr/>
        <w:t>八、明细报价表九、投标保证金十、响应偏差表</w:t>
      </w:r>
    </w:p>
    <w:p>
      <w:pPr>
        <w:pStyle w:val="BodyText"/>
        <w:spacing w:line="460" w:lineRule="auto"/>
        <w:ind w:left="389" w:right="5575"/>
      </w:pPr>
      <w:r>
        <w:rPr/>
        <w:t>十一、所投产品技术资料或样本等十二、主要部件、辅材明细表</w:t>
      </w:r>
    </w:p>
    <w:p>
      <w:pPr>
        <w:pStyle w:val="BodyText"/>
        <w:ind w:left="389"/>
      </w:pPr>
      <w:r>
        <w:rPr/>
        <w:t>十三、项目实施方案</w:t>
      </w:r>
    </w:p>
    <w:p>
      <w:pPr>
        <w:pStyle w:val="BodyText"/>
        <w:spacing w:before="2"/>
        <w:rPr>
          <w:sz w:val="22"/>
        </w:rPr>
      </w:pPr>
    </w:p>
    <w:p>
      <w:pPr>
        <w:pStyle w:val="BodyText"/>
        <w:spacing w:line="460" w:lineRule="auto"/>
        <w:ind w:left="389" w:right="5815"/>
      </w:pPr>
      <w:r>
        <w:rPr/>
        <w:t>十四、质量保证及售后服务方案十五、项目组人员</w:t>
      </w:r>
    </w:p>
    <w:p>
      <w:pPr>
        <w:pStyle w:val="BodyText"/>
        <w:spacing w:line="463" w:lineRule="auto" w:before="3"/>
        <w:ind w:left="389" w:right="5095"/>
      </w:pPr>
      <w:r>
        <w:rPr/>
        <w:t>十六、投标人承担类似项目业绩一览表十七、投标所需其他材料</w:t>
      </w:r>
    </w:p>
    <w:p>
      <w:pPr>
        <w:pStyle w:val="BodyText"/>
        <w:spacing w:line="304" w:lineRule="exact"/>
        <w:ind w:left="389"/>
        <w:jc w:val="both"/>
      </w:pPr>
      <w:r>
        <w:rPr/>
        <w:t>十八、其他材料</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before="64"/>
        <w:ind w:left="54" w:right="0" w:firstLine="0"/>
        <w:jc w:val="center"/>
        <w:rPr>
          <w:rFonts w:ascii="Calibri"/>
          <w:sz w:val="18"/>
        </w:rPr>
      </w:pPr>
      <w:r>
        <w:rPr>
          <w:rFonts w:ascii="Calibri"/>
          <w:sz w:val="18"/>
        </w:rPr>
        <w:t>33</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031">
            <wp:simplePos x="0" y="0"/>
            <wp:positionH relativeFrom="page">
              <wp:posOffset>203309</wp:posOffset>
            </wp:positionH>
            <wp:positionV relativeFrom="page">
              <wp:posOffset>944714</wp:posOffset>
            </wp:positionV>
            <wp:extent cx="7115825" cy="9747669"/>
            <wp:effectExtent l="0" t="0" r="0" b="0"/>
            <wp:wrapNone/>
            <wp:docPr id="77" name="image2.jpeg" descr=""/>
            <wp:cNvGraphicFramePr>
              <a:graphicFrameLocks noChangeAspect="1"/>
            </wp:cNvGraphicFramePr>
            <a:graphic>
              <a:graphicData uri="http://schemas.openxmlformats.org/drawingml/2006/picture">
                <pic:pic>
                  <pic:nvPicPr>
                    <pic:cNvPr id="7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400" filled="true" fillcolor="#ffffff" stroked="false">
            <v:fill type="solid"/>
            <w10:wrap type="none"/>
          </v:rect>
        </w:pict>
      </w:r>
      <w:bookmarkStart w:name="_TOC_250016" w:id="37"/>
      <w:bookmarkStart w:name="一、投标人基本情况" w:id="38"/>
      <w:r>
        <w:rPr>
          <w:b w:val="0"/>
        </w:rPr>
      </w:r>
      <w:bookmarkEnd w:id="37"/>
      <w:r>
        <w:rPr/>
        <w:t>一、投标人基本情况</w:t>
      </w:r>
    </w:p>
    <w:p>
      <w:pPr>
        <w:spacing w:before="64" w:after="33"/>
        <w:ind w:left="53" w:right="0" w:firstLine="0"/>
        <w:jc w:val="center"/>
        <w:rPr>
          <w:sz w:val="44"/>
        </w:rPr>
      </w:pPr>
      <w:r>
        <w:rPr>
          <w:sz w:val="44"/>
        </w:rPr>
        <w:t>投标人基本情况表</w:t>
      </w: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3118"/>
        <w:gridCol w:w="1276"/>
        <w:gridCol w:w="2604"/>
      </w:tblGrid>
      <w:tr>
        <w:trPr>
          <w:trHeight w:val="599" w:hRule="atLeast"/>
        </w:trPr>
        <w:tc>
          <w:tcPr>
            <w:tcW w:w="1526" w:type="dxa"/>
            <w:shd w:val="clear" w:color="auto" w:fill="FFFFFF"/>
          </w:tcPr>
          <w:p>
            <w:pPr>
              <w:pStyle w:val="TableParagraph"/>
              <w:spacing w:before="9"/>
              <w:rPr>
                <w:sz w:val="18"/>
              </w:rPr>
            </w:pPr>
          </w:p>
          <w:p>
            <w:pPr>
              <w:pStyle w:val="TableParagraph"/>
              <w:ind w:left="143" w:right="133"/>
              <w:jc w:val="center"/>
              <w:rPr>
                <w:sz w:val="24"/>
              </w:rPr>
            </w:pPr>
            <w:r>
              <w:rPr>
                <w:sz w:val="24"/>
              </w:rPr>
              <w:t>投标人名称</w:t>
            </w:r>
          </w:p>
        </w:tc>
        <w:tc>
          <w:tcPr>
            <w:tcW w:w="6998" w:type="dxa"/>
            <w:gridSpan w:val="3"/>
            <w:shd w:val="clear" w:color="auto" w:fill="FFFFFF"/>
          </w:tcPr>
          <w:p>
            <w:pPr>
              <w:pStyle w:val="TableParagraph"/>
              <w:rPr>
                <w:rFonts w:ascii="Times New Roman"/>
                <w:sz w:val="26"/>
              </w:rPr>
            </w:pPr>
          </w:p>
        </w:tc>
      </w:tr>
      <w:tr>
        <w:trPr>
          <w:trHeight w:val="599" w:hRule="atLeast"/>
        </w:trPr>
        <w:tc>
          <w:tcPr>
            <w:tcW w:w="1526" w:type="dxa"/>
            <w:shd w:val="clear" w:color="auto" w:fill="FFFFFF"/>
          </w:tcPr>
          <w:p>
            <w:pPr>
              <w:pStyle w:val="TableParagraph"/>
              <w:spacing w:before="9"/>
              <w:rPr>
                <w:sz w:val="18"/>
              </w:rPr>
            </w:pPr>
          </w:p>
          <w:p>
            <w:pPr>
              <w:pStyle w:val="TableParagraph"/>
              <w:ind w:left="143" w:right="133"/>
              <w:jc w:val="center"/>
              <w:rPr>
                <w:sz w:val="24"/>
              </w:rPr>
            </w:pPr>
            <w:r>
              <w:rPr>
                <w:sz w:val="24"/>
              </w:rPr>
              <w:t>法定代表人</w:t>
            </w:r>
          </w:p>
        </w:tc>
        <w:tc>
          <w:tcPr>
            <w:tcW w:w="3118" w:type="dxa"/>
            <w:shd w:val="clear" w:color="auto" w:fill="FFFFFF"/>
          </w:tcPr>
          <w:p>
            <w:pPr>
              <w:pStyle w:val="TableParagraph"/>
              <w:rPr>
                <w:rFonts w:ascii="Times New Roman"/>
                <w:sz w:val="26"/>
              </w:rPr>
            </w:pPr>
          </w:p>
        </w:tc>
        <w:tc>
          <w:tcPr>
            <w:tcW w:w="1276" w:type="dxa"/>
            <w:shd w:val="clear" w:color="auto" w:fill="FFFFFF"/>
          </w:tcPr>
          <w:p>
            <w:pPr>
              <w:pStyle w:val="TableParagraph"/>
              <w:spacing w:before="9"/>
              <w:rPr>
                <w:sz w:val="18"/>
              </w:rPr>
            </w:pPr>
          </w:p>
          <w:p>
            <w:pPr>
              <w:pStyle w:val="TableParagraph"/>
              <w:ind w:left="139" w:right="127"/>
              <w:jc w:val="center"/>
              <w:rPr>
                <w:sz w:val="24"/>
              </w:rPr>
            </w:pPr>
            <w:r>
              <w:rPr>
                <w:sz w:val="24"/>
              </w:rPr>
              <w:t>注册地区</w:t>
            </w:r>
          </w:p>
        </w:tc>
        <w:tc>
          <w:tcPr>
            <w:tcW w:w="2604" w:type="dxa"/>
            <w:shd w:val="clear" w:color="auto" w:fill="FFFFFF"/>
          </w:tcPr>
          <w:p>
            <w:pPr>
              <w:pStyle w:val="TableParagraph"/>
              <w:rPr>
                <w:rFonts w:ascii="Times New Roman"/>
                <w:sz w:val="26"/>
              </w:rPr>
            </w:pPr>
          </w:p>
        </w:tc>
      </w:tr>
      <w:tr>
        <w:trPr>
          <w:trHeight w:val="599" w:hRule="atLeast"/>
        </w:trPr>
        <w:tc>
          <w:tcPr>
            <w:tcW w:w="1526" w:type="dxa"/>
            <w:shd w:val="clear" w:color="auto" w:fill="FFFFFF"/>
          </w:tcPr>
          <w:p>
            <w:pPr>
              <w:pStyle w:val="TableParagraph"/>
              <w:spacing w:before="9"/>
              <w:rPr>
                <w:sz w:val="18"/>
              </w:rPr>
            </w:pPr>
          </w:p>
          <w:p>
            <w:pPr>
              <w:pStyle w:val="TableParagraph"/>
              <w:ind w:left="142" w:right="133"/>
              <w:jc w:val="center"/>
              <w:rPr>
                <w:sz w:val="24"/>
              </w:rPr>
            </w:pPr>
            <w:r>
              <w:rPr>
                <w:sz w:val="24"/>
              </w:rPr>
              <w:t>地址</w:t>
            </w:r>
          </w:p>
        </w:tc>
        <w:tc>
          <w:tcPr>
            <w:tcW w:w="3118" w:type="dxa"/>
            <w:shd w:val="clear" w:color="auto" w:fill="FFFFFF"/>
          </w:tcPr>
          <w:p>
            <w:pPr>
              <w:pStyle w:val="TableParagraph"/>
              <w:rPr>
                <w:rFonts w:ascii="Times New Roman"/>
                <w:sz w:val="26"/>
              </w:rPr>
            </w:pPr>
          </w:p>
        </w:tc>
        <w:tc>
          <w:tcPr>
            <w:tcW w:w="1276" w:type="dxa"/>
            <w:shd w:val="clear" w:color="auto" w:fill="FFFFFF"/>
          </w:tcPr>
          <w:p>
            <w:pPr>
              <w:pStyle w:val="TableParagraph"/>
              <w:spacing w:before="9"/>
              <w:rPr>
                <w:sz w:val="18"/>
              </w:rPr>
            </w:pPr>
          </w:p>
          <w:p>
            <w:pPr>
              <w:pStyle w:val="TableParagraph"/>
              <w:ind w:left="139" w:right="127"/>
              <w:jc w:val="center"/>
              <w:rPr>
                <w:sz w:val="24"/>
              </w:rPr>
            </w:pPr>
            <w:r>
              <w:rPr>
                <w:sz w:val="24"/>
              </w:rPr>
              <w:t>邮政编码</w:t>
            </w:r>
          </w:p>
        </w:tc>
        <w:tc>
          <w:tcPr>
            <w:tcW w:w="2604" w:type="dxa"/>
            <w:shd w:val="clear" w:color="auto" w:fill="FFFFFF"/>
          </w:tcPr>
          <w:p>
            <w:pPr>
              <w:pStyle w:val="TableParagraph"/>
              <w:rPr>
                <w:rFonts w:ascii="Times New Roman"/>
                <w:sz w:val="26"/>
              </w:rPr>
            </w:pPr>
          </w:p>
        </w:tc>
      </w:tr>
      <w:tr>
        <w:trPr>
          <w:trHeight w:val="602" w:hRule="atLeast"/>
        </w:trPr>
        <w:tc>
          <w:tcPr>
            <w:tcW w:w="1526" w:type="dxa"/>
            <w:shd w:val="clear" w:color="auto" w:fill="FFFFFF"/>
          </w:tcPr>
          <w:p>
            <w:pPr>
              <w:pStyle w:val="TableParagraph"/>
              <w:spacing w:before="11"/>
              <w:rPr>
                <w:sz w:val="18"/>
              </w:rPr>
            </w:pPr>
          </w:p>
          <w:p>
            <w:pPr>
              <w:pStyle w:val="TableParagraph"/>
              <w:ind w:left="143" w:right="133"/>
              <w:jc w:val="center"/>
              <w:rPr>
                <w:sz w:val="24"/>
              </w:rPr>
            </w:pPr>
            <w:r>
              <w:rPr>
                <w:sz w:val="24"/>
              </w:rPr>
              <w:t>成立时间</w:t>
            </w:r>
          </w:p>
        </w:tc>
        <w:tc>
          <w:tcPr>
            <w:tcW w:w="3118" w:type="dxa"/>
            <w:shd w:val="clear" w:color="auto" w:fill="FFFFFF"/>
          </w:tcPr>
          <w:p>
            <w:pPr>
              <w:pStyle w:val="TableParagraph"/>
              <w:rPr>
                <w:rFonts w:ascii="Times New Roman"/>
                <w:sz w:val="26"/>
              </w:rPr>
            </w:pPr>
          </w:p>
        </w:tc>
        <w:tc>
          <w:tcPr>
            <w:tcW w:w="1276" w:type="dxa"/>
            <w:shd w:val="clear" w:color="auto" w:fill="FFFFFF"/>
          </w:tcPr>
          <w:p>
            <w:pPr>
              <w:pStyle w:val="TableParagraph"/>
              <w:spacing w:before="11"/>
              <w:rPr>
                <w:sz w:val="18"/>
              </w:rPr>
            </w:pPr>
          </w:p>
          <w:p>
            <w:pPr>
              <w:pStyle w:val="TableParagraph"/>
              <w:ind w:left="139" w:right="127"/>
              <w:jc w:val="center"/>
              <w:rPr>
                <w:sz w:val="24"/>
              </w:rPr>
            </w:pPr>
            <w:r>
              <w:rPr>
                <w:sz w:val="24"/>
              </w:rPr>
              <w:t>单位性质</w:t>
            </w:r>
          </w:p>
        </w:tc>
        <w:tc>
          <w:tcPr>
            <w:tcW w:w="2604" w:type="dxa"/>
            <w:shd w:val="clear" w:color="auto" w:fill="FFFFFF"/>
          </w:tcPr>
          <w:p>
            <w:pPr>
              <w:pStyle w:val="TableParagraph"/>
              <w:rPr>
                <w:rFonts w:ascii="Times New Roman"/>
                <w:sz w:val="26"/>
              </w:rPr>
            </w:pPr>
          </w:p>
        </w:tc>
      </w:tr>
      <w:tr>
        <w:trPr>
          <w:trHeight w:val="1200" w:hRule="atLeast"/>
        </w:trPr>
        <w:tc>
          <w:tcPr>
            <w:tcW w:w="1526" w:type="dxa"/>
            <w:shd w:val="clear" w:color="auto" w:fill="FFFFFF"/>
          </w:tcPr>
          <w:p>
            <w:pPr>
              <w:pStyle w:val="TableParagraph"/>
              <w:spacing w:line="600" w:lineRule="exact"/>
              <w:ind w:left="163" w:right="152"/>
              <w:rPr>
                <w:sz w:val="24"/>
              </w:rPr>
            </w:pPr>
            <w:r>
              <w:rPr>
                <w:sz w:val="24"/>
              </w:rPr>
              <w:t>注册号或社会信用代码</w:t>
            </w:r>
          </w:p>
        </w:tc>
        <w:tc>
          <w:tcPr>
            <w:tcW w:w="3118" w:type="dxa"/>
            <w:shd w:val="clear" w:color="auto" w:fill="FFFFFF"/>
          </w:tcPr>
          <w:p>
            <w:pPr>
              <w:pStyle w:val="TableParagraph"/>
              <w:rPr>
                <w:rFonts w:ascii="Times New Roman"/>
                <w:sz w:val="26"/>
              </w:rPr>
            </w:pPr>
          </w:p>
        </w:tc>
        <w:tc>
          <w:tcPr>
            <w:tcW w:w="1276" w:type="dxa"/>
            <w:shd w:val="clear" w:color="auto" w:fill="FFFFFF"/>
          </w:tcPr>
          <w:p>
            <w:pPr>
              <w:pStyle w:val="TableParagraph"/>
              <w:spacing w:before="9"/>
              <w:rPr>
                <w:sz w:val="18"/>
              </w:rPr>
            </w:pPr>
          </w:p>
          <w:p>
            <w:pPr>
              <w:pStyle w:val="TableParagraph"/>
              <w:ind w:left="159"/>
              <w:rPr>
                <w:sz w:val="24"/>
              </w:rPr>
            </w:pPr>
            <w:r>
              <w:rPr>
                <w:sz w:val="24"/>
              </w:rPr>
              <w:t>注册资本</w:t>
            </w:r>
          </w:p>
          <w:p>
            <w:pPr>
              <w:pStyle w:val="TableParagraph"/>
              <w:spacing w:before="11"/>
              <w:rPr>
                <w:sz w:val="22"/>
              </w:rPr>
            </w:pPr>
          </w:p>
          <w:p>
            <w:pPr>
              <w:pStyle w:val="TableParagraph"/>
              <w:ind w:left="159"/>
              <w:rPr>
                <w:sz w:val="24"/>
              </w:rPr>
            </w:pPr>
            <w:r>
              <w:rPr>
                <w:sz w:val="24"/>
              </w:rPr>
              <w:t>（万元）</w:t>
            </w:r>
          </w:p>
        </w:tc>
        <w:tc>
          <w:tcPr>
            <w:tcW w:w="2604" w:type="dxa"/>
            <w:shd w:val="clear" w:color="auto" w:fill="FFFFFF"/>
          </w:tcPr>
          <w:p>
            <w:pPr>
              <w:pStyle w:val="TableParagraph"/>
              <w:rPr>
                <w:rFonts w:ascii="Times New Roman"/>
                <w:sz w:val="26"/>
              </w:rPr>
            </w:pPr>
          </w:p>
        </w:tc>
      </w:tr>
      <w:tr>
        <w:trPr>
          <w:trHeight w:val="599" w:hRule="atLeast"/>
        </w:trPr>
        <w:tc>
          <w:tcPr>
            <w:tcW w:w="1526" w:type="dxa"/>
            <w:shd w:val="clear" w:color="auto" w:fill="FFFFFF"/>
          </w:tcPr>
          <w:p>
            <w:pPr>
              <w:pStyle w:val="TableParagraph"/>
              <w:spacing w:before="9"/>
              <w:rPr>
                <w:sz w:val="18"/>
              </w:rPr>
            </w:pPr>
          </w:p>
          <w:p>
            <w:pPr>
              <w:pStyle w:val="TableParagraph"/>
              <w:ind w:left="143" w:right="133"/>
              <w:jc w:val="center"/>
              <w:rPr>
                <w:sz w:val="24"/>
              </w:rPr>
            </w:pPr>
            <w:r>
              <w:rPr>
                <w:sz w:val="24"/>
              </w:rPr>
              <w:t>供应商类别</w:t>
            </w:r>
          </w:p>
        </w:tc>
        <w:tc>
          <w:tcPr>
            <w:tcW w:w="3118" w:type="dxa"/>
            <w:shd w:val="clear" w:color="auto" w:fill="FFFFFF"/>
          </w:tcPr>
          <w:p>
            <w:pPr>
              <w:pStyle w:val="TableParagraph"/>
              <w:rPr>
                <w:rFonts w:ascii="Times New Roman"/>
                <w:sz w:val="26"/>
              </w:rPr>
            </w:pPr>
          </w:p>
        </w:tc>
        <w:tc>
          <w:tcPr>
            <w:tcW w:w="1276" w:type="dxa"/>
            <w:shd w:val="clear" w:color="auto" w:fill="FFFFFF"/>
          </w:tcPr>
          <w:p>
            <w:pPr>
              <w:pStyle w:val="TableParagraph"/>
              <w:spacing w:before="9"/>
              <w:rPr>
                <w:sz w:val="18"/>
              </w:rPr>
            </w:pPr>
          </w:p>
          <w:p>
            <w:pPr>
              <w:pStyle w:val="TableParagraph"/>
              <w:ind w:left="139" w:right="127"/>
              <w:jc w:val="center"/>
              <w:rPr>
                <w:sz w:val="24"/>
              </w:rPr>
            </w:pPr>
            <w:r>
              <w:rPr>
                <w:sz w:val="24"/>
              </w:rPr>
              <w:t>诚信等级</w:t>
            </w:r>
          </w:p>
        </w:tc>
        <w:tc>
          <w:tcPr>
            <w:tcW w:w="2604" w:type="dxa"/>
            <w:shd w:val="clear" w:color="auto" w:fill="FFFFFF"/>
          </w:tcPr>
          <w:p>
            <w:pPr>
              <w:pStyle w:val="TableParagraph"/>
              <w:rPr>
                <w:rFonts w:ascii="Times New Roman"/>
                <w:sz w:val="26"/>
              </w:rPr>
            </w:pPr>
          </w:p>
        </w:tc>
      </w:tr>
      <w:tr>
        <w:trPr>
          <w:trHeight w:val="599" w:hRule="atLeast"/>
        </w:trPr>
        <w:tc>
          <w:tcPr>
            <w:tcW w:w="1526" w:type="dxa"/>
            <w:shd w:val="clear" w:color="auto" w:fill="FFFFFF"/>
          </w:tcPr>
          <w:p>
            <w:pPr>
              <w:pStyle w:val="TableParagraph"/>
              <w:spacing w:before="9"/>
              <w:rPr>
                <w:sz w:val="18"/>
              </w:rPr>
            </w:pPr>
          </w:p>
          <w:p>
            <w:pPr>
              <w:pStyle w:val="TableParagraph"/>
              <w:ind w:left="143" w:right="133"/>
              <w:jc w:val="center"/>
              <w:rPr>
                <w:sz w:val="24"/>
              </w:rPr>
            </w:pPr>
            <w:r>
              <w:rPr>
                <w:sz w:val="24"/>
              </w:rPr>
              <w:t>开户银行</w:t>
            </w:r>
          </w:p>
        </w:tc>
        <w:tc>
          <w:tcPr>
            <w:tcW w:w="3118" w:type="dxa"/>
            <w:shd w:val="clear" w:color="auto" w:fill="FFFFFF"/>
          </w:tcPr>
          <w:p>
            <w:pPr>
              <w:pStyle w:val="TableParagraph"/>
              <w:rPr>
                <w:rFonts w:ascii="Times New Roman"/>
                <w:sz w:val="26"/>
              </w:rPr>
            </w:pPr>
          </w:p>
        </w:tc>
        <w:tc>
          <w:tcPr>
            <w:tcW w:w="1276" w:type="dxa"/>
            <w:shd w:val="clear" w:color="auto" w:fill="FFFFFF"/>
          </w:tcPr>
          <w:p>
            <w:pPr>
              <w:pStyle w:val="TableParagraph"/>
              <w:spacing w:before="9"/>
              <w:rPr>
                <w:sz w:val="18"/>
              </w:rPr>
            </w:pPr>
          </w:p>
          <w:p>
            <w:pPr>
              <w:pStyle w:val="TableParagraph"/>
              <w:ind w:left="139" w:right="127"/>
              <w:jc w:val="center"/>
              <w:rPr>
                <w:sz w:val="24"/>
              </w:rPr>
            </w:pPr>
            <w:r>
              <w:rPr>
                <w:sz w:val="24"/>
              </w:rPr>
              <w:t>账号</w:t>
            </w:r>
          </w:p>
        </w:tc>
        <w:tc>
          <w:tcPr>
            <w:tcW w:w="2604" w:type="dxa"/>
            <w:shd w:val="clear" w:color="auto" w:fill="FFFFFF"/>
          </w:tcPr>
          <w:p>
            <w:pPr>
              <w:pStyle w:val="TableParagraph"/>
              <w:rPr>
                <w:rFonts w:ascii="Times New Roman"/>
                <w:sz w:val="26"/>
              </w:rPr>
            </w:pPr>
          </w:p>
        </w:tc>
      </w:tr>
      <w:tr>
        <w:trPr>
          <w:trHeight w:val="599" w:hRule="atLeast"/>
        </w:trPr>
        <w:tc>
          <w:tcPr>
            <w:tcW w:w="1526" w:type="dxa"/>
            <w:shd w:val="clear" w:color="auto" w:fill="FFFFFF"/>
          </w:tcPr>
          <w:p>
            <w:pPr>
              <w:pStyle w:val="TableParagraph"/>
              <w:spacing w:before="9"/>
              <w:rPr>
                <w:sz w:val="18"/>
              </w:rPr>
            </w:pPr>
          </w:p>
          <w:p>
            <w:pPr>
              <w:pStyle w:val="TableParagraph"/>
              <w:ind w:left="143" w:right="133"/>
              <w:jc w:val="center"/>
              <w:rPr>
                <w:sz w:val="24"/>
              </w:rPr>
            </w:pPr>
            <w:r>
              <w:rPr>
                <w:sz w:val="24"/>
              </w:rPr>
              <w:t>联系人</w:t>
            </w:r>
          </w:p>
        </w:tc>
        <w:tc>
          <w:tcPr>
            <w:tcW w:w="3118" w:type="dxa"/>
            <w:shd w:val="clear" w:color="auto" w:fill="FFFFFF"/>
          </w:tcPr>
          <w:p>
            <w:pPr>
              <w:pStyle w:val="TableParagraph"/>
              <w:rPr>
                <w:rFonts w:ascii="Times New Roman"/>
                <w:sz w:val="26"/>
              </w:rPr>
            </w:pPr>
          </w:p>
        </w:tc>
        <w:tc>
          <w:tcPr>
            <w:tcW w:w="1276" w:type="dxa"/>
            <w:shd w:val="clear" w:color="auto" w:fill="FFFFFF"/>
          </w:tcPr>
          <w:p>
            <w:pPr>
              <w:pStyle w:val="TableParagraph"/>
              <w:spacing w:before="9"/>
              <w:rPr>
                <w:sz w:val="18"/>
              </w:rPr>
            </w:pPr>
          </w:p>
          <w:p>
            <w:pPr>
              <w:pStyle w:val="TableParagraph"/>
              <w:ind w:left="139" w:right="127"/>
              <w:jc w:val="center"/>
              <w:rPr>
                <w:sz w:val="24"/>
              </w:rPr>
            </w:pPr>
            <w:r>
              <w:rPr>
                <w:sz w:val="24"/>
              </w:rPr>
              <w:t>联系电话</w:t>
            </w:r>
          </w:p>
        </w:tc>
        <w:tc>
          <w:tcPr>
            <w:tcW w:w="2604" w:type="dxa"/>
            <w:shd w:val="clear" w:color="auto" w:fill="FFFFFF"/>
          </w:tcPr>
          <w:p>
            <w:pPr>
              <w:pStyle w:val="TableParagraph"/>
              <w:rPr>
                <w:rFonts w:ascii="Times New Roman"/>
                <w:sz w:val="26"/>
              </w:rPr>
            </w:pPr>
          </w:p>
        </w:tc>
      </w:tr>
      <w:tr>
        <w:trPr>
          <w:trHeight w:val="2375" w:hRule="atLeast"/>
        </w:trPr>
        <w:tc>
          <w:tcPr>
            <w:tcW w:w="1526" w:type="dxa"/>
            <w:shd w:val="clear" w:color="auto" w:fill="FFFFFF"/>
          </w:tcPr>
          <w:p>
            <w:pPr>
              <w:pStyle w:val="TableParagraph"/>
              <w:rPr>
                <w:sz w:val="24"/>
              </w:rPr>
            </w:pPr>
          </w:p>
          <w:p>
            <w:pPr>
              <w:pStyle w:val="TableParagraph"/>
              <w:rPr>
                <w:sz w:val="24"/>
              </w:rPr>
            </w:pPr>
          </w:p>
          <w:p>
            <w:pPr>
              <w:pStyle w:val="TableParagraph"/>
              <w:rPr>
                <w:sz w:val="24"/>
              </w:rPr>
            </w:pPr>
          </w:p>
          <w:p>
            <w:pPr>
              <w:pStyle w:val="TableParagraph"/>
              <w:spacing w:before="196"/>
              <w:ind w:left="143" w:right="133"/>
              <w:jc w:val="center"/>
              <w:rPr>
                <w:sz w:val="24"/>
              </w:rPr>
            </w:pPr>
            <w:r>
              <w:rPr>
                <w:sz w:val="24"/>
              </w:rPr>
              <w:t>经营范围</w:t>
            </w:r>
          </w:p>
        </w:tc>
        <w:tc>
          <w:tcPr>
            <w:tcW w:w="6998" w:type="dxa"/>
            <w:gridSpan w:val="3"/>
            <w:shd w:val="clear" w:color="auto" w:fill="FFFFFF"/>
          </w:tcPr>
          <w:p>
            <w:pPr>
              <w:pStyle w:val="TableParagraph"/>
              <w:rPr>
                <w:rFonts w:ascii="Times New Roman"/>
                <w:sz w:val="26"/>
              </w:rPr>
            </w:pPr>
          </w:p>
        </w:tc>
      </w:tr>
      <w:tr>
        <w:trPr>
          <w:trHeight w:val="1134" w:hRule="atLeast"/>
        </w:trPr>
        <w:tc>
          <w:tcPr>
            <w:tcW w:w="1526" w:type="dxa"/>
            <w:shd w:val="clear" w:color="auto" w:fill="FFFFFF"/>
          </w:tcPr>
          <w:p>
            <w:pPr>
              <w:pStyle w:val="TableParagraph"/>
              <w:rPr>
                <w:sz w:val="24"/>
              </w:rPr>
            </w:pPr>
          </w:p>
          <w:p>
            <w:pPr>
              <w:pStyle w:val="TableParagraph"/>
              <w:spacing w:before="189"/>
              <w:ind w:left="142" w:right="133"/>
              <w:jc w:val="center"/>
              <w:rPr>
                <w:sz w:val="24"/>
              </w:rPr>
            </w:pPr>
            <w:r>
              <w:rPr>
                <w:sz w:val="24"/>
              </w:rPr>
              <w:t>备注</w:t>
            </w:r>
          </w:p>
        </w:tc>
        <w:tc>
          <w:tcPr>
            <w:tcW w:w="6998" w:type="dxa"/>
            <w:gridSpan w:val="3"/>
            <w:shd w:val="clear" w:color="auto" w:fill="FFFFFF"/>
          </w:tcPr>
          <w:p>
            <w:pPr>
              <w:pStyle w:val="TableParagraph"/>
              <w:rPr>
                <w:rFonts w:ascii="Times New Roman"/>
                <w:sz w:val="26"/>
              </w:rPr>
            </w:pPr>
          </w:p>
        </w:tc>
      </w:tr>
    </w:tbl>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spacing w:before="316"/>
        <w:ind w:left="54" w:right="0" w:firstLine="0"/>
        <w:jc w:val="center"/>
        <w:rPr>
          <w:rFonts w:ascii="Calibri"/>
          <w:sz w:val="18"/>
        </w:rPr>
      </w:pPr>
      <w:r>
        <w:rPr>
          <w:rFonts w:ascii="Calibri"/>
          <w:sz w:val="18"/>
        </w:rPr>
        <w:t>34</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079">
            <wp:simplePos x="0" y="0"/>
            <wp:positionH relativeFrom="page">
              <wp:posOffset>203309</wp:posOffset>
            </wp:positionH>
            <wp:positionV relativeFrom="page">
              <wp:posOffset>944714</wp:posOffset>
            </wp:positionV>
            <wp:extent cx="7115825" cy="9747669"/>
            <wp:effectExtent l="0" t="0" r="0" b="0"/>
            <wp:wrapNone/>
            <wp:docPr id="79" name="image2.jpeg" descr=""/>
            <wp:cNvGraphicFramePr>
              <a:graphicFrameLocks noChangeAspect="1"/>
            </wp:cNvGraphicFramePr>
            <a:graphic>
              <a:graphicData uri="http://schemas.openxmlformats.org/drawingml/2006/picture">
                <pic:pic>
                  <pic:nvPicPr>
                    <pic:cNvPr id="8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352" filled="true" fillcolor="#ffffff" stroked="false">
            <v:fill type="solid"/>
            <w10:wrap type="none"/>
          </v:rect>
        </w:pict>
      </w:r>
      <w:bookmarkStart w:name="_TOC_250015" w:id="39"/>
      <w:bookmarkStart w:name="二、投标人资质" w:id="40"/>
      <w:r>
        <w:rPr>
          <w:b w:val="0"/>
        </w:rPr>
      </w:r>
      <w:bookmarkEnd w:id="39"/>
      <w:r>
        <w:rPr/>
        <w:t>二、投标人资质</w:t>
      </w:r>
    </w:p>
    <w:p>
      <w:pPr>
        <w:pStyle w:val="BodyText"/>
        <w:spacing w:before="15"/>
        <w:rPr>
          <w:rFonts w:ascii="Microsoft JhengHei"/>
          <w:b/>
          <w:sz w:val="5"/>
        </w:rPr>
      </w:pPr>
    </w:p>
    <w:p>
      <w:pPr>
        <w:pStyle w:val="Heading7"/>
        <w:spacing w:before="62"/>
        <w:jc w:val="center"/>
      </w:pPr>
      <w:r>
        <w:rPr/>
        <w:t>投标人资质</w:t>
      </w:r>
    </w:p>
    <w:p>
      <w:pPr>
        <w:pStyle w:val="BodyText"/>
        <w:spacing w:before="4"/>
        <w:rPr>
          <w:sz w:val="10"/>
        </w:rPr>
      </w:pP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1813"/>
        <w:gridCol w:w="1813"/>
        <w:gridCol w:w="1813"/>
        <w:gridCol w:w="1812"/>
      </w:tblGrid>
      <w:tr>
        <w:trPr>
          <w:trHeight w:val="623" w:hRule="atLeast"/>
        </w:trPr>
        <w:tc>
          <w:tcPr>
            <w:tcW w:w="1812" w:type="dxa"/>
            <w:shd w:val="clear" w:color="auto" w:fill="FFFFFF"/>
          </w:tcPr>
          <w:p>
            <w:pPr>
              <w:pStyle w:val="TableParagraph"/>
              <w:spacing w:before="22"/>
              <w:ind w:left="107"/>
              <w:rPr>
                <w:sz w:val="21"/>
              </w:rPr>
            </w:pPr>
            <w:r>
              <w:rPr>
                <w:sz w:val="21"/>
              </w:rPr>
              <w:t>序号</w:t>
            </w:r>
          </w:p>
        </w:tc>
        <w:tc>
          <w:tcPr>
            <w:tcW w:w="1813" w:type="dxa"/>
            <w:shd w:val="clear" w:color="auto" w:fill="FFFFFF"/>
          </w:tcPr>
          <w:p>
            <w:pPr>
              <w:pStyle w:val="TableParagraph"/>
              <w:spacing w:before="22"/>
              <w:ind w:left="107"/>
              <w:rPr>
                <w:sz w:val="21"/>
              </w:rPr>
            </w:pPr>
            <w:r>
              <w:rPr>
                <w:sz w:val="21"/>
              </w:rPr>
              <w:t>证书编号</w:t>
            </w:r>
          </w:p>
        </w:tc>
        <w:tc>
          <w:tcPr>
            <w:tcW w:w="1813" w:type="dxa"/>
            <w:shd w:val="clear" w:color="auto" w:fill="FFFFFF"/>
          </w:tcPr>
          <w:p>
            <w:pPr>
              <w:pStyle w:val="TableParagraph"/>
              <w:spacing w:before="22"/>
              <w:ind w:left="107"/>
              <w:rPr>
                <w:sz w:val="21"/>
              </w:rPr>
            </w:pPr>
            <w:r>
              <w:rPr>
                <w:sz w:val="21"/>
              </w:rPr>
              <w:t>资质等级</w:t>
            </w:r>
          </w:p>
        </w:tc>
        <w:tc>
          <w:tcPr>
            <w:tcW w:w="1813" w:type="dxa"/>
            <w:shd w:val="clear" w:color="auto" w:fill="FFFFFF"/>
          </w:tcPr>
          <w:p>
            <w:pPr>
              <w:pStyle w:val="TableParagraph"/>
              <w:spacing w:before="22"/>
              <w:ind w:left="106"/>
              <w:rPr>
                <w:sz w:val="21"/>
              </w:rPr>
            </w:pPr>
            <w:r>
              <w:rPr>
                <w:sz w:val="21"/>
              </w:rPr>
              <w:t>证书有效截止时</w:t>
            </w:r>
          </w:p>
          <w:p>
            <w:pPr>
              <w:pStyle w:val="TableParagraph"/>
              <w:spacing w:before="43"/>
              <w:ind w:left="106"/>
              <w:rPr>
                <w:sz w:val="21"/>
              </w:rPr>
            </w:pPr>
            <w:r>
              <w:rPr>
                <w:w w:val="100"/>
                <w:sz w:val="21"/>
              </w:rPr>
              <w:t>间</w:t>
            </w:r>
          </w:p>
        </w:tc>
        <w:tc>
          <w:tcPr>
            <w:tcW w:w="1812" w:type="dxa"/>
            <w:shd w:val="clear" w:color="auto" w:fill="FFFFFF"/>
          </w:tcPr>
          <w:p>
            <w:pPr>
              <w:pStyle w:val="TableParagraph"/>
              <w:spacing w:before="22"/>
              <w:ind w:left="106"/>
              <w:rPr>
                <w:sz w:val="21"/>
              </w:rPr>
            </w:pPr>
            <w:r>
              <w:rPr>
                <w:sz w:val="21"/>
              </w:rPr>
              <w:t>查看</w:t>
            </w:r>
          </w:p>
        </w:tc>
      </w:tr>
      <w:tr>
        <w:trPr>
          <w:trHeight w:val="311" w:hRule="atLeast"/>
        </w:trPr>
        <w:tc>
          <w:tcPr>
            <w:tcW w:w="1812" w:type="dxa"/>
            <w:shd w:val="clear" w:color="auto" w:fill="FFFFFF"/>
          </w:tcPr>
          <w:p>
            <w:pPr>
              <w:pStyle w:val="TableParagraph"/>
              <w:rPr>
                <w:rFonts w:ascii="Times New Roman"/>
                <w:sz w:val="22"/>
              </w:rPr>
            </w:pPr>
          </w:p>
        </w:tc>
        <w:tc>
          <w:tcPr>
            <w:tcW w:w="1813" w:type="dxa"/>
            <w:shd w:val="clear" w:color="auto" w:fill="FFFFFF"/>
          </w:tcPr>
          <w:p>
            <w:pPr>
              <w:pStyle w:val="TableParagraph"/>
              <w:rPr>
                <w:rFonts w:ascii="Times New Roman"/>
                <w:sz w:val="22"/>
              </w:rPr>
            </w:pPr>
          </w:p>
        </w:tc>
        <w:tc>
          <w:tcPr>
            <w:tcW w:w="1813" w:type="dxa"/>
            <w:shd w:val="clear" w:color="auto" w:fill="FFFFFF"/>
          </w:tcPr>
          <w:p>
            <w:pPr>
              <w:pStyle w:val="TableParagraph"/>
              <w:rPr>
                <w:rFonts w:ascii="Times New Roman"/>
                <w:sz w:val="22"/>
              </w:rPr>
            </w:pPr>
          </w:p>
        </w:tc>
        <w:tc>
          <w:tcPr>
            <w:tcW w:w="1813" w:type="dxa"/>
            <w:shd w:val="clear" w:color="auto" w:fill="FFFFFF"/>
          </w:tcPr>
          <w:p>
            <w:pPr>
              <w:pStyle w:val="TableParagraph"/>
              <w:rPr>
                <w:rFonts w:ascii="Times New Roman"/>
                <w:sz w:val="22"/>
              </w:rPr>
            </w:pPr>
          </w:p>
        </w:tc>
        <w:tc>
          <w:tcPr>
            <w:tcW w:w="1812" w:type="dxa"/>
            <w:shd w:val="clear" w:color="auto" w:fill="FFFFFF"/>
          </w:tcPr>
          <w:p>
            <w:pPr>
              <w:pStyle w:val="TableParagraph"/>
              <w:rPr>
                <w:rFonts w:ascii="Times New Roman"/>
                <w:sz w:val="22"/>
              </w:rPr>
            </w:pPr>
          </w:p>
        </w:tc>
      </w:tr>
    </w:tbl>
    <w:p>
      <w:pPr>
        <w:pStyle w:val="BodyText"/>
        <w:spacing w:before="1"/>
        <w:rPr>
          <w:sz w:val="26"/>
        </w:rPr>
      </w:pPr>
    </w:p>
    <w:p>
      <w:pPr>
        <w:spacing w:before="0"/>
        <w:ind w:left="811" w:right="0" w:firstLine="0"/>
        <w:jc w:val="left"/>
        <w:rPr>
          <w:sz w:val="21"/>
        </w:rPr>
      </w:pPr>
      <w:r>
        <w:rPr>
          <w:sz w:val="21"/>
        </w:rPr>
        <w:t>可以选择诚信库或者使用 </w:t>
      </w:r>
      <w:r>
        <w:rPr>
          <w:rFonts w:ascii="Calibri" w:eastAsia="Calibri"/>
          <w:sz w:val="21"/>
        </w:rPr>
        <w:t>word </w:t>
      </w:r>
      <w:r>
        <w:rPr>
          <w:sz w:val="21"/>
        </w:rPr>
        <w:t>上传。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64"/>
        <w:ind w:left="54" w:right="0" w:firstLine="0"/>
        <w:jc w:val="center"/>
        <w:rPr>
          <w:rFonts w:ascii="Calibri"/>
          <w:sz w:val="18"/>
        </w:rPr>
      </w:pPr>
      <w:r>
        <w:rPr>
          <w:rFonts w:ascii="Calibri"/>
          <w:sz w:val="18"/>
        </w:rPr>
        <w:t>35</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127">
            <wp:simplePos x="0" y="0"/>
            <wp:positionH relativeFrom="page">
              <wp:posOffset>203309</wp:posOffset>
            </wp:positionH>
            <wp:positionV relativeFrom="page">
              <wp:posOffset>944714</wp:posOffset>
            </wp:positionV>
            <wp:extent cx="7115825" cy="9747669"/>
            <wp:effectExtent l="0" t="0" r="0" b="0"/>
            <wp:wrapNone/>
            <wp:docPr id="81" name="image2.jpeg" descr=""/>
            <wp:cNvGraphicFramePr>
              <a:graphicFrameLocks noChangeAspect="1"/>
            </wp:cNvGraphicFramePr>
            <a:graphic>
              <a:graphicData uri="http://schemas.openxmlformats.org/drawingml/2006/picture">
                <pic:pic>
                  <pic:nvPicPr>
                    <pic:cNvPr id="8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304" filled="true" fillcolor="#ffffff" stroked="false">
            <v:fill type="solid"/>
            <w10:wrap type="none"/>
          </v:rect>
        </w:pict>
      </w:r>
      <w:bookmarkStart w:name="_TOC_250014" w:id="41"/>
      <w:bookmarkStart w:name="三、投标人财务状况报告" w:id="42"/>
      <w:r>
        <w:rPr>
          <w:b w:val="0"/>
        </w:rPr>
      </w:r>
      <w:bookmarkEnd w:id="41"/>
      <w:r>
        <w:rPr/>
        <w:t>三、投标人财务状况报告</w:t>
      </w:r>
    </w:p>
    <w:p>
      <w:pPr>
        <w:spacing w:before="59"/>
        <w:ind w:left="389" w:right="0" w:firstLine="0"/>
        <w:jc w:val="left"/>
        <w:rPr>
          <w:sz w:val="21"/>
        </w:rPr>
      </w:pPr>
      <w:r>
        <w:rPr>
          <w:sz w:val="21"/>
        </w:rPr>
        <w:t>指投标人经审计的财务报告或银行出具的资信证明</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1"/>
        <w:ind w:left="54" w:right="0" w:firstLine="0"/>
        <w:jc w:val="center"/>
        <w:rPr>
          <w:rFonts w:ascii="Calibri"/>
          <w:sz w:val="18"/>
        </w:rPr>
      </w:pPr>
      <w:r>
        <w:rPr>
          <w:rFonts w:ascii="Calibri"/>
          <w:sz w:val="18"/>
        </w:rPr>
        <w:t>36</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175">
            <wp:simplePos x="0" y="0"/>
            <wp:positionH relativeFrom="page">
              <wp:posOffset>203309</wp:posOffset>
            </wp:positionH>
            <wp:positionV relativeFrom="page">
              <wp:posOffset>944714</wp:posOffset>
            </wp:positionV>
            <wp:extent cx="7115825" cy="9747669"/>
            <wp:effectExtent l="0" t="0" r="0" b="0"/>
            <wp:wrapNone/>
            <wp:docPr id="83" name="image2.jpeg" descr=""/>
            <wp:cNvGraphicFramePr>
              <a:graphicFrameLocks noChangeAspect="1"/>
            </wp:cNvGraphicFramePr>
            <a:graphic>
              <a:graphicData uri="http://schemas.openxmlformats.org/drawingml/2006/picture">
                <pic:pic>
                  <pic:nvPicPr>
                    <pic:cNvPr id="8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256" filled="true" fillcolor="#ffffff" stroked="false">
            <v:fill type="solid"/>
            <w10:wrap type="none"/>
          </v:rect>
        </w:pict>
      </w:r>
      <w:bookmarkStart w:name="_TOC_250013" w:id="43"/>
      <w:bookmarkStart w:name="四、无重大违法行为声明" w:id="44"/>
      <w:r>
        <w:rPr>
          <w:b w:val="0"/>
        </w:rPr>
      </w:r>
      <w:bookmarkEnd w:id="43"/>
      <w:r>
        <w:rPr/>
        <w:t>四、无重大违法行为声明</w:t>
      </w:r>
    </w:p>
    <w:p>
      <w:pPr>
        <w:spacing w:before="74"/>
        <w:ind w:left="53" w:right="0" w:firstLine="0"/>
        <w:jc w:val="center"/>
        <w:rPr>
          <w:rFonts w:ascii="Microsoft JhengHei" w:eastAsia="Microsoft JhengHei" w:hint="eastAsia"/>
          <w:b/>
          <w:sz w:val="32"/>
        </w:rPr>
      </w:pPr>
      <w:r>
        <w:rPr>
          <w:rFonts w:ascii="Microsoft JhengHei" w:eastAsia="Microsoft JhengHei" w:hint="eastAsia"/>
          <w:b/>
          <w:sz w:val="32"/>
        </w:rPr>
        <w:t>无重大违法行为声明</w:t>
      </w:r>
    </w:p>
    <w:p>
      <w:pPr>
        <w:pStyle w:val="BodyText"/>
        <w:tabs>
          <w:tab w:pos="749" w:val="left" w:leader="none"/>
          <w:tab w:pos="2909" w:val="left" w:leader="none"/>
        </w:tabs>
        <w:spacing w:before="178"/>
        <w:ind w:left="389"/>
      </w:pPr>
      <w:r>
        <w:rPr>
          <w:rFonts w:ascii="Times New Roman" w:eastAsia="Times New Roman"/>
          <w:u w:val="single"/>
        </w:rPr>
        <w:t> </w:t>
        <w:tab/>
      </w:r>
      <w:r>
        <w:rPr>
          <w:u w:val="single"/>
        </w:rPr>
        <w:t>（采购人名称）</w:t>
        <w:tab/>
      </w:r>
      <w:r>
        <w:rPr/>
        <w:t>：</w:t>
      </w:r>
    </w:p>
    <w:p>
      <w:pPr>
        <w:pStyle w:val="BodyText"/>
        <w:spacing w:before="5"/>
        <w:rPr>
          <w:sz w:val="22"/>
        </w:rPr>
      </w:pPr>
    </w:p>
    <w:p>
      <w:pPr>
        <w:pStyle w:val="BodyText"/>
        <w:tabs>
          <w:tab w:pos="3749" w:val="left" w:leader="none"/>
          <w:tab w:pos="6390" w:val="left" w:leader="none"/>
        </w:tabs>
        <w:spacing w:line="468" w:lineRule="auto"/>
        <w:ind w:left="389" w:right="293" w:firstLine="599"/>
      </w:pPr>
      <w:r>
        <w:rPr/>
        <w:t>我公司在参加编号为</w:t>
      </w:r>
      <w:r>
        <w:rPr>
          <w:u w:val="single"/>
        </w:rPr>
        <w:t> </w:t>
        <w:tab/>
      </w:r>
      <w:r>
        <w:rPr/>
        <w:t>号</w:t>
      </w:r>
      <w:r>
        <w:rPr>
          <w:u w:val="single"/>
        </w:rPr>
        <w:t> </w:t>
        <w:tab/>
      </w:r>
      <w:r>
        <w:rPr/>
        <w:t>项目的投标活动前</w:t>
      </w:r>
      <w:r>
        <w:rPr>
          <w:spacing w:val="-60"/>
        </w:rPr>
        <w:t> </w:t>
      </w:r>
      <w:r>
        <w:rPr/>
        <w:t>3</w:t>
      </w:r>
      <w:r>
        <w:rPr>
          <w:spacing w:val="-60"/>
        </w:rPr>
        <w:t> </w:t>
      </w:r>
      <w:r>
        <w:rPr/>
        <w:t>年内， 在经营活动中没有重大违法记录。</w:t>
      </w:r>
    </w:p>
    <w:p>
      <w:pPr>
        <w:pStyle w:val="BodyText"/>
        <w:spacing w:before="1"/>
        <w:ind w:left="989"/>
      </w:pPr>
      <w:r>
        <w:rPr/>
        <w:t>特此声明。</w:t>
      </w:r>
    </w:p>
    <w:p>
      <w:pPr>
        <w:pStyle w:val="BodyText"/>
      </w:pPr>
    </w:p>
    <w:p>
      <w:pPr>
        <w:pStyle w:val="BodyText"/>
      </w:pPr>
    </w:p>
    <w:p>
      <w:pPr>
        <w:pStyle w:val="BodyText"/>
        <w:spacing w:before="9"/>
        <w:rPr>
          <w:sz w:val="21"/>
        </w:rPr>
      </w:pPr>
    </w:p>
    <w:p>
      <w:pPr>
        <w:pStyle w:val="BodyText"/>
        <w:spacing w:line="468" w:lineRule="auto"/>
        <w:ind w:left="389" w:right="327" w:firstLine="599"/>
      </w:pPr>
      <w:r>
        <w:rPr/>
        <w:t>注：重大违法记录，是指供应商因违法经营受到刑事处罚或者责令停产停业、吊销许可证或者执照、较大数额罚款等行政处罚。</w:t>
      </w:r>
    </w:p>
    <w:p>
      <w:pPr>
        <w:pStyle w:val="BodyText"/>
      </w:pPr>
    </w:p>
    <w:p>
      <w:pPr>
        <w:pStyle w:val="BodyText"/>
      </w:pPr>
    </w:p>
    <w:p>
      <w:pPr>
        <w:pStyle w:val="BodyText"/>
        <w:spacing w:before="3"/>
        <w:rPr>
          <w:sz w:val="21"/>
        </w:rPr>
      </w:pPr>
    </w:p>
    <w:p>
      <w:pPr>
        <w:pStyle w:val="BodyText"/>
        <w:tabs>
          <w:tab w:pos="3778" w:val="left" w:leader="none"/>
        </w:tabs>
        <w:spacing w:line="700" w:lineRule="atLeast" w:before="1"/>
        <w:ind w:left="1018" w:right="4345"/>
      </w:pPr>
      <w:r>
        <w:rPr/>
        <w:t>单位名称：</w:t>
      </w:r>
      <w:r>
        <w:rPr>
          <w:u w:val="single"/>
        </w:rPr>
        <w:t> </w:t>
        <w:tab/>
      </w:r>
      <w:r>
        <w:rPr/>
        <w:t>（电子签章） 法定代表人：</w:t>
      </w:r>
      <w:r>
        <w:rPr>
          <w:u w:val="single"/>
        </w:rPr>
        <w:t> </w:t>
        <w:tab/>
      </w:r>
      <w:r>
        <w:rPr/>
        <w:t>（电子签章）</w:t>
      </w:r>
    </w:p>
    <w:p>
      <w:pPr>
        <w:pStyle w:val="BodyText"/>
        <w:tabs>
          <w:tab w:pos="1709" w:val="left" w:leader="none"/>
          <w:tab w:pos="2669" w:val="left" w:leader="none"/>
          <w:tab w:pos="3629" w:val="left" w:leader="none"/>
        </w:tabs>
        <w:spacing w:before="75"/>
        <w:ind w:left="1109"/>
      </w:pPr>
      <w:r>
        <w:rPr>
          <w:rFonts w:ascii="Times New Roman" w:eastAsia="Times New Roman"/>
          <w:u w:val="single"/>
        </w:rPr>
        <w:t> </w:t>
        <w:tab/>
      </w:r>
      <w:r>
        <w:rPr/>
        <w:t>年</w:t>
      </w:r>
      <w:r>
        <w:rPr>
          <w:u w:val="single"/>
        </w:rPr>
        <w:t> </w:t>
        <w:tab/>
      </w:r>
      <w:r>
        <w:rPr/>
        <w:t>月</w:t>
      </w:r>
      <w:r>
        <w:rPr>
          <w:u w:val="single"/>
        </w:rPr>
        <w:t> </w:t>
        <w:tab/>
      </w:r>
      <w:r>
        <w:rPr/>
        <w:t>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64"/>
        <w:ind w:left="49" w:right="0" w:firstLine="0"/>
        <w:jc w:val="center"/>
        <w:rPr>
          <w:rFonts w:ascii="Calibri"/>
          <w:sz w:val="18"/>
        </w:rPr>
      </w:pPr>
      <w:r>
        <w:rPr>
          <w:rFonts w:ascii="Calibri"/>
          <w:sz w:val="18"/>
        </w:rPr>
        <w:t>37</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223">
            <wp:simplePos x="0" y="0"/>
            <wp:positionH relativeFrom="page">
              <wp:posOffset>203309</wp:posOffset>
            </wp:positionH>
            <wp:positionV relativeFrom="page">
              <wp:posOffset>944714</wp:posOffset>
            </wp:positionV>
            <wp:extent cx="7115825" cy="9747669"/>
            <wp:effectExtent l="0" t="0" r="0" b="0"/>
            <wp:wrapNone/>
            <wp:docPr id="85" name="image2.jpeg" descr=""/>
            <wp:cNvGraphicFramePr>
              <a:graphicFrameLocks noChangeAspect="1"/>
            </wp:cNvGraphicFramePr>
            <a:graphic>
              <a:graphicData uri="http://schemas.openxmlformats.org/drawingml/2006/picture">
                <pic:pic>
                  <pic:nvPicPr>
                    <pic:cNvPr id="8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208" filled="true" fillcolor="#ffffff" stroked="false">
            <v:fill type="solid"/>
            <w10:wrap type="none"/>
          </v:rect>
        </w:pict>
      </w:r>
      <w:bookmarkStart w:name="_TOC_250012" w:id="45"/>
      <w:bookmarkStart w:name="五、投标函" w:id="46"/>
      <w:r>
        <w:rPr>
          <w:b w:val="0"/>
        </w:rPr>
      </w:r>
      <w:bookmarkEnd w:id="45"/>
      <w:r>
        <w:rPr/>
        <w:t>五、投标函</w:t>
      </w:r>
    </w:p>
    <w:p>
      <w:pPr>
        <w:pStyle w:val="BodyText"/>
        <w:spacing w:before="1"/>
        <w:rPr>
          <w:rFonts w:ascii="Microsoft JhengHei"/>
          <w:b/>
          <w:sz w:val="10"/>
        </w:rPr>
      </w:pPr>
    </w:p>
    <w:p>
      <w:pPr>
        <w:pStyle w:val="BodyText"/>
        <w:tabs>
          <w:tab w:pos="3029" w:val="left" w:leader="none"/>
        </w:tabs>
        <w:spacing w:before="74"/>
        <w:ind w:left="389"/>
      </w:pPr>
      <w:r>
        <w:rPr>
          <w:rFonts w:ascii="Times New Roman" w:eastAsia="Times New Roman"/>
          <w:u w:val="single"/>
        </w:rPr>
        <w:t> </w:t>
        <w:tab/>
      </w:r>
      <w:r>
        <w:rPr/>
        <w:t>：</w:t>
      </w:r>
    </w:p>
    <w:p>
      <w:pPr>
        <w:pStyle w:val="BodyText"/>
        <w:spacing w:before="4"/>
        <w:rPr>
          <w:sz w:val="21"/>
        </w:rPr>
      </w:pPr>
    </w:p>
    <w:p>
      <w:pPr>
        <w:pStyle w:val="BodyText"/>
        <w:tabs>
          <w:tab w:pos="6334" w:val="left" w:leader="none"/>
        </w:tabs>
        <w:spacing w:line="451" w:lineRule="auto" w:before="1"/>
        <w:ind w:left="389" w:right="329" w:firstLine="599"/>
      </w:pPr>
      <w:r>
        <w:rPr/>
        <w:t>经研究，我们决定参加编号为</w:t>
      </w:r>
      <w:r>
        <w:rPr>
          <w:u w:val="single"/>
        </w:rPr>
        <w:t> </w:t>
        <w:tab/>
      </w:r>
      <w:r>
        <w:rPr/>
        <w:t>的招标活动并投标，为此， 我方郑重声明以下诸点，并负法律责任。</w:t>
      </w:r>
    </w:p>
    <w:p>
      <w:pPr>
        <w:pStyle w:val="BodyText"/>
        <w:spacing w:before="3"/>
        <w:ind w:left="869"/>
      </w:pPr>
      <w:r>
        <w:rPr/>
        <w:t>一、我方按招标文件要求提交电子投标文件；</w:t>
      </w:r>
    </w:p>
    <w:p>
      <w:pPr>
        <w:pStyle w:val="BodyText"/>
        <w:spacing w:before="4"/>
        <w:rPr>
          <w:sz w:val="21"/>
        </w:rPr>
      </w:pPr>
    </w:p>
    <w:p>
      <w:pPr>
        <w:pStyle w:val="BodyText"/>
        <w:spacing w:line="451" w:lineRule="auto"/>
        <w:ind w:left="389" w:right="276" w:firstLine="479"/>
      </w:pPr>
      <w:r>
        <w:rPr/>
        <w:t>二、如果我们的投标文件被接受，我们将履行招标文件中规定的每项要求，并按我们投标文件中的承诺按期、按质、按量履约交付；</w:t>
      </w:r>
    </w:p>
    <w:p>
      <w:pPr>
        <w:pStyle w:val="BodyText"/>
        <w:spacing w:before="3"/>
        <w:ind w:left="869"/>
      </w:pPr>
      <w:r>
        <w:rPr/>
        <w:t>三、我们理解，最低报价不是中标的唯一条件，你们有选择中标人的权利；</w:t>
      </w:r>
    </w:p>
    <w:p>
      <w:pPr>
        <w:pStyle w:val="BodyText"/>
        <w:spacing w:before="5"/>
        <w:rPr>
          <w:sz w:val="21"/>
        </w:rPr>
      </w:pPr>
    </w:p>
    <w:p>
      <w:pPr>
        <w:pStyle w:val="BodyText"/>
        <w:spacing w:line="451" w:lineRule="auto"/>
        <w:ind w:left="389" w:right="329" w:firstLine="479"/>
        <w:jc w:val="both"/>
      </w:pPr>
      <w:r>
        <w:rPr>
          <w:spacing w:val="-6"/>
        </w:rPr>
        <w:t>四、投标截止时间结束后参加投标的供应商不足三家的，或在评标期间出现符合</w:t>
      </w:r>
      <w:r>
        <w:rPr>
          <w:spacing w:val="-7"/>
        </w:rPr>
        <w:t>专业条件的供应商或者对招标文件作出实质响应的供应商不足三家情形的，我们酌情决定是否参加当场变更的竞争性谈判采购；</w:t>
      </w:r>
    </w:p>
    <w:p>
      <w:pPr>
        <w:pStyle w:val="BodyText"/>
        <w:spacing w:line="451" w:lineRule="auto" w:before="5"/>
        <w:ind w:left="389" w:right="331" w:firstLine="479"/>
      </w:pPr>
      <w:r>
        <w:rPr>
          <w:spacing w:val="-7"/>
        </w:rPr>
        <w:t>五、我方愿按《中华人民共和国合同法》及其他有关法律、法规的规定，自觉履行自己的全部责任；</w:t>
      </w:r>
    </w:p>
    <w:p>
      <w:pPr>
        <w:pStyle w:val="BodyText"/>
        <w:spacing w:line="453" w:lineRule="auto" w:before="4"/>
        <w:ind w:left="389" w:right="294" w:firstLine="479"/>
      </w:pPr>
      <w:r>
        <w:rPr/>
        <w:t>六、我方已按招标文件的规定缴纳投标保证金，并同意按约定缴纳履约保证金， 遵守贵方有关招标投标的各项规定；</w:t>
      </w:r>
    </w:p>
    <w:p>
      <w:pPr>
        <w:pStyle w:val="BodyText"/>
        <w:spacing w:line="304" w:lineRule="exact"/>
        <w:ind w:left="869"/>
      </w:pPr>
      <w:r>
        <w:rPr/>
        <w:t>七、我方响应招标文件规定的投标有效期。</w:t>
      </w:r>
    </w:p>
    <w:p>
      <w:pPr>
        <w:pStyle w:val="BodyText"/>
      </w:pPr>
    </w:p>
    <w:p>
      <w:pPr>
        <w:pStyle w:val="BodyText"/>
      </w:pPr>
    </w:p>
    <w:p>
      <w:pPr>
        <w:pStyle w:val="BodyText"/>
        <w:spacing w:before="2"/>
        <w:rPr>
          <w:sz w:val="26"/>
        </w:rPr>
      </w:pPr>
    </w:p>
    <w:p>
      <w:pPr>
        <w:pStyle w:val="BodyText"/>
        <w:tabs>
          <w:tab w:pos="3778" w:val="left" w:leader="none"/>
        </w:tabs>
        <w:spacing w:line="544" w:lineRule="auto"/>
        <w:ind w:left="1018" w:right="4345"/>
        <w:jc w:val="center"/>
      </w:pPr>
      <w:r>
        <w:rPr/>
        <w:t>单位名称：</w:t>
      </w:r>
      <w:r>
        <w:rPr>
          <w:u w:val="single"/>
        </w:rPr>
        <w:t> </w:t>
        <w:tab/>
      </w:r>
      <w:r>
        <w:rPr/>
        <w:t>（电子签章） 法定代表人：</w:t>
      </w:r>
      <w:r>
        <w:rPr>
          <w:u w:val="single"/>
        </w:rPr>
        <w:t> </w:t>
        <w:tab/>
      </w:r>
      <w:r>
        <w:rPr/>
        <w:t>（电子签章）</w:t>
      </w:r>
    </w:p>
    <w:p>
      <w:pPr>
        <w:pStyle w:val="BodyText"/>
        <w:tabs>
          <w:tab w:pos="1617" w:val="left" w:leader="none"/>
          <w:tab w:pos="2578" w:val="left" w:leader="none"/>
          <w:tab w:pos="3538" w:val="left" w:leader="none"/>
        </w:tabs>
        <w:spacing w:before="4"/>
        <w:ind w:left="1018"/>
      </w:pPr>
      <w:r>
        <w:rPr>
          <w:rFonts w:ascii="Times New Roman" w:eastAsia="Times New Roman"/>
          <w:u w:val="single"/>
        </w:rPr>
        <w:t> </w:t>
        <w:tab/>
      </w:r>
      <w:r>
        <w:rPr/>
        <w:t>年</w:t>
      </w:r>
      <w:r>
        <w:rPr>
          <w:u w:val="single"/>
        </w:rPr>
        <w:t> </w:t>
        <w:tab/>
      </w:r>
      <w:r>
        <w:rPr/>
        <w:t>月</w:t>
      </w:r>
      <w:r>
        <w:rPr>
          <w:u w:val="single"/>
        </w:rPr>
        <w:t> </w:t>
        <w:tab/>
      </w:r>
      <w:r>
        <w:rPr/>
        <w:t>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0"/>
        <w:ind w:left="54" w:right="0" w:firstLine="0"/>
        <w:jc w:val="center"/>
        <w:rPr>
          <w:rFonts w:ascii="Calibri"/>
          <w:sz w:val="18"/>
        </w:rPr>
      </w:pPr>
      <w:r>
        <w:rPr>
          <w:rFonts w:ascii="Calibri"/>
          <w:sz w:val="18"/>
        </w:rPr>
        <w:t>38</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271">
            <wp:simplePos x="0" y="0"/>
            <wp:positionH relativeFrom="page">
              <wp:posOffset>203309</wp:posOffset>
            </wp:positionH>
            <wp:positionV relativeFrom="page">
              <wp:posOffset>944714</wp:posOffset>
            </wp:positionV>
            <wp:extent cx="7115825" cy="9747669"/>
            <wp:effectExtent l="0" t="0" r="0" b="0"/>
            <wp:wrapNone/>
            <wp:docPr id="87" name="image2.jpeg" descr=""/>
            <wp:cNvGraphicFramePr>
              <a:graphicFrameLocks noChangeAspect="1"/>
            </wp:cNvGraphicFramePr>
            <a:graphic>
              <a:graphicData uri="http://schemas.openxmlformats.org/drawingml/2006/picture">
                <pic:pic>
                  <pic:nvPicPr>
                    <pic:cNvPr id="8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160" filled="true" fillcolor="#ffffff" stroked="false">
            <v:fill type="solid"/>
            <w10:wrap type="none"/>
          </v:rect>
        </w:pict>
      </w:r>
      <w:bookmarkStart w:name="_TOC_250011" w:id="47"/>
      <w:bookmarkStart w:name="六、法定代表人身份证明或授权委托书" w:id="48"/>
      <w:r>
        <w:rPr>
          <w:b w:val="0"/>
        </w:rPr>
      </w:r>
      <w:bookmarkEnd w:id="47"/>
      <w:r>
        <w:rPr/>
        <w:t>六、法定代表人身份证明或授权委托书</w:t>
      </w:r>
    </w:p>
    <w:p>
      <w:pPr>
        <w:spacing w:before="59"/>
        <w:ind w:left="3365" w:right="0" w:firstLine="0"/>
        <w:jc w:val="left"/>
        <w:rPr>
          <w:rFonts w:ascii="Microsoft JhengHei" w:eastAsia="Microsoft JhengHei" w:hint="eastAsia"/>
          <w:b/>
          <w:sz w:val="32"/>
        </w:rPr>
      </w:pPr>
      <w:r>
        <w:rPr>
          <w:rFonts w:ascii="Microsoft JhengHei" w:eastAsia="Microsoft JhengHei" w:hint="eastAsia"/>
          <w:b/>
          <w:sz w:val="32"/>
        </w:rPr>
        <w:t>法定代表人身份证明</w:t>
      </w:r>
    </w:p>
    <w:p>
      <w:pPr>
        <w:pStyle w:val="BodyText"/>
        <w:spacing w:before="2"/>
        <w:rPr>
          <w:rFonts w:ascii="Microsoft JhengHei"/>
          <w:b/>
          <w:sz w:val="31"/>
        </w:rPr>
      </w:pPr>
    </w:p>
    <w:p>
      <w:pPr>
        <w:pStyle w:val="BodyText"/>
        <w:tabs>
          <w:tab w:pos="2724" w:val="left" w:leader="none"/>
          <w:tab w:pos="3924" w:val="left" w:leader="none"/>
          <w:tab w:pos="5125" w:val="left" w:leader="none"/>
          <w:tab w:pos="5245" w:val="left" w:leader="none"/>
          <w:tab w:pos="5365" w:val="left" w:leader="none"/>
        </w:tabs>
        <w:spacing w:line="374" w:lineRule="auto"/>
        <w:ind w:left="389" w:right="4134"/>
        <w:rPr>
          <w:rFonts w:ascii="Times New Roman" w:eastAsia="Times New Roman"/>
        </w:rPr>
      </w:pPr>
      <w:r>
        <w:rPr>
          <w:spacing w:val="-1"/>
        </w:rPr>
        <w:t>投</w:t>
      </w:r>
      <w:r>
        <w:rPr/>
        <w:t>标人名称：</w:t>
      </w:r>
      <w:r>
        <w:rPr>
          <w:rFonts w:ascii="Times New Roman" w:eastAsia="Times New Roman"/>
          <w:u w:val="single"/>
        </w:rPr>
        <w:t> </w:t>
        <w:tab/>
        <w:tab/>
        <w:tab/>
        <w:tab/>
      </w:r>
      <w:r>
        <w:rPr>
          <w:rFonts w:ascii="Times New Roman" w:eastAsia="Times New Roman"/>
          <w:spacing w:val="-1"/>
          <w:u w:val="single"/>
        </w:rPr>
        <w:t>                          </w:t>
      </w:r>
      <w:r>
        <w:rPr>
          <w:rFonts w:ascii="Times New Roman" w:eastAsia="Times New Roman"/>
          <w:spacing w:val="25"/>
          <w:u w:val="single"/>
        </w:rPr>
        <w:t> </w:t>
      </w:r>
      <w:r>
        <w:rPr>
          <w:spacing w:val="-1"/>
        </w:rPr>
        <w:t>单</w:t>
      </w:r>
      <w:r>
        <w:rPr/>
        <w:t>位性质：</w:t>
      </w:r>
      <w:r>
        <w:rPr>
          <w:rFonts w:ascii="Times New Roman" w:eastAsia="Times New Roman"/>
          <w:u w:val="single"/>
        </w:rPr>
        <w:t> </w:t>
        <w:tab/>
        <w:tab/>
        <w:tab/>
        <w:tab/>
        <w:tab/>
      </w:r>
      <w:r>
        <w:rPr>
          <w:rFonts w:ascii="Times New Roman" w:eastAsia="Times New Roman"/>
          <w:spacing w:val="-1"/>
          <w:u w:val="single"/>
        </w:rPr>
        <w:t>                             </w:t>
      </w:r>
      <w:r>
        <w:rPr>
          <w:rFonts w:ascii="Times New Roman" w:eastAsia="Times New Roman"/>
          <w:spacing w:val="28"/>
          <w:u w:val="single"/>
        </w:rPr>
        <w:t> </w:t>
      </w:r>
      <w:r>
        <w:rPr>
          <w:spacing w:val="-1"/>
        </w:rPr>
        <w:t>地</w:t>
      </w:r>
      <w:r>
        <w:rPr/>
        <w:t>址：</w:t>
      </w:r>
      <w:r>
        <w:rPr>
          <w:rFonts w:ascii="Times New Roman" w:eastAsia="Times New Roman"/>
          <w:u w:val="single"/>
        </w:rPr>
        <w:t> </w:t>
        <w:tab/>
        <w:tab/>
        <w:tab/>
        <w:tab/>
        <w:tab/>
        <w:t> </w:t>
      </w:r>
      <w:r>
        <w:rPr/>
        <w:t>成立时间：</w:t>
      </w:r>
      <w:r>
        <w:rPr>
          <w:u w:val="single"/>
        </w:rPr>
        <w:tab/>
      </w:r>
      <w:r>
        <w:rPr/>
        <w:t>年</w:t>
      </w:r>
      <w:r>
        <w:rPr>
          <w:u w:val="single"/>
        </w:rPr>
        <w:tab/>
      </w:r>
      <w:r>
        <w:rPr/>
        <w:t>月</w:t>
      </w:r>
      <w:r>
        <w:rPr>
          <w:u w:val="single"/>
        </w:rPr>
        <w:tab/>
      </w:r>
      <w:r>
        <w:rPr/>
        <w:t>日</w:t>
      </w:r>
      <w:r>
        <w:rPr>
          <w:spacing w:val="-1"/>
        </w:rPr>
        <w:t>经</w:t>
      </w:r>
      <w:r>
        <w:rPr/>
        <w:t>营期限：</w:t>
      </w:r>
      <w:r>
        <w:rPr>
          <w:rFonts w:ascii="Times New Roman" w:eastAsia="Times New Roman"/>
          <w:u w:val="single"/>
        </w:rPr>
        <w:t> </w:t>
        <w:tab/>
        <w:tab/>
        <w:tab/>
        <w:tab/>
        <w:tab/>
      </w:r>
    </w:p>
    <w:p>
      <w:pPr>
        <w:pStyle w:val="BodyText"/>
        <w:tabs>
          <w:tab w:pos="2124" w:val="left" w:leader="none"/>
          <w:tab w:pos="4044" w:val="left" w:leader="none"/>
          <w:tab w:pos="5790" w:val="left" w:leader="none"/>
          <w:tab w:pos="7470" w:val="left" w:leader="none"/>
        </w:tabs>
        <w:spacing w:before="2"/>
        <w:ind w:left="389"/>
      </w:pPr>
      <w:r>
        <w:rPr/>
        <w:t>姓名：</w:t>
      </w:r>
      <w:r>
        <w:rPr>
          <w:u w:val="single"/>
        </w:rPr>
        <w:tab/>
      </w:r>
      <w:r>
        <w:rPr/>
        <w:t>性别：</w:t>
      </w:r>
      <w:r>
        <w:rPr>
          <w:u w:val="single"/>
        </w:rPr>
        <w:tab/>
      </w:r>
      <w:r>
        <w:rPr/>
        <w:t>年龄：</w:t>
      </w:r>
      <w:r>
        <w:rPr>
          <w:u w:val="single"/>
        </w:rPr>
        <w:t> </w:t>
        <w:tab/>
      </w:r>
      <w:r>
        <w:rPr/>
        <w:t>职务：</w:t>
      </w:r>
      <w:r>
        <w:rPr>
          <w:u w:val="single"/>
        </w:rPr>
        <w:t> </w:t>
        <w:tab/>
      </w:r>
      <w:r>
        <w:rPr/>
        <w:t>系</w:t>
      </w:r>
    </w:p>
    <w:p>
      <w:pPr>
        <w:pStyle w:val="BodyText"/>
        <w:tabs>
          <w:tab w:pos="3924" w:val="left" w:leader="none"/>
        </w:tabs>
        <w:spacing w:line="374" w:lineRule="auto" w:before="172"/>
        <w:ind w:left="869" w:right="2214" w:hanging="480"/>
      </w:pPr>
      <w:r>
        <w:rPr>
          <w:rFonts w:ascii="Times New Roman" w:eastAsia="Times New Roman"/>
          <w:u w:val="single"/>
        </w:rPr>
        <w:t> </w:t>
        <w:tab/>
        <w:tab/>
      </w:r>
      <w:r>
        <w:rPr>
          <w:rFonts w:ascii="Times New Roman" w:eastAsia="Times New Roman"/>
          <w:spacing w:val="5"/>
        </w:rPr>
        <w:t> </w:t>
      </w:r>
      <w:r>
        <w:rPr/>
        <w:t>（投标人名称）的法定代表人。特此证明。</w:t>
      </w:r>
    </w:p>
    <w:p>
      <w:pPr>
        <w:pStyle w:val="Heading8"/>
        <w:spacing w:line="326" w:lineRule="auto" w:before="18"/>
        <w:ind w:left="389" w:right="334"/>
      </w:pPr>
      <w:r>
        <w:rPr/>
        <w:t>（</w:t>
      </w:r>
      <w:r>
        <w:rPr>
          <w:spacing w:val="-4"/>
        </w:rPr>
        <w:t>法定代表人出席开标会议的提供，未出席的可不提供。附法定代表人身份证、扫描</w:t>
      </w:r>
      <w:r>
        <w:rPr>
          <w:spacing w:val="-62"/>
        </w:rPr>
        <w:t>件。</w:t>
      </w:r>
      <w:r>
        <w:rPr/>
        <w:t>）</w:t>
      </w:r>
    </w:p>
    <w:p>
      <w:pPr>
        <w:pStyle w:val="BodyText"/>
        <w:rPr>
          <w:rFonts w:ascii="Microsoft JhengHei"/>
          <w:b/>
        </w:rPr>
      </w:pPr>
    </w:p>
    <w:p>
      <w:pPr>
        <w:pStyle w:val="BodyText"/>
        <w:rPr>
          <w:rFonts w:ascii="Microsoft JhengHei"/>
          <w:b/>
        </w:rPr>
      </w:pPr>
    </w:p>
    <w:p>
      <w:pPr>
        <w:pStyle w:val="BodyText"/>
        <w:rPr>
          <w:rFonts w:ascii="Microsoft JhengHei"/>
          <w:b/>
        </w:rPr>
      </w:pPr>
    </w:p>
    <w:p>
      <w:pPr>
        <w:pStyle w:val="BodyText"/>
        <w:rPr>
          <w:rFonts w:ascii="Microsoft JhengHei"/>
          <w:b/>
        </w:rPr>
      </w:pPr>
    </w:p>
    <w:p>
      <w:pPr>
        <w:pStyle w:val="BodyText"/>
        <w:rPr>
          <w:rFonts w:ascii="Microsoft JhengHei"/>
          <w:b/>
          <w:sz w:val="17"/>
        </w:rPr>
      </w:pPr>
    </w:p>
    <w:p>
      <w:pPr>
        <w:pStyle w:val="BodyText"/>
        <w:tabs>
          <w:tab w:pos="3574" w:val="left" w:leader="none"/>
        </w:tabs>
        <w:spacing w:line="460" w:lineRule="auto"/>
        <w:ind w:left="814" w:right="4530" w:firstLine="19"/>
      </w:pPr>
      <w:r>
        <w:rPr/>
        <w:t>单位名称：</w:t>
      </w:r>
      <w:r>
        <w:rPr>
          <w:u w:val="single"/>
        </w:rPr>
        <w:t> </w:t>
        <w:tab/>
      </w:r>
      <w:r>
        <w:rPr/>
        <w:t>（电子签章） 法定代表人：</w:t>
      </w:r>
      <w:r>
        <w:rPr>
          <w:u w:val="single"/>
        </w:rPr>
        <w:t> </w:t>
        <w:tab/>
      </w:r>
      <w:r>
        <w:rPr/>
        <w:t>（电子签章）</w:t>
      </w:r>
    </w:p>
    <w:p>
      <w:pPr>
        <w:pStyle w:val="BodyText"/>
        <w:tabs>
          <w:tab w:pos="1977" w:val="left" w:leader="none"/>
          <w:tab w:pos="2938" w:val="left" w:leader="none"/>
          <w:tab w:pos="3898" w:val="left" w:leader="none"/>
        </w:tabs>
        <w:spacing w:before="79"/>
        <w:ind w:left="1378"/>
      </w:pPr>
      <w:r>
        <w:rPr>
          <w:rFonts w:ascii="Times New Roman" w:eastAsia="Times New Roman"/>
          <w:u w:val="single"/>
        </w:rPr>
        <w:t> </w:t>
        <w:tab/>
      </w:r>
      <w:r>
        <w:rPr/>
        <w:t>年</w:t>
      </w:r>
      <w:r>
        <w:rPr>
          <w:u w:val="single"/>
        </w:rPr>
        <w:t> </w:t>
        <w:tab/>
      </w:r>
      <w:r>
        <w:rPr/>
        <w:t>月</w:t>
      </w:r>
      <w:r>
        <w:rPr>
          <w:u w:val="single"/>
        </w:rPr>
        <w:t> </w:t>
        <w:tab/>
      </w:r>
      <w:r>
        <w:rPr/>
        <w:t>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before="64"/>
        <w:ind w:left="54" w:right="0" w:firstLine="0"/>
        <w:jc w:val="center"/>
        <w:rPr>
          <w:rFonts w:ascii="Calibri"/>
          <w:sz w:val="18"/>
        </w:rPr>
      </w:pPr>
      <w:r>
        <w:rPr>
          <w:rFonts w:ascii="Calibri"/>
          <w:sz w:val="18"/>
        </w:rPr>
        <w:t>39</w:t>
      </w:r>
    </w:p>
    <w:p>
      <w:pPr>
        <w:spacing w:after="0"/>
        <w:jc w:val="center"/>
        <w:rPr>
          <w:rFonts w:ascii="Calibri"/>
          <w:sz w:val="18"/>
        </w:rPr>
        <w:sectPr>
          <w:pgSz w:w="11910" w:h="16840"/>
          <w:pgMar w:top="1500" w:bottom="280" w:left="1200" w:right="1140"/>
        </w:sectPr>
      </w:pPr>
    </w:p>
    <w:p>
      <w:pPr>
        <w:spacing w:line="514" w:lineRule="exact" w:before="0"/>
        <w:ind w:left="3205" w:right="0" w:firstLine="0"/>
        <w:jc w:val="left"/>
        <w:rPr>
          <w:rFonts w:ascii="Microsoft JhengHei" w:eastAsia="Microsoft JhengHei" w:hint="eastAsia"/>
          <w:b/>
          <w:sz w:val="32"/>
        </w:rPr>
      </w:pPr>
      <w:r>
        <w:rPr/>
        <w:drawing>
          <wp:anchor distT="0" distB="0" distL="0" distR="0" allowOverlap="1" layoutInCell="1" locked="0" behindDoc="1" simplePos="0" relativeHeight="268351319">
            <wp:simplePos x="0" y="0"/>
            <wp:positionH relativeFrom="page">
              <wp:posOffset>203309</wp:posOffset>
            </wp:positionH>
            <wp:positionV relativeFrom="page">
              <wp:posOffset>944714</wp:posOffset>
            </wp:positionV>
            <wp:extent cx="7115825" cy="9747669"/>
            <wp:effectExtent l="0" t="0" r="0" b="0"/>
            <wp:wrapNone/>
            <wp:docPr id="89" name="image2.jpeg" descr=""/>
            <wp:cNvGraphicFramePr>
              <a:graphicFrameLocks noChangeAspect="1"/>
            </wp:cNvGraphicFramePr>
            <a:graphic>
              <a:graphicData uri="http://schemas.openxmlformats.org/drawingml/2006/picture">
                <pic:pic>
                  <pic:nvPicPr>
                    <pic:cNvPr id="9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112" filled="true" fillcolor="#ffffff" stroked="false">
            <v:fill type="solid"/>
            <w10:wrap type="none"/>
          </v:rect>
        </w:pict>
      </w:r>
      <w:r>
        <w:rPr>
          <w:rFonts w:ascii="Microsoft JhengHei" w:eastAsia="Microsoft JhengHei" w:hint="eastAsia"/>
          <w:b/>
          <w:sz w:val="32"/>
        </w:rPr>
        <w:t>法定代表人授权委托书</w:t>
      </w:r>
    </w:p>
    <w:p>
      <w:pPr>
        <w:pStyle w:val="BodyText"/>
        <w:spacing w:before="14"/>
        <w:rPr>
          <w:rFonts w:ascii="Microsoft JhengHei"/>
          <w:b/>
          <w:sz w:val="29"/>
        </w:rPr>
      </w:pPr>
    </w:p>
    <w:p>
      <w:pPr>
        <w:pStyle w:val="BodyText"/>
        <w:tabs>
          <w:tab w:pos="1987" w:val="left" w:leader="none"/>
        </w:tabs>
        <w:ind w:left="389"/>
      </w:pPr>
      <w:r>
        <w:rPr>
          <w:rFonts w:ascii="Times New Roman" w:eastAsia="Times New Roman"/>
          <w:u w:val="single"/>
        </w:rPr>
        <w:t> </w:t>
        <w:tab/>
      </w:r>
      <w:r>
        <w:rPr>
          <w:u w:val="single"/>
        </w:rPr>
        <w:t>（采购人名称</w:t>
      </w:r>
      <w:r>
        <w:rPr>
          <w:spacing w:val="-120"/>
          <w:u w:val="single"/>
        </w:rPr>
        <w:t>）</w:t>
      </w:r>
      <w:r>
        <w:rPr/>
        <w:t>：</w:t>
      </w:r>
    </w:p>
    <w:p>
      <w:pPr>
        <w:pStyle w:val="BodyText"/>
        <w:spacing w:before="1"/>
        <w:rPr>
          <w:sz w:val="19"/>
        </w:rPr>
      </w:pPr>
    </w:p>
    <w:p>
      <w:pPr>
        <w:pStyle w:val="BodyText"/>
        <w:tabs>
          <w:tab w:pos="1109" w:val="left" w:leader="none"/>
          <w:tab w:pos="5310" w:val="left" w:leader="none"/>
          <w:tab w:pos="5478" w:val="left" w:leader="none"/>
          <w:tab w:pos="7542" w:val="left" w:leader="none"/>
        </w:tabs>
        <w:spacing w:line="468" w:lineRule="auto"/>
        <w:ind w:left="389" w:right="324"/>
      </w:pPr>
      <w:r>
        <w:rPr>
          <w:rFonts w:ascii="Times New Roman" w:eastAsia="Times New Roman"/>
          <w:u w:val="single"/>
        </w:rPr>
        <w:t> </w:t>
        <w:tab/>
      </w:r>
      <w:r>
        <w:rPr>
          <w:u w:val="single"/>
        </w:rPr>
        <w:t>（单位名称）</w:t>
      </w:r>
      <w:r>
        <w:rPr/>
        <w:t>法定代表人授权我单位</w:t>
      </w:r>
      <w:r>
        <w:rPr>
          <w:u w:val="single"/>
        </w:rPr>
        <w:t> </w:t>
        <w:tab/>
        <w:tab/>
        <w:t>（职务或职称）</w:t>
        <w:tab/>
        <w:t>（姓名）</w:t>
      </w:r>
      <w:r>
        <w:rPr/>
        <w:t>为我单位本次授权代理人，全权处理此次</w:t>
      </w:r>
      <w:r>
        <w:rPr>
          <w:u w:val="single"/>
        </w:rPr>
        <w:t> </w:t>
        <w:tab/>
      </w:r>
      <w:r>
        <w:rPr/>
        <w:t>公开招标活动的一切事宜。</w:t>
      </w:r>
    </w:p>
    <w:p>
      <w:pPr>
        <w:pStyle w:val="BodyText"/>
        <w:spacing w:before="1"/>
        <w:ind w:left="1020"/>
      </w:pPr>
      <w:r>
        <w:rPr/>
        <w:t>特此授权</w:t>
      </w:r>
    </w:p>
    <w:p>
      <w:pPr>
        <w:pStyle w:val="Heading8"/>
        <w:spacing w:before="214"/>
        <w:ind w:left="1020"/>
      </w:pPr>
      <w:r>
        <w:rPr/>
        <w:t>（授权委托人出席开标会议的提供。附法定代表人、授权委托人身份证扫描件。</w:t>
      </w:r>
    </w:p>
    <w:p>
      <w:pPr>
        <w:spacing w:line="244" w:lineRule="auto" w:before="52"/>
        <w:ind w:left="389" w:right="334" w:firstLine="0"/>
        <w:jc w:val="left"/>
        <w:rPr>
          <w:rFonts w:ascii="Microsoft JhengHei" w:eastAsia="Microsoft JhengHei" w:hint="eastAsia"/>
          <w:b/>
          <w:sz w:val="32"/>
        </w:rPr>
      </w:pPr>
      <w:r>
        <w:rPr>
          <w:rFonts w:ascii="Microsoft JhengHei" w:eastAsia="Microsoft JhengHei" w:hint="eastAsia"/>
          <w:b/>
          <w:color w:val="FF0000"/>
          <w:spacing w:val="-8"/>
          <w:sz w:val="32"/>
        </w:rPr>
        <w:t>授权委托书电子件需授权代表签字后扫描上传，并加盖单位及法</w:t>
      </w:r>
      <w:r>
        <w:rPr>
          <w:rFonts w:ascii="Microsoft JhengHei" w:eastAsia="Microsoft JhengHei" w:hint="eastAsia"/>
          <w:b/>
          <w:color w:val="FF0000"/>
          <w:spacing w:val="-25"/>
          <w:sz w:val="32"/>
        </w:rPr>
        <w:t>定代表人电子签章。</w:t>
      </w:r>
      <w:r>
        <w:rPr>
          <w:rFonts w:ascii="Microsoft JhengHei" w:eastAsia="Microsoft JhengHei" w:hint="eastAsia"/>
          <w:b/>
          <w:sz w:val="32"/>
          <w:vertAlign w:val="subscript"/>
        </w:rPr>
        <w:t>）</w:t>
      </w:r>
    </w:p>
    <w:p>
      <w:pPr>
        <w:pStyle w:val="BodyText"/>
        <w:tabs>
          <w:tab w:pos="3898" w:val="left" w:leader="none"/>
        </w:tabs>
        <w:spacing w:line="547" w:lineRule="auto" w:before="264"/>
        <w:ind w:left="1018" w:right="4225"/>
      </w:pPr>
      <w:r>
        <w:rPr/>
        <w:t>单位名称：</w:t>
      </w:r>
      <w:r>
        <w:rPr>
          <w:u w:val="single"/>
        </w:rPr>
        <w:t> </w:t>
        <w:tab/>
      </w:r>
      <w:r>
        <w:rPr/>
        <w:t>（电子签章） 法定代表人：</w:t>
      </w:r>
      <w:r>
        <w:rPr>
          <w:u w:val="single"/>
        </w:rPr>
        <w:t> </w:t>
        <w:tab/>
      </w:r>
      <w:r>
        <w:rPr/>
        <w:t>（电子签章）</w:t>
      </w:r>
    </w:p>
    <w:p>
      <w:pPr>
        <w:pStyle w:val="BodyText"/>
        <w:tabs>
          <w:tab w:pos="4378" w:val="left" w:leader="none"/>
        </w:tabs>
        <w:spacing w:line="307" w:lineRule="exact"/>
        <w:ind w:left="1018"/>
      </w:pPr>
      <w:r>
        <w:rPr/>
        <w:t>法人授权代表：</w:t>
      </w:r>
      <w:r>
        <w:rPr>
          <w:u w:val="single"/>
        </w:rPr>
        <w:t> </w:t>
        <w:tab/>
      </w:r>
      <w:r>
        <w:rPr/>
        <w:t>（签字）</w:t>
      </w:r>
    </w:p>
    <w:p>
      <w:pPr>
        <w:pStyle w:val="BodyText"/>
        <w:tabs>
          <w:tab w:pos="1709" w:val="left" w:leader="none"/>
          <w:tab w:pos="2669" w:val="left" w:leader="none"/>
          <w:tab w:pos="3629" w:val="left" w:leader="none"/>
        </w:tabs>
        <w:spacing w:before="72"/>
        <w:ind w:left="1109"/>
      </w:pPr>
      <w:r>
        <w:rPr>
          <w:rFonts w:ascii="Times New Roman" w:eastAsia="Times New Roman"/>
          <w:u w:val="single"/>
        </w:rPr>
        <w:t> </w:t>
        <w:tab/>
      </w:r>
      <w:r>
        <w:rPr/>
        <w:t>年</w:t>
      </w:r>
      <w:r>
        <w:rPr>
          <w:u w:val="single"/>
        </w:rPr>
        <w:t> </w:t>
        <w:tab/>
      </w:r>
      <w:r>
        <w:rPr/>
        <w:t>月</w:t>
      </w:r>
      <w:r>
        <w:rPr>
          <w:u w:val="single"/>
        </w:rPr>
        <w:t> </w:t>
        <w:tab/>
      </w:r>
      <w:r>
        <w:rPr/>
        <w:t>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before="63"/>
        <w:ind w:left="54" w:right="0" w:firstLine="0"/>
        <w:jc w:val="center"/>
        <w:rPr>
          <w:rFonts w:ascii="Calibri"/>
          <w:sz w:val="18"/>
        </w:rPr>
      </w:pPr>
      <w:r>
        <w:rPr>
          <w:rFonts w:ascii="Calibri"/>
          <w:sz w:val="18"/>
        </w:rPr>
        <w:t>40</w:t>
      </w:r>
    </w:p>
    <w:p>
      <w:pPr>
        <w:spacing w:after="0"/>
        <w:jc w:val="center"/>
        <w:rPr>
          <w:rFonts w:ascii="Calibri"/>
          <w:sz w:val="18"/>
        </w:rPr>
        <w:sectPr>
          <w:pgSz w:w="11910" w:h="16840"/>
          <w:pgMar w:top="1520" w:bottom="280" w:left="1200" w:right="1140"/>
        </w:sectPr>
      </w:pPr>
    </w:p>
    <w:p>
      <w:pPr>
        <w:pStyle w:val="Heading2"/>
      </w:pPr>
      <w:r>
        <w:rPr/>
        <w:drawing>
          <wp:anchor distT="0" distB="0" distL="0" distR="0" allowOverlap="1" layoutInCell="1" locked="0" behindDoc="1" simplePos="0" relativeHeight="268351367">
            <wp:simplePos x="0" y="0"/>
            <wp:positionH relativeFrom="page">
              <wp:posOffset>203309</wp:posOffset>
            </wp:positionH>
            <wp:positionV relativeFrom="page">
              <wp:posOffset>944714</wp:posOffset>
            </wp:positionV>
            <wp:extent cx="7115825" cy="9747669"/>
            <wp:effectExtent l="0" t="0" r="0" b="0"/>
            <wp:wrapNone/>
            <wp:docPr id="91" name="image2.jpeg" descr=""/>
            <wp:cNvGraphicFramePr>
              <a:graphicFrameLocks noChangeAspect="1"/>
            </wp:cNvGraphicFramePr>
            <a:graphic>
              <a:graphicData uri="http://schemas.openxmlformats.org/drawingml/2006/picture">
                <pic:pic>
                  <pic:nvPicPr>
                    <pic:cNvPr id="9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064" filled="true" fillcolor="#ffffff" stroked="false">
            <v:fill type="solid"/>
            <w10:wrap type="none"/>
          </v:rect>
        </w:pict>
      </w:r>
      <w:bookmarkStart w:name="_TOC_250010" w:id="49"/>
      <w:bookmarkStart w:name="七、开标一览表" w:id="50"/>
      <w:r>
        <w:rPr>
          <w:b w:val="0"/>
        </w:rPr>
      </w:r>
      <w:bookmarkEnd w:id="49"/>
      <w:r>
        <w:rPr/>
        <w:t>七、开标一览表</w:t>
      </w:r>
    </w:p>
    <w:p>
      <w:pPr>
        <w:pStyle w:val="BodyText"/>
        <w:spacing w:before="17"/>
        <w:rPr>
          <w:rFonts w:ascii="Microsoft JhengHei"/>
          <w:b/>
          <w:sz w:val="18"/>
        </w:rPr>
      </w:pPr>
    </w:p>
    <w:tbl>
      <w:tblPr>
        <w:tblW w:w="0" w:type="auto"/>
        <w:jc w:val="left"/>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20"/>
        <w:gridCol w:w="3022"/>
        <w:gridCol w:w="3020"/>
      </w:tblGrid>
      <w:tr>
        <w:trPr>
          <w:trHeight w:val="506" w:hRule="atLeast"/>
        </w:trPr>
        <w:tc>
          <w:tcPr>
            <w:tcW w:w="3020" w:type="dxa"/>
            <w:shd w:val="clear" w:color="auto" w:fill="FFFFFF"/>
          </w:tcPr>
          <w:p>
            <w:pPr>
              <w:pStyle w:val="TableParagraph"/>
              <w:spacing w:before="117"/>
              <w:ind w:left="107"/>
              <w:rPr>
                <w:sz w:val="21"/>
              </w:rPr>
            </w:pPr>
            <w:r>
              <w:rPr>
                <w:sz w:val="21"/>
              </w:rPr>
              <w:t>标题</w:t>
            </w:r>
          </w:p>
        </w:tc>
        <w:tc>
          <w:tcPr>
            <w:tcW w:w="3022" w:type="dxa"/>
            <w:shd w:val="clear" w:color="auto" w:fill="FFFFFF"/>
          </w:tcPr>
          <w:p>
            <w:pPr>
              <w:pStyle w:val="TableParagraph"/>
              <w:spacing w:before="50"/>
              <w:ind w:left="107"/>
              <w:rPr>
                <w:rFonts w:ascii="Microsoft JhengHei" w:eastAsia="Microsoft JhengHei" w:hint="eastAsia"/>
                <w:b/>
                <w:sz w:val="21"/>
              </w:rPr>
            </w:pPr>
            <w:r>
              <w:rPr>
                <w:rFonts w:ascii="Microsoft JhengHei" w:eastAsia="Microsoft JhengHei" w:hint="eastAsia"/>
                <w:b/>
                <w:sz w:val="21"/>
              </w:rPr>
              <w:t>内容</w:t>
            </w:r>
          </w:p>
        </w:tc>
        <w:tc>
          <w:tcPr>
            <w:tcW w:w="3020" w:type="dxa"/>
            <w:shd w:val="clear" w:color="auto" w:fill="FFFFFF"/>
          </w:tcPr>
          <w:p>
            <w:pPr>
              <w:pStyle w:val="TableParagraph"/>
              <w:spacing w:before="50"/>
              <w:ind w:left="105"/>
              <w:rPr>
                <w:rFonts w:ascii="Microsoft JhengHei" w:eastAsia="Microsoft JhengHei" w:hint="eastAsia"/>
                <w:b/>
                <w:sz w:val="21"/>
              </w:rPr>
            </w:pPr>
            <w:r>
              <w:rPr>
                <w:rFonts w:ascii="Microsoft JhengHei" w:eastAsia="Microsoft JhengHei" w:hint="eastAsia"/>
                <w:b/>
                <w:sz w:val="21"/>
              </w:rPr>
              <w:t>单位</w:t>
            </w:r>
          </w:p>
        </w:tc>
      </w:tr>
      <w:tr>
        <w:trPr>
          <w:trHeight w:val="508" w:hRule="atLeast"/>
        </w:trPr>
        <w:tc>
          <w:tcPr>
            <w:tcW w:w="3020" w:type="dxa"/>
            <w:shd w:val="clear" w:color="auto" w:fill="FFFFFF"/>
          </w:tcPr>
          <w:p>
            <w:pPr>
              <w:pStyle w:val="TableParagraph"/>
              <w:spacing w:before="50"/>
              <w:ind w:left="107"/>
              <w:rPr>
                <w:rFonts w:ascii="Microsoft JhengHei" w:eastAsia="Microsoft JhengHei" w:hint="eastAsia"/>
                <w:b/>
                <w:sz w:val="21"/>
              </w:rPr>
            </w:pPr>
            <w:r>
              <w:rPr>
                <w:rFonts w:ascii="Microsoft JhengHei" w:eastAsia="Microsoft JhengHei" w:hint="eastAsia"/>
                <w:b/>
                <w:sz w:val="21"/>
              </w:rPr>
              <w:t>投标总价</w:t>
            </w:r>
          </w:p>
        </w:tc>
        <w:tc>
          <w:tcPr>
            <w:tcW w:w="3022" w:type="dxa"/>
            <w:shd w:val="clear" w:color="auto" w:fill="FFFFFF"/>
          </w:tcPr>
          <w:p>
            <w:pPr>
              <w:pStyle w:val="TableParagraph"/>
              <w:rPr>
                <w:rFonts w:ascii="Times New Roman"/>
                <w:sz w:val="22"/>
              </w:rPr>
            </w:pPr>
          </w:p>
        </w:tc>
        <w:tc>
          <w:tcPr>
            <w:tcW w:w="3020" w:type="dxa"/>
            <w:shd w:val="clear" w:color="auto" w:fill="FFFFFF"/>
          </w:tcPr>
          <w:p>
            <w:pPr>
              <w:pStyle w:val="TableParagraph"/>
              <w:spacing w:before="117"/>
              <w:ind w:left="105"/>
              <w:rPr>
                <w:sz w:val="21"/>
              </w:rPr>
            </w:pPr>
            <w:r>
              <w:rPr>
                <w:w w:val="100"/>
                <w:sz w:val="21"/>
              </w:rPr>
              <w:t>元</w:t>
            </w:r>
          </w:p>
        </w:tc>
      </w:tr>
      <w:tr>
        <w:trPr>
          <w:trHeight w:val="506" w:hRule="atLeast"/>
        </w:trPr>
        <w:tc>
          <w:tcPr>
            <w:tcW w:w="3020" w:type="dxa"/>
            <w:shd w:val="clear" w:color="auto" w:fill="FFFFFF"/>
          </w:tcPr>
          <w:p>
            <w:pPr>
              <w:pStyle w:val="TableParagraph"/>
              <w:spacing w:before="115"/>
              <w:ind w:left="191"/>
              <w:rPr>
                <w:sz w:val="21"/>
              </w:rPr>
            </w:pPr>
            <w:r>
              <w:rPr>
                <w:sz w:val="21"/>
              </w:rPr>
              <w:t>交货时间</w:t>
            </w:r>
          </w:p>
        </w:tc>
        <w:tc>
          <w:tcPr>
            <w:tcW w:w="3022" w:type="dxa"/>
            <w:shd w:val="clear" w:color="auto" w:fill="FFFFFF"/>
          </w:tcPr>
          <w:p>
            <w:pPr>
              <w:pStyle w:val="TableParagraph"/>
              <w:rPr>
                <w:rFonts w:ascii="Times New Roman"/>
                <w:sz w:val="22"/>
              </w:rPr>
            </w:pPr>
          </w:p>
        </w:tc>
        <w:tc>
          <w:tcPr>
            <w:tcW w:w="3020" w:type="dxa"/>
            <w:shd w:val="clear" w:color="auto" w:fill="FFFFFF"/>
          </w:tcPr>
          <w:p>
            <w:pPr>
              <w:pStyle w:val="TableParagraph"/>
              <w:rPr>
                <w:rFonts w:ascii="Times New Roman"/>
                <w:sz w:val="22"/>
              </w:rPr>
            </w:pPr>
          </w:p>
        </w:tc>
      </w:tr>
      <w:tr>
        <w:trPr>
          <w:trHeight w:val="503" w:hRule="atLeast"/>
        </w:trPr>
        <w:tc>
          <w:tcPr>
            <w:tcW w:w="3020" w:type="dxa"/>
            <w:shd w:val="clear" w:color="auto" w:fill="FFFFFF"/>
          </w:tcPr>
          <w:p>
            <w:pPr>
              <w:pStyle w:val="TableParagraph"/>
              <w:spacing w:before="117"/>
              <w:ind w:left="107"/>
              <w:rPr>
                <w:sz w:val="21"/>
              </w:rPr>
            </w:pPr>
            <w:r>
              <w:rPr>
                <w:sz w:val="21"/>
              </w:rPr>
              <w:t>免费维保期</w:t>
            </w:r>
          </w:p>
        </w:tc>
        <w:tc>
          <w:tcPr>
            <w:tcW w:w="3022" w:type="dxa"/>
            <w:shd w:val="clear" w:color="auto" w:fill="FFFFFF"/>
          </w:tcPr>
          <w:p>
            <w:pPr>
              <w:pStyle w:val="TableParagraph"/>
              <w:rPr>
                <w:rFonts w:ascii="Times New Roman"/>
                <w:sz w:val="22"/>
              </w:rPr>
            </w:pPr>
          </w:p>
        </w:tc>
        <w:tc>
          <w:tcPr>
            <w:tcW w:w="3020" w:type="dxa"/>
            <w:shd w:val="clear" w:color="auto" w:fill="FFFFFF"/>
          </w:tcPr>
          <w:p>
            <w:pPr>
              <w:pStyle w:val="TableParagraph"/>
              <w:rPr>
                <w:rFonts w:ascii="Times New Roman"/>
                <w:sz w:val="22"/>
              </w:rPr>
            </w:pPr>
          </w:p>
        </w:tc>
      </w:tr>
    </w:tbl>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15"/>
        <w:rPr>
          <w:rFonts w:ascii="Microsoft JhengHei"/>
          <w:b/>
          <w:sz w:val="13"/>
        </w:rPr>
      </w:pPr>
    </w:p>
    <w:p>
      <w:pPr>
        <w:spacing w:before="64"/>
        <w:ind w:left="54" w:right="0" w:firstLine="0"/>
        <w:jc w:val="center"/>
        <w:rPr>
          <w:rFonts w:ascii="Calibri"/>
          <w:sz w:val="18"/>
        </w:rPr>
      </w:pPr>
      <w:r>
        <w:rPr>
          <w:rFonts w:ascii="Calibri"/>
          <w:sz w:val="18"/>
        </w:rPr>
        <w:t>41</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415">
            <wp:simplePos x="0" y="0"/>
            <wp:positionH relativeFrom="page">
              <wp:posOffset>203309</wp:posOffset>
            </wp:positionH>
            <wp:positionV relativeFrom="page">
              <wp:posOffset>944714</wp:posOffset>
            </wp:positionV>
            <wp:extent cx="7115825" cy="9747669"/>
            <wp:effectExtent l="0" t="0" r="0" b="0"/>
            <wp:wrapNone/>
            <wp:docPr id="93" name="image2.jpeg" descr=""/>
            <wp:cNvGraphicFramePr>
              <a:graphicFrameLocks noChangeAspect="1"/>
            </wp:cNvGraphicFramePr>
            <a:graphic>
              <a:graphicData uri="http://schemas.openxmlformats.org/drawingml/2006/picture">
                <pic:pic>
                  <pic:nvPicPr>
                    <pic:cNvPr id="9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4016" filled="true" fillcolor="#ffffff" stroked="false">
            <v:fill type="solid"/>
            <w10:wrap type="none"/>
          </v:rect>
        </w:pict>
      </w:r>
      <w:bookmarkStart w:name="_TOC_250009" w:id="51"/>
      <w:bookmarkStart w:name="八、明细报价表" w:id="52"/>
      <w:r>
        <w:rPr>
          <w:b w:val="0"/>
        </w:rPr>
      </w:r>
      <w:bookmarkEnd w:id="51"/>
      <w:r>
        <w:rPr/>
        <w:t>八、明细报价表</w:t>
      </w:r>
    </w:p>
    <w:p>
      <w:pPr>
        <w:pStyle w:val="BodyText"/>
        <w:spacing w:before="17"/>
        <w:rPr>
          <w:rFonts w:ascii="Microsoft JhengHei"/>
          <w:b/>
          <w:sz w:val="18"/>
        </w:rPr>
      </w:pPr>
    </w:p>
    <w:tbl>
      <w:tblPr>
        <w:tblW w:w="0" w:type="auto"/>
        <w:jc w:val="left"/>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
        <w:gridCol w:w="1620"/>
        <w:gridCol w:w="2217"/>
        <w:gridCol w:w="1260"/>
        <w:gridCol w:w="960"/>
        <w:gridCol w:w="1345"/>
        <w:gridCol w:w="1229"/>
      </w:tblGrid>
      <w:tr>
        <w:trPr>
          <w:trHeight w:val="1398" w:hRule="atLeast"/>
        </w:trPr>
        <w:tc>
          <w:tcPr>
            <w:tcW w:w="655" w:type="dxa"/>
            <w:shd w:val="clear" w:color="auto" w:fill="FFFFFF"/>
          </w:tcPr>
          <w:p>
            <w:pPr>
              <w:pStyle w:val="TableParagraph"/>
              <w:spacing w:line="560" w:lineRule="atLeast" w:before="106"/>
              <w:ind w:left="187" w:right="175"/>
              <w:rPr>
                <w:sz w:val="28"/>
              </w:rPr>
            </w:pPr>
            <w:r>
              <w:rPr>
                <w:sz w:val="28"/>
              </w:rPr>
              <w:t>序号</w:t>
            </w:r>
          </w:p>
        </w:tc>
        <w:tc>
          <w:tcPr>
            <w:tcW w:w="1620" w:type="dxa"/>
            <w:shd w:val="clear" w:color="auto" w:fill="FFFFFF"/>
          </w:tcPr>
          <w:p>
            <w:pPr>
              <w:pStyle w:val="TableParagraph"/>
              <w:rPr>
                <w:rFonts w:ascii="Microsoft JhengHei"/>
                <w:b/>
                <w:sz w:val="32"/>
              </w:rPr>
            </w:pPr>
          </w:p>
          <w:p>
            <w:pPr>
              <w:pStyle w:val="TableParagraph"/>
              <w:ind w:left="188" w:right="176"/>
              <w:jc w:val="center"/>
              <w:rPr>
                <w:sz w:val="28"/>
              </w:rPr>
            </w:pPr>
            <w:r>
              <w:rPr>
                <w:sz w:val="28"/>
              </w:rPr>
              <w:t>货物名称</w:t>
            </w:r>
          </w:p>
        </w:tc>
        <w:tc>
          <w:tcPr>
            <w:tcW w:w="2217" w:type="dxa"/>
            <w:shd w:val="clear" w:color="auto" w:fill="FFFFFF"/>
          </w:tcPr>
          <w:p>
            <w:pPr>
              <w:pStyle w:val="TableParagraph"/>
              <w:rPr>
                <w:rFonts w:ascii="Microsoft JhengHei"/>
                <w:b/>
                <w:sz w:val="32"/>
              </w:rPr>
            </w:pPr>
          </w:p>
          <w:p>
            <w:pPr>
              <w:pStyle w:val="TableParagraph"/>
              <w:ind w:left="127"/>
              <w:rPr>
                <w:sz w:val="28"/>
              </w:rPr>
            </w:pPr>
            <w:r>
              <w:rPr>
                <w:sz w:val="28"/>
              </w:rPr>
              <w:t>品牌.型号.产地</w:t>
            </w:r>
          </w:p>
        </w:tc>
        <w:tc>
          <w:tcPr>
            <w:tcW w:w="1260" w:type="dxa"/>
            <w:shd w:val="clear" w:color="auto" w:fill="FFFFFF"/>
          </w:tcPr>
          <w:p>
            <w:pPr>
              <w:pStyle w:val="TableParagraph"/>
              <w:spacing w:before="168"/>
              <w:ind w:left="189" w:right="179"/>
              <w:jc w:val="center"/>
              <w:rPr>
                <w:sz w:val="28"/>
              </w:rPr>
            </w:pPr>
            <w:r>
              <w:rPr>
                <w:sz w:val="28"/>
              </w:rPr>
              <w:t>单价</w:t>
            </w:r>
          </w:p>
          <w:p>
            <w:pPr>
              <w:pStyle w:val="TableParagraph"/>
              <w:spacing w:before="3"/>
              <w:rPr>
                <w:rFonts w:ascii="Microsoft JhengHei"/>
                <w:b/>
                <w:sz w:val="26"/>
              </w:rPr>
            </w:pPr>
          </w:p>
          <w:p>
            <w:pPr>
              <w:pStyle w:val="TableParagraph"/>
              <w:ind w:left="189" w:right="181"/>
              <w:jc w:val="center"/>
              <w:rPr>
                <w:sz w:val="28"/>
              </w:rPr>
            </w:pPr>
            <w:r>
              <w:rPr>
                <w:sz w:val="28"/>
              </w:rPr>
              <w:t>（元）</w:t>
            </w:r>
          </w:p>
        </w:tc>
        <w:tc>
          <w:tcPr>
            <w:tcW w:w="960" w:type="dxa"/>
            <w:shd w:val="clear" w:color="auto" w:fill="FFFFFF"/>
          </w:tcPr>
          <w:p>
            <w:pPr>
              <w:pStyle w:val="TableParagraph"/>
              <w:rPr>
                <w:rFonts w:ascii="Microsoft JhengHei"/>
                <w:b/>
                <w:sz w:val="32"/>
              </w:rPr>
            </w:pPr>
          </w:p>
          <w:p>
            <w:pPr>
              <w:pStyle w:val="TableParagraph"/>
              <w:ind w:left="200"/>
              <w:rPr>
                <w:sz w:val="28"/>
              </w:rPr>
            </w:pPr>
            <w:r>
              <w:rPr>
                <w:sz w:val="28"/>
              </w:rPr>
              <w:t>数量</w:t>
            </w:r>
          </w:p>
        </w:tc>
        <w:tc>
          <w:tcPr>
            <w:tcW w:w="1345" w:type="dxa"/>
            <w:shd w:val="clear" w:color="auto" w:fill="FFFFFF"/>
          </w:tcPr>
          <w:p>
            <w:pPr>
              <w:pStyle w:val="TableParagraph"/>
              <w:spacing w:before="168"/>
              <w:ind w:left="233" w:right="220"/>
              <w:jc w:val="center"/>
              <w:rPr>
                <w:sz w:val="28"/>
              </w:rPr>
            </w:pPr>
            <w:r>
              <w:rPr>
                <w:sz w:val="28"/>
              </w:rPr>
              <w:t>合价</w:t>
            </w:r>
          </w:p>
          <w:p>
            <w:pPr>
              <w:pStyle w:val="TableParagraph"/>
              <w:spacing w:before="3"/>
              <w:rPr>
                <w:rFonts w:ascii="Microsoft JhengHei"/>
                <w:b/>
                <w:sz w:val="26"/>
              </w:rPr>
            </w:pPr>
          </w:p>
          <w:p>
            <w:pPr>
              <w:pStyle w:val="TableParagraph"/>
              <w:ind w:left="234" w:right="220"/>
              <w:jc w:val="center"/>
              <w:rPr>
                <w:sz w:val="28"/>
              </w:rPr>
            </w:pPr>
            <w:r>
              <w:rPr>
                <w:sz w:val="28"/>
              </w:rPr>
              <w:t>（元）</w:t>
            </w:r>
          </w:p>
        </w:tc>
        <w:tc>
          <w:tcPr>
            <w:tcW w:w="1229" w:type="dxa"/>
            <w:shd w:val="clear" w:color="auto" w:fill="FFFFFF"/>
          </w:tcPr>
          <w:p>
            <w:pPr>
              <w:pStyle w:val="TableParagraph"/>
              <w:rPr>
                <w:rFonts w:ascii="Microsoft JhengHei"/>
                <w:b/>
                <w:sz w:val="32"/>
              </w:rPr>
            </w:pPr>
          </w:p>
          <w:p>
            <w:pPr>
              <w:pStyle w:val="TableParagraph"/>
              <w:ind w:left="334"/>
              <w:rPr>
                <w:sz w:val="28"/>
              </w:rPr>
            </w:pPr>
            <w:r>
              <w:rPr>
                <w:sz w:val="28"/>
              </w:rPr>
              <w:t>备注</w:t>
            </w:r>
          </w:p>
        </w:tc>
      </w:tr>
      <w:tr>
        <w:trPr>
          <w:trHeight w:val="561"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58"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61"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58"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61"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58"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61"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rPr>
                <w:rFonts w:ascii="Times New Roman"/>
                <w:sz w:val="24"/>
              </w:rPr>
            </w:pP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58" w:hRule="atLeast"/>
        </w:trPr>
        <w:tc>
          <w:tcPr>
            <w:tcW w:w="655" w:type="dxa"/>
            <w:shd w:val="clear" w:color="auto" w:fill="FFFFFF"/>
          </w:tcPr>
          <w:p>
            <w:pPr>
              <w:pStyle w:val="TableParagraph"/>
              <w:rPr>
                <w:rFonts w:ascii="Times New Roman"/>
                <w:sz w:val="24"/>
              </w:rPr>
            </w:pPr>
          </w:p>
        </w:tc>
        <w:tc>
          <w:tcPr>
            <w:tcW w:w="1620" w:type="dxa"/>
            <w:shd w:val="clear" w:color="auto" w:fill="FFFFFF"/>
          </w:tcPr>
          <w:p>
            <w:pPr>
              <w:pStyle w:val="TableParagraph"/>
              <w:spacing w:before="208"/>
              <w:ind w:left="188" w:right="181"/>
              <w:jc w:val="center"/>
              <w:rPr>
                <w:sz w:val="24"/>
              </w:rPr>
            </w:pPr>
            <w:r>
              <w:rPr>
                <w:sz w:val="24"/>
              </w:rPr>
              <w:t>安装调试费</w:t>
            </w: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61" w:hRule="atLeast"/>
        </w:trPr>
        <w:tc>
          <w:tcPr>
            <w:tcW w:w="655" w:type="dxa"/>
            <w:shd w:val="clear" w:color="auto" w:fill="FFFFFF"/>
          </w:tcPr>
          <w:p>
            <w:pPr>
              <w:pStyle w:val="TableParagraph"/>
              <w:spacing w:before="161"/>
              <w:ind w:left="186"/>
              <w:rPr>
                <w:sz w:val="29"/>
              </w:rPr>
            </w:pPr>
            <w:r>
              <w:rPr>
                <w:w w:val="96"/>
                <w:sz w:val="29"/>
              </w:rPr>
              <w:t>…</w:t>
            </w:r>
          </w:p>
        </w:tc>
        <w:tc>
          <w:tcPr>
            <w:tcW w:w="1620" w:type="dxa"/>
            <w:shd w:val="clear" w:color="auto" w:fill="FFFFFF"/>
          </w:tcPr>
          <w:p>
            <w:pPr>
              <w:pStyle w:val="TableParagraph"/>
              <w:spacing w:before="211"/>
              <w:ind w:left="188" w:right="181"/>
              <w:jc w:val="center"/>
              <w:rPr>
                <w:sz w:val="24"/>
              </w:rPr>
            </w:pPr>
            <w:r>
              <w:rPr>
                <w:sz w:val="24"/>
              </w:rPr>
              <w:t>税金</w:t>
            </w:r>
          </w:p>
        </w:tc>
        <w:tc>
          <w:tcPr>
            <w:tcW w:w="2217" w:type="dxa"/>
            <w:shd w:val="clear" w:color="auto" w:fill="FFFFFF"/>
          </w:tcPr>
          <w:p>
            <w:pPr>
              <w:pStyle w:val="TableParagraph"/>
              <w:rPr>
                <w:rFonts w:ascii="Times New Roman"/>
                <w:sz w:val="24"/>
              </w:rPr>
            </w:pPr>
          </w:p>
        </w:tc>
        <w:tc>
          <w:tcPr>
            <w:tcW w:w="1260" w:type="dxa"/>
            <w:shd w:val="clear" w:color="auto" w:fill="FFFFFF"/>
          </w:tcPr>
          <w:p>
            <w:pPr>
              <w:pStyle w:val="TableParagraph"/>
              <w:rPr>
                <w:rFonts w:ascii="Times New Roman"/>
                <w:sz w:val="24"/>
              </w:rPr>
            </w:pPr>
          </w:p>
        </w:tc>
        <w:tc>
          <w:tcPr>
            <w:tcW w:w="960" w:type="dxa"/>
            <w:shd w:val="clear" w:color="auto" w:fill="FFFFFF"/>
          </w:tcPr>
          <w:p>
            <w:pPr>
              <w:pStyle w:val="TableParagraph"/>
              <w:rPr>
                <w:rFonts w:ascii="Times New Roman"/>
                <w:sz w:val="24"/>
              </w:rPr>
            </w:pP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558" w:hRule="atLeast"/>
        </w:trPr>
        <w:tc>
          <w:tcPr>
            <w:tcW w:w="655" w:type="dxa"/>
            <w:shd w:val="clear" w:color="auto" w:fill="FFFFFF"/>
          </w:tcPr>
          <w:p>
            <w:pPr>
              <w:pStyle w:val="TableParagraph"/>
              <w:rPr>
                <w:rFonts w:ascii="Times New Roman"/>
                <w:sz w:val="24"/>
              </w:rPr>
            </w:pPr>
          </w:p>
        </w:tc>
        <w:tc>
          <w:tcPr>
            <w:tcW w:w="6057" w:type="dxa"/>
            <w:gridSpan w:val="4"/>
            <w:shd w:val="clear" w:color="auto" w:fill="FFFFFF"/>
          </w:tcPr>
          <w:p>
            <w:pPr>
              <w:pStyle w:val="TableParagraph"/>
              <w:spacing w:before="208"/>
              <w:ind w:left="2769" w:right="2758"/>
              <w:jc w:val="center"/>
              <w:rPr>
                <w:sz w:val="24"/>
              </w:rPr>
            </w:pPr>
            <w:r>
              <w:rPr>
                <w:sz w:val="24"/>
              </w:rPr>
              <w:t>合计</w:t>
            </w:r>
          </w:p>
        </w:tc>
        <w:tc>
          <w:tcPr>
            <w:tcW w:w="1345" w:type="dxa"/>
            <w:shd w:val="clear" w:color="auto" w:fill="FFFFFF"/>
          </w:tcPr>
          <w:p>
            <w:pPr>
              <w:pStyle w:val="TableParagraph"/>
              <w:rPr>
                <w:rFonts w:ascii="Times New Roman"/>
                <w:sz w:val="24"/>
              </w:rPr>
            </w:pPr>
          </w:p>
        </w:tc>
        <w:tc>
          <w:tcPr>
            <w:tcW w:w="1229" w:type="dxa"/>
            <w:shd w:val="clear" w:color="auto" w:fill="FFFFFF"/>
          </w:tcPr>
          <w:p>
            <w:pPr>
              <w:pStyle w:val="TableParagraph"/>
              <w:rPr>
                <w:rFonts w:ascii="Times New Roman"/>
                <w:sz w:val="24"/>
              </w:rPr>
            </w:pPr>
          </w:p>
        </w:tc>
      </w:tr>
      <w:tr>
        <w:trPr>
          <w:trHeight w:val="2241" w:hRule="atLeast"/>
        </w:trPr>
        <w:tc>
          <w:tcPr>
            <w:tcW w:w="2275" w:type="dxa"/>
            <w:gridSpan w:val="2"/>
            <w:shd w:val="clear" w:color="auto" w:fill="FFFFFF"/>
          </w:tcPr>
          <w:p>
            <w:pPr>
              <w:pStyle w:val="TableParagraph"/>
              <w:spacing w:before="12"/>
              <w:rPr>
                <w:rFonts w:ascii="Microsoft JhengHei"/>
                <w:b/>
                <w:sz w:val="34"/>
              </w:rPr>
            </w:pPr>
          </w:p>
          <w:p>
            <w:pPr>
              <w:pStyle w:val="TableParagraph"/>
              <w:spacing w:line="261" w:lineRule="auto"/>
              <w:ind w:left="573" w:right="564" w:firstLine="283"/>
              <w:rPr>
                <w:rFonts w:ascii="Microsoft JhengHei" w:eastAsia="Microsoft JhengHei" w:hint="eastAsia"/>
                <w:b/>
                <w:sz w:val="28"/>
              </w:rPr>
            </w:pPr>
            <w:r>
              <w:rPr>
                <w:rFonts w:ascii="Microsoft JhengHei" w:eastAsia="Microsoft JhengHei" w:hint="eastAsia"/>
                <w:b/>
                <w:sz w:val="28"/>
              </w:rPr>
              <w:t>投 标 报价总计</w:t>
            </w:r>
          </w:p>
        </w:tc>
        <w:tc>
          <w:tcPr>
            <w:tcW w:w="7011" w:type="dxa"/>
            <w:gridSpan w:val="5"/>
            <w:shd w:val="clear" w:color="auto" w:fill="FFFFFF"/>
          </w:tcPr>
          <w:p>
            <w:pPr>
              <w:pStyle w:val="TableParagraph"/>
              <w:tabs>
                <w:tab w:pos="3538" w:val="left" w:leader="none"/>
              </w:tabs>
              <w:spacing w:line="304" w:lineRule="auto" w:before="131"/>
              <w:ind w:left="108" w:right="3460"/>
              <w:rPr>
                <w:rFonts w:ascii="Microsoft JhengHei" w:eastAsia="Microsoft JhengHei" w:hint="eastAsia"/>
                <w:b/>
                <w:sz w:val="24"/>
              </w:rPr>
            </w:pPr>
            <w:r>
              <w:rPr>
                <w:rFonts w:ascii="Microsoft JhengHei" w:eastAsia="Microsoft JhengHei" w:hint="eastAsia"/>
                <w:b/>
                <w:sz w:val="24"/>
              </w:rPr>
              <w:t>￥</w:t>
            </w:r>
            <w:r>
              <w:rPr>
                <w:rFonts w:ascii="Microsoft JhengHei" w:eastAsia="Microsoft JhengHei" w:hint="eastAsia"/>
                <w:b/>
                <w:sz w:val="24"/>
                <w:u w:val="single"/>
              </w:rPr>
              <w:tab/>
            </w:r>
            <w:r>
              <w:rPr>
                <w:rFonts w:ascii="Microsoft JhengHei" w:eastAsia="Microsoft JhengHei" w:hint="eastAsia"/>
                <w:b/>
                <w:sz w:val="24"/>
              </w:rPr>
              <w:t>人民币（大写</w:t>
            </w:r>
            <w:r>
              <w:rPr>
                <w:rFonts w:ascii="Microsoft JhengHei" w:eastAsia="Microsoft JhengHei" w:hint="eastAsia"/>
                <w:b/>
                <w:spacing w:val="-120"/>
                <w:sz w:val="24"/>
              </w:rPr>
              <w:t>）</w:t>
            </w:r>
            <w:r>
              <w:rPr>
                <w:rFonts w:ascii="Microsoft JhengHei" w:eastAsia="Microsoft JhengHei" w:hint="eastAsia"/>
                <w:b/>
                <w:sz w:val="24"/>
              </w:rPr>
              <w:t>：</w:t>
            </w:r>
          </w:p>
          <w:p>
            <w:pPr>
              <w:pStyle w:val="TableParagraph"/>
              <w:tabs>
                <w:tab w:pos="593" w:val="left" w:leader="none"/>
                <w:tab w:pos="1368" w:val="left" w:leader="none"/>
                <w:tab w:pos="2143" w:val="left" w:leader="none"/>
                <w:tab w:pos="2916" w:val="left" w:leader="none"/>
                <w:tab w:pos="3694" w:val="left" w:leader="none"/>
                <w:tab w:pos="4469" w:val="left" w:leader="none"/>
                <w:tab w:pos="5243" w:val="left" w:leader="none"/>
                <w:tab w:pos="6020" w:val="left" w:leader="none"/>
                <w:tab w:pos="6663" w:val="left" w:leader="none"/>
              </w:tabs>
              <w:spacing w:line="439" w:lineRule="exact"/>
              <w:ind w:left="108"/>
              <w:rPr>
                <w:rFonts w:ascii="Microsoft JhengHei" w:eastAsia="Microsoft JhengHei" w:hint="eastAsia"/>
                <w:b/>
                <w:sz w:val="24"/>
              </w:rPr>
            </w:pPr>
            <w:r>
              <w:rPr>
                <w:rFonts w:ascii="Times New Roman" w:eastAsia="Times New Roman"/>
                <w:b/>
                <w:sz w:val="24"/>
                <w:u w:val="single"/>
              </w:rPr>
              <w:t> </w:t>
              <w:tab/>
            </w:r>
            <w:r>
              <w:rPr>
                <w:rFonts w:ascii="Microsoft JhengHei" w:eastAsia="Microsoft JhengHei" w:hint="eastAsia"/>
                <w:b/>
                <w:spacing w:val="7"/>
                <w:sz w:val="24"/>
              </w:rPr>
              <w:t>仟</w:t>
            </w:r>
            <w:r>
              <w:rPr>
                <w:rFonts w:ascii="Microsoft JhengHei" w:eastAsia="Microsoft JhengHei" w:hint="eastAsia"/>
                <w:b/>
                <w:spacing w:val="7"/>
                <w:sz w:val="24"/>
                <w:u w:val="single"/>
              </w:rPr>
              <w:t> </w:t>
              <w:tab/>
            </w:r>
            <w:r>
              <w:rPr>
                <w:rFonts w:ascii="Microsoft JhengHei" w:eastAsia="Microsoft JhengHei" w:hint="eastAsia"/>
                <w:b/>
                <w:spacing w:val="7"/>
                <w:sz w:val="24"/>
              </w:rPr>
              <w:t>佰</w:t>
            </w:r>
            <w:r>
              <w:rPr>
                <w:rFonts w:ascii="Microsoft JhengHei" w:eastAsia="Microsoft JhengHei" w:hint="eastAsia"/>
                <w:b/>
                <w:spacing w:val="7"/>
                <w:sz w:val="24"/>
                <w:u w:val="single"/>
              </w:rPr>
              <w:t> </w:t>
              <w:tab/>
            </w:r>
            <w:r>
              <w:rPr>
                <w:rFonts w:ascii="Microsoft JhengHei" w:eastAsia="Microsoft JhengHei" w:hint="eastAsia"/>
                <w:b/>
                <w:spacing w:val="10"/>
                <w:sz w:val="24"/>
              </w:rPr>
              <w:t>拾</w:t>
            </w:r>
            <w:r>
              <w:rPr>
                <w:rFonts w:ascii="Microsoft JhengHei" w:eastAsia="Microsoft JhengHei" w:hint="eastAsia"/>
                <w:b/>
                <w:spacing w:val="10"/>
                <w:sz w:val="24"/>
                <w:u w:val="single"/>
              </w:rPr>
              <w:t> </w:t>
              <w:tab/>
            </w:r>
            <w:r>
              <w:rPr>
                <w:rFonts w:ascii="Microsoft JhengHei" w:eastAsia="Microsoft JhengHei" w:hint="eastAsia"/>
                <w:b/>
                <w:spacing w:val="10"/>
                <w:sz w:val="24"/>
              </w:rPr>
              <w:t>万</w:t>
            </w:r>
            <w:r>
              <w:rPr>
                <w:rFonts w:ascii="Microsoft JhengHei" w:eastAsia="Microsoft JhengHei" w:hint="eastAsia"/>
                <w:b/>
                <w:spacing w:val="10"/>
                <w:sz w:val="24"/>
                <w:u w:val="single"/>
              </w:rPr>
              <w:t> </w:t>
              <w:tab/>
            </w:r>
            <w:r>
              <w:rPr>
                <w:rFonts w:ascii="Microsoft JhengHei" w:eastAsia="Microsoft JhengHei" w:hint="eastAsia"/>
                <w:b/>
                <w:spacing w:val="7"/>
                <w:sz w:val="24"/>
              </w:rPr>
              <w:t>仟</w:t>
            </w:r>
            <w:r>
              <w:rPr>
                <w:rFonts w:ascii="Microsoft JhengHei" w:eastAsia="Microsoft JhengHei" w:hint="eastAsia"/>
                <w:b/>
                <w:spacing w:val="7"/>
                <w:sz w:val="24"/>
                <w:u w:val="single"/>
              </w:rPr>
              <w:t> </w:t>
              <w:tab/>
            </w:r>
            <w:r>
              <w:rPr>
                <w:rFonts w:ascii="Microsoft JhengHei" w:eastAsia="Microsoft JhengHei" w:hint="eastAsia"/>
                <w:b/>
                <w:spacing w:val="7"/>
                <w:sz w:val="24"/>
              </w:rPr>
              <w:t>佰</w:t>
            </w:r>
            <w:r>
              <w:rPr>
                <w:rFonts w:ascii="Microsoft JhengHei" w:eastAsia="Microsoft JhengHei" w:hint="eastAsia"/>
                <w:b/>
                <w:spacing w:val="7"/>
                <w:sz w:val="24"/>
                <w:u w:val="single"/>
              </w:rPr>
              <w:t> </w:t>
              <w:tab/>
            </w:r>
            <w:r>
              <w:rPr>
                <w:rFonts w:ascii="Microsoft JhengHei" w:eastAsia="Microsoft JhengHei" w:hint="eastAsia"/>
                <w:b/>
                <w:spacing w:val="10"/>
                <w:sz w:val="24"/>
              </w:rPr>
              <w:t>拾</w:t>
            </w:r>
            <w:r>
              <w:rPr>
                <w:rFonts w:ascii="Microsoft JhengHei" w:eastAsia="Microsoft JhengHei" w:hint="eastAsia"/>
                <w:b/>
                <w:spacing w:val="10"/>
                <w:sz w:val="24"/>
                <w:u w:val="single"/>
              </w:rPr>
              <w:t> </w:t>
              <w:tab/>
            </w:r>
            <w:r>
              <w:rPr>
                <w:rFonts w:ascii="Microsoft JhengHei" w:eastAsia="Microsoft JhengHei" w:hint="eastAsia"/>
                <w:b/>
                <w:spacing w:val="7"/>
                <w:sz w:val="24"/>
              </w:rPr>
              <w:t>元</w:t>
            </w:r>
            <w:r>
              <w:rPr>
                <w:rFonts w:ascii="Microsoft JhengHei" w:eastAsia="Microsoft JhengHei" w:hint="eastAsia"/>
                <w:b/>
                <w:spacing w:val="7"/>
                <w:sz w:val="24"/>
                <w:u w:val="single"/>
              </w:rPr>
              <w:t> </w:t>
              <w:tab/>
            </w:r>
            <w:r>
              <w:rPr>
                <w:rFonts w:ascii="Microsoft JhengHei" w:eastAsia="Microsoft JhengHei" w:hint="eastAsia"/>
                <w:b/>
                <w:sz w:val="24"/>
              </w:rPr>
              <w:t>角</w:t>
            </w:r>
          </w:p>
          <w:p>
            <w:pPr>
              <w:pStyle w:val="TableParagraph"/>
              <w:spacing w:line="409" w:lineRule="exact" w:before="121"/>
              <w:ind w:left="108"/>
              <w:rPr>
                <w:rFonts w:ascii="Microsoft JhengHei" w:eastAsia="Microsoft JhengHei" w:hint="eastAsia"/>
                <w:b/>
                <w:sz w:val="24"/>
              </w:rPr>
            </w:pPr>
            <w:r>
              <w:rPr>
                <w:rFonts w:ascii="Microsoft JhengHei" w:eastAsia="Microsoft JhengHei" w:hint="eastAsia"/>
                <w:b/>
                <w:sz w:val="24"/>
              </w:rPr>
              <w:t>分</w:t>
            </w:r>
          </w:p>
        </w:tc>
      </w:tr>
    </w:tbl>
    <w:p>
      <w:pPr>
        <w:pStyle w:val="BodyText"/>
        <w:spacing w:before="3"/>
        <w:rPr>
          <w:rFonts w:ascii="Microsoft JhengHei"/>
          <w:b/>
          <w:sz w:val="5"/>
        </w:rPr>
      </w:pPr>
    </w:p>
    <w:p>
      <w:pPr>
        <w:pStyle w:val="BodyText"/>
        <w:spacing w:line="388" w:lineRule="auto" w:before="66"/>
        <w:ind w:left="389" w:right="275" w:firstLine="479"/>
      </w:pPr>
      <w:r>
        <w:rPr/>
        <w:t>注：投标人应分项进行填报，表中表格行数可自行添加。招标文件中未列出的相关辅助材料和在实施过程中涉及到的其它一切费用应在报价时一并考虑，项目实施过</w:t>
      </w:r>
    </w:p>
    <w:p>
      <w:pPr>
        <w:spacing w:line="367" w:lineRule="exact" w:before="0"/>
        <w:ind w:left="389" w:right="0" w:firstLine="0"/>
        <w:jc w:val="left"/>
        <w:rPr>
          <w:rFonts w:ascii="Microsoft JhengHei" w:eastAsia="Microsoft JhengHei" w:hint="eastAsia"/>
          <w:b/>
          <w:sz w:val="24"/>
        </w:rPr>
      </w:pPr>
      <w:r>
        <w:rPr>
          <w:sz w:val="24"/>
        </w:rPr>
        <w:t>程中不再单独结算。</w:t>
      </w:r>
      <w:r>
        <w:rPr>
          <w:rFonts w:ascii="Microsoft JhengHei" w:eastAsia="Microsoft JhengHei" w:hint="eastAsia"/>
          <w:b/>
          <w:sz w:val="24"/>
        </w:rPr>
        <w:t>表中投标报价总计应与对应报价一览表中投标总价一致。</w:t>
      </w:r>
    </w:p>
    <w:p>
      <w:pPr>
        <w:pStyle w:val="BodyText"/>
        <w:spacing w:before="2"/>
        <w:rPr>
          <w:rFonts w:ascii="Microsoft JhengHei"/>
          <w:b/>
          <w:sz w:val="29"/>
        </w:rPr>
      </w:pPr>
    </w:p>
    <w:p>
      <w:pPr>
        <w:pStyle w:val="BodyText"/>
        <w:tabs>
          <w:tab w:pos="3269" w:val="left" w:leader="none"/>
          <w:tab w:pos="4950" w:val="left" w:leader="none"/>
          <w:tab w:pos="7571" w:val="left" w:leader="none"/>
        </w:tabs>
        <w:ind w:left="389"/>
      </w:pPr>
      <w:r>
        <w:rPr/>
        <w:t>单位公章：</w:t>
      </w:r>
      <w:r>
        <w:rPr>
          <w:u w:val="single"/>
        </w:rPr>
        <w:t> </w:t>
        <w:tab/>
      </w:r>
      <w:r>
        <w:rPr/>
        <w:t>（电子签章）</w:t>
        <w:tab/>
        <w:t>法定代表人：</w:t>
      </w:r>
      <w:r>
        <w:rPr>
          <w:u w:val="single"/>
        </w:rPr>
        <w:t> </w:t>
        <w:tab/>
      </w:r>
      <w:r>
        <w:rPr/>
        <w:t>（电子签章）</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5"/>
        </w:rPr>
      </w:pPr>
    </w:p>
    <w:p>
      <w:pPr>
        <w:spacing w:before="64"/>
        <w:ind w:left="54" w:right="0" w:firstLine="0"/>
        <w:jc w:val="center"/>
        <w:rPr>
          <w:rFonts w:ascii="Calibri"/>
          <w:sz w:val="18"/>
        </w:rPr>
      </w:pPr>
      <w:r>
        <w:rPr>
          <w:rFonts w:ascii="Calibri"/>
          <w:sz w:val="18"/>
        </w:rPr>
        <w:t>42</w:t>
      </w:r>
    </w:p>
    <w:p>
      <w:pPr>
        <w:spacing w:after="0"/>
        <w:jc w:val="center"/>
        <w:rPr>
          <w:rFonts w:ascii="Calibri"/>
          <w:sz w:val="18"/>
        </w:rPr>
        <w:sectPr>
          <w:pgSz w:w="11910" w:h="16840"/>
          <w:pgMar w:top="1500" w:bottom="280" w:left="1200" w:right="1140"/>
        </w:sectPr>
      </w:pPr>
    </w:p>
    <w:p>
      <w:pPr>
        <w:pStyle w:val="Heading2"/>
      </w:pPr>
      <w:bookmarkStart w:name="_TOC_250008" w:id="53"/>
      <w:bookmarkStart w:name="九、投标保证金" w:id="54"/>
      <w:r>
        <w:rPr>
          <w:b w:val="0"/>
        </w:rPr>
      </w:r>
      <w:bookmarkEnd w:id="53"/>
      <w:r>
        <w:rPr/>
        <w:t>九、投标保证金</w:t>
      </w:r>
    </w:p>
    <w:p>
      <w:pPr>
        <w:pStyle w:val="BodyText"/>
        <w:spacing w:before="13"/>
        <w:rPr>
          <w:rFonts w:ascii="Microsoft JhengHei"/>
          <w:b/>
          <w:sz w:val="7"/>
        </w:rPr>
      </w:pPr>
    </w:p>
    <w:p>
      <w:pPr>
        <w:spacing w:line="537" w:lineRule="exact" w:before="0"/>
        <w:ind w:left="3687" w:right="0" w:firstLine="0"/>
        <w:jc w:val="left"/>
        <w:rPr>
          <w:rFonts w:ascii="Microsoft JhengHei" w:eastAsia="Microsoft JhengHei" w:hint="eastAsia"/>
          <w:b/>
          <w:sz w:val="32"/>
        </w:rPr>
      </w:pPr>
      <w:r>
        <w:rPr>
          <w:rFonts w:ascii="Microsoft JhengHei" w:eastAsia="Microsoft JhengHei" w:hint="eastAsia"/>
          <w:b/>
          <w:sz w:val="32"/>
        </w:rPr>
        <w:t>中小企业声明函</w:t>
      </w:r>
    </w:p>
    <w:p>
      <w:pPr>
        <w:pStyle w:val="BodyText"/>
        <w:spacing w:before="7"/>
        <w:rPr>
          <w:rFonts w:ascii="Microsoft JhengHei"/>
          <w:b/>
          <w:sz w:val="23"/>
        </w:rPr>
      </w:pPr>
    </w:p>
    <w:p>
      <w:pPr>
        <w:pStyle w:val="BodyText"/>
        <w:tabs>
          <w:tab w:pos="3497" w:val="left" w:leader="none"/>
        </w:tabs>
        <w:spacing w:line="391" w:lineRule="auto"/>
        <w:ind w:left="389" w:right="329" w:firstLine="479"/>
        <w:jc w:val="both"/>
      </w:pPr>
      <w:r>
        <w:rPr/>
        <w:t>本公司郑重声明</w:t>
      </w:r>
      <w:r>
        <w:rPr>
          <w:spacing w:val="-12"/>
        </w:rPr>
        <w:t>，</w:t>
      </w:r>
      <w:r>
        <w:rPr/>
        <w:t>根</w:t>
      </w:r>
      <w:r>
        <w:rPr>
          <w:spacing w:val="-12"/>
        </w:rPr>
        <w:t>据</w:t>
      </w:r>
      <w:r>
        <w:rPr/>
        <w:t>《政府采购促进中小企业发展暂行办法</w:t>
      </w:r>
      <w:r>
        <w:rPr>
          <w:spacing w:val="-132"/>
        </w:rPr>
        <w:t>》</w:t>
      </w:r>
      <w:r>
        <w:rPr/>
        <w:t>（财库[2011]181 号</w:t>
      </w:r>
      <w:r>
        <w:rPr>
          <w:spacing w:val="-5"/>
        </w:rPr>
        <w:t>）</w:t>
      </w:r>
      <w:r>
        <w:rPr/>
        <w:t>的规定</w:t>
      </w:r>
      <w:r>
        <w:rPr>
          <w:spacing w:val="-5"/>
        </w:rPr>
        <w:t>，</w:t>
      </w:r>
      <w:r>
        <w:rPr/>
        <w:t>本公司为</w:t>
      </w:r>
      <w:r>
        <w:rPr>
          <w:u w:val="single"/>
        </w:rPr>
        <w:t> </w:t>
        <w:tab/>
      </w:r>
      <w:r>
        <w:rPr/>
        <w:t>（请填写</w:t>
      </w:r>
      <w:r>
        <w:rPr>
          <w:spacing w:val="-5"/>
        </w:rPr>
        <w:t>：</w:t>
      </w:r>
      <w:r>
        <w:rPr/>
        <w:t>中型</w:t>
      </w:r>
      <w:r>
        <w:rPr>
          <w:spacing w:val="-5"/>
        </w:rPr>
        <w:t>、</w:t>
      </w:r>
      <w:r>
        <w:rPr/>
        <w:t>小型</w:t>
      </w:r>
      <w:r>
        <w:rPr>
          <w:spacing w:val="-5"/>
        </w:rPr>
        <w:t>、</w:t>
      </w:r>
      <w:r>
        <w:rPr/>
        <w:t>微型</w:t>
      </w:r>
      <w:r>
        <w:rPr>
          <w:spacing w:val="-5"/>
        </w:rPr>
        <w:t>）</w:t>
      </w:r>
      <w:r>
        <w:rPr/>
        <w:t>企业</w:t>
      </w:r>
      <w:r>
        <w:rPr>
          <w:spacing w:val="-3"/>
        </w:rPr>
        <w:t>。</w:t>
      </w:r>
      <w:r>
        <w:rPr/>
        <w:t>即</w:t>
      </w:r>
      <w:r>
        <w:rPr>
          <w:spacing w:val="-5"/>
        </w:rPr>
        <w:t>，</w:t>
      </w:r>
      <w:r>
        <w:rPr/>
        <w:t>本公司同时满足以下条件：</w:t>
      </w:r>
    </w:p>
    <w:p>
      <w:pPr>
        <w:pStyle w:val="BodyText"/>
        <w:tabs>
          <w:tab w:pos="2069" w:val="left" w:leader="none"/>
        </w:tabs>
        <w:spacing w:line="391" w:lineRule="auto"/>
        <w:ind w:left="389" w:right="234" w:firstLine="479"/>
      </w:pPr>
      <w:r>
        <w:rPr/>
        <w:t>1、根据《工业和信息化部、国家统计局、国家发展和改革委员会、财政部关于印发中小企业划型标准规定的通知</w:t>
      </w:r>
      <w:r>
        <w:rPr>
          <w:spacing w:val="-120"/>
        </w:rPr>
        <w:t>》</w:t>
      </w:r>
      <w:r>
        <w:rPr/>
        <w:t>（工信部联企业[2011]300</w:t>
      </w:r>
      <w:r>
        <w:rPr>
          <w:spacing w:val="-60"/>
        </w:rPr>
        <w:t> </w:t>
      </w:r>
      <w:r>
        <w:rPr/>
        <w:t>号）规定的划分标准， 本公司为</w:t>
      </w:r>
      <w:r>
        <w:rPr>
          <w:u w:val="single"/>
        </w:rPr>
        <w:t> </w:t>
        <w:tab/>
      </w:r>
      <w:r>
        <w:rPr/>
        <w:t>（请</w:t>
      </w:r>
      <w:r>
        <w:rPr>
          <w:spacing w:val="-3"/>
        </w:rPr>
        <w:t>填</w:t>
      </w:r>
      <w:r>
        <w:rPr/>
        <w:t>写：中型、小型、微型）企业。</w:t>
      </w:r>
    </w:p>
    <w:p>
      <w:pPr>
        <w:pStyle w:val="BodyText"/>
        <w:tabs>
          <w:tab w:pos="4640" w:val="left" w:leader="none"/>
          <w:tab w:pos="8255" w:val="left" w:leader="none"/>
        </w:tabs>
        <w:spacing w:line="391" w:lineRule="auto"/>
        <w:ind w:left="389" w:right="320" w:firstLine="479"/>
        <w:jc w:val="both"/>
      </w:pPr>
      <w:r>
        <w:rPr>
          <w:spacing w:val="5"/>
        </w:rPr>
        <w:t>2、本公司参加</w:t>
      </w:r>
      <w:r>
        <w:rPr>
          <w:spacing w:val="5"/>
          <w:u w:val="single"/>
        </w:rPr>
        <w:t> </w:t>
        <w:tab/>
      </w:r>
      <w:r>
        <w:rPr>
          <w:spacing w:val="5"/>
        </w:rPr>
        <w:t>单</w:t>
      </w:r>
      <w:r>
        <w:rPr>
          <w:spacing w:val="2"/>
        </w:rPr>
        <w:t>位</w:t>
      </w:r>
      <w:r>
        <w:rPr>
          <w:spacing w:val="6"/>
        </w:rPr>
        <w:t>的</w:t>
      </w:r>
      <w:r>
        <w:rPr>
          <w:spacing w:val="6"/>
          <w:u w:val="single"/>
        </w:rPr>
        <w:t> </w:t>
        <w:tab/>
      </w:r>
      <w:r>
        <w:rPr>
          <w:spacing w:val="5"/>
        </w:rPr>
        <w:t>项目采购</w:t>
      </w:r>
      <w:r>
        <w:rPr/>
        <w:t>活动提供本企业制造的货物</w:t>
      </w:r>
      <w:r>
        <w:rPr>
          <w:spacing w:val="-68"/>
        </w:rPr>
        <w:t>，</w:t>
      </w:r>
      <w:r>
        <w:rPr/>
        <w:t>由本企业承担工程</w:t>
      </w:r>
      <w:r>
        <w:rPr>
          <w:spacing w:val="-68"/>
        </w:rPr>
        <w:t>、</w:t>
      </w:r>
      <w:r>
        <w:rPr/>
        <w:t>提供服务</w:t>
      </w:r>
      <w:r>
        <w:rPr>
          <w:spacing w:val="-68"/>
        </w:rPr>
        <w:t>，</w:t>
      </w:r>
      <w:r>
        <w:rPr/>
        <w:t>或者</w:t>
      </w:r>
      <w:r>
        <w:rPr>
          <w:spacing w:val="-3"/>
        </w:rPr>
        <w:t>提</w:t>
      </w:r>
      <w:r>
        <w:rPr/>
        <w:t>供其他</w:t>
      </w:r>
      <w:r>
        <w:rPr>
          <w:u w:val="single"/>
        </w:rPr>
        <w:t>   </w:t>
      </w:r>
      <w:r>
        <w:rPr>
          <w:spacing w:val="50"/>
          <w:u w:val="single"/>
        </w:rPr>
        <w:t> </w:t>
      </w:r>
      <w:r>
        <w:rPr>
          <w:u w:val="single"/>
        </w:rPr>
        <w:t>（</w:t>
      </w:r>
      <w:r>
        <w:rPr/>
        <w:t>请填写</w:t>
      </w:r>
      <w:r>
        <w:rPr>
          <w:spacing w:val="-8"/>
        </w:rPr>
        <w:t>：</w:t>
      </w:r>
      <w:r>
        <w:rPr/>
        <w:t>中型</w:t>
      </w:r>
      <w:r>
        <w:rPr>
          <w:spacing w:val="-8"/>
        </w:rPr>
        <w:t>、</w:t>
      </w:r>
      <w:r>
        <w:rPr/>
        <w:t>小型</w:t>
      </w:r>
      <w:r>
        <w:rPr>
          <w:spacing w:val="-8"/>
        </w:rPr>
        <w:t>、</w:t>
      </w:r>
      <w:r>
        <w:rPr/>
        <w:t>微型</w:t>
      </w:r>
      <w:r>
        <w:rPr>
          <w:spacing w:val="-8"/>
        </w:rPr>
        <w:t>）</w:t>
      </w:r>
      <w:r>
        <w:rPr/>
        <w:t>企业制造的货物</w:t>
      </w:r>
      <w:r>
        <w:rPr>
          <w:spacing w:val="-8"/>
        </w:rPr>
        <w:t>。</w:t>
      </w:r>
      <w:r>
        <w:rPr/>
        <w:t>本条所称货物不包括使用大型企业注册商标的货物。</w:t>
      </w:r>
    </w:p>
    <w:p>
      <w:pPr>
        <w:pStyle w:val="BodyText"/>
        <w:spacing w:line="302" w:lineRule="exact"/>
        <w:ind w:left="809"/>
      </w:pPr>
      <w:r>
        <w:rPr/>
        <w:t>本公司对上述声明的真实性负责。如有虚假，将依法承担相应责任。</w:t>
      </w:r>
    </w:p>
    <w:p>
      <w:pPr>
        <w:pStyle w:val="BodyText"/>
      </w:pPr>
    </w:p>
    <w:p>
      <w:pPr>
        <w:pStyle w:val="BodyText"/>
      </w:pPr>
    </w:p>
    <w:p>
      <w:pPr>
        <w:pStyle w:val="BodyText"/>
      </w:pPr>
    </w:p>
    <w:p>
      <w:pPr>
        <w:pStyle w:val="BodyText"/>
        <w:spacing w:before="4"/>
        <w:rPr>
          <w:sz w:val="18"/>
        </w:rPr>
      </w:pPr>
    </w:p>
    <w:p>
      <w:pPr>
        <w:pStyle w:val="BodyText"/>
        <w:tabs>
          <w:tab w:pos="6898" w:val="left" w:leader="none"/>
        </w:tabs>
        <w:ind w:left="4018"/>
      </w:pPr>
      <w:r>
        <w:rPr/>
        <w:t>单位名称：</w:t>
      </w:r>
      <w:r>
        <w:rPr>
          <w:u w:val="single"/>
        </w:rPr>
        <w:t> </w:t>
        <w:tab/>
      </w:r>
      <w:r>
        <w:rPr/>
        <w:t>（电子签章）</w:t>
      </w:r>
    </w:p>
    <w:p>
      <w:pPr>
        <w:pStyle w:val="BodyText"/>
        <w:spacing w:before="5"/>
      </w:pPr>
    </w:p>
    <w:p>
      <w:pPr>
        <w:spacing w:after="0"/>
        <w:sectPr>
          <w:pgSz w:w="11910" w:h="16840"/>
          <w:pgMar w:top="1500" w:bottom="280" w:left="1200" w:right="1140"/>
        </w:sectPr>
      </w:pPr>
    </w:p>
    <w:p>
      <w:pPr>
        <w:pStyle w:val="BodyText"/>
        <w:rPr>
          <w:sz w:val="20"/>
        </w:rPr>
      </w:pPr>
    </w:p>
    <w:p>
      <w:pPr>
        <w:spacing w:before="152"/>
        <w:ind w:left="389" w:right="0" w:firstLine="0"/>
        <w:jc w:val="left"/>
        <w:rPr>
          <w:sz w:val="21"/>
        </w:rPr>
      </w:pPr>
      <w:r>
        <w:rPr>
          <w:sz w:val="21"/>
        </w:rPr>
        <w:t>注：非小企业不需提供此声明函</w:t>
      </w:r>
    </w:p>
    <w:p>
      <w:pPr>
        <w:pStyle w:val="BodyText"/>
        <w:tabs>
          <w:tab w:pos="989" w:val="left" w:leader="none"/>
          <w:tab w:pos="1949" w:val="left" w:leader="none"/>
          <w:tab w:pos="2909" w:val="left" w:leader="none"/>
        </w:tabs>
        <w:spacing w:before="74"/>
        <w:ind w:left="389"/>
      </w:pPr>
      <w:r>
        <w:rPr/>
        <w:br w:type="column"/>
      </w:r>
      <w:r>
        <w:rPr>
          <w:rFonts w:ascii="Times New Roman" w:eastAsia="Times New Roman"/>
          <w:u w:val="single"/>
        </w:rPr>
        <w:t> </w:t>
        <w:tab/>
      </w:r>
      <w:r>
        <w:rPr/>
        <w:t>年</w:t>
      </w:r>
      <w:r>
        <w:rPr>
          <w:u w:val="single"/>
        </w:rPr>
        <w:t> </w:t>
        <w:tab/>
      </w:r>
      <w:r>
        <w:rPr/>
        <w:t>月</w:t>
      </w:r>
      <w:r>
        <w:rPr>
          <w:u w:val="single"/>
        </w:rPr>
        <w:t> </w:t>
        <w:tab/>
      </w:r>
      <w:r>
        <w:rPr/>
        <w:t>日</w:t>
      </w:r>
    </w:p>
    <w:p>
      <w:pPr>
        <w:spacing w:after="0"/>
        <w:sectPr>
          <w:type w:val="continuous"/>
          <w:pgSz w:w="11910" w:h="16840"/>
          <w:pgMar w:top="1580" w:bottom="280" w:left="1200" w:right="1140"/>
          <w:cols w:num="2" w:equalWidth="0">
            <w:col w:w="3375" w:space="946"/>
            <w:col w:w="5249"/>
          </w:cols>
        </w:sectPr>
      </w:pPr>
    </w:p>
    <w:p>
      <w:pPr>
        <w:pStyle w:val="BodyText"/>
        <w:rPr>
          <w:sz w:val="20"/>
        </w:rPr>
      </w:pPr>
      <w:r>
        <w:rPr/>
        <w:drawing>
          <wp:anchor distT="0" distB="0" distL="0" distR="0" allowOverlap="1" layoutInCell="1" locked="0" behindDoc="1" simplePos="0" relativeHeight="268351463">
            <wp:simplePos x="0" y="0"/>
            <wp:positionH relativeFrom="page">
              <wp:posOffset>203309</wp:posOffset>
            </wp:positionH>
            <wp:positionV relativeFrom="page">
              <wp:posOffset>944714</wp:posOffset>
            </wp:positionV>
            <wp:extent cx="7115825" cy="9747669"/>
            <wp:effectExtent l="0" t="0" r="0" b="0"/>
            <wp:wrapNone/>
            <wp:docPr id="95" name="image2.jpeg" descr=""/>
            <wp:cNvGraphicFramePr>
              <a:graphicFrameLocks noChangeAspect="1"/>
            </wp:cNvGraphicFramePr>
            <a:graphic>
              <a:graphicData uri="http://schemas.openxmlformats.org/drawingml/2006/picture">
                <pic:pic>
                  <pic:nvPicPr>
                    <pic:cNvPr id="9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968" filled="true" fillcolor="#ffffff"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64"/>
        <w:ind w:left="54" w:right="0" w:firstLine="0"/>
        <w:jc w:val="center"/>
        <w:rPr>
          <w:rFonts w:ascii="Calibri"/>
          <w:sz w:val="18"/>
        </w:rPr>
      </w:pPr>
      <w:r>
        <w:rPr>
          <w:rFonts w:ascii="Calibri"/>
          <w:sz w:val="18"/>
        </w:rPr>
        <w:t>43</w:t>
      </w:r>
    </w:p>
    <w:p>
      <w:pPr>
        <w:spacing w:after="0"/>
        <w:jc w:val="center"/>
        <w:rPr>
          <w:rFonts w:ascii="Calibri"/>
          <w:sz w:val="18"/>
        </w:rPr>
        <w:sectPr>
          <w:type w:val="continuous"/>
          <w:pgSz w:w="11910" w:h="16840"/>
          <w:pgMar w:top="1580" w:bottom="280" w:left="1200" w:right="1140"/>
        </w:sectPr>
      </w:pPr>
    </w:p>
    <w:p>
      <w:pPr>
        <w:pStyle w:val="Heading2"/>
      </w:pPr>
      <w:r>
        <w:rPr/>
        <w:drawing>
          <wp:anchor distT="0" distB="0" distL="0" distR="0" allowOverlap="1" layoutInCell="1" locked="0" behindDoc="1" simplePos="0" relativeHeight="268351511">
            <wp:simplePos x="0" y="0"/>
            <wp:positionH relativeFrom="page">
              <wp:posOffset>203309</wp:posOffset>
            </wp:positionH>
            <wp:positionV relativeFrom="page">
              <wp:posOffset>944714</wp:posOffset>
            </wp:positionV>
            <wp:extent cx="7115825" cy="9747669"/>
            <wp:effectExtent l="0" t="0" r="0" b="0"/>
            <wp:wrapNone/>
            <wp:docPr id="97" name="image2.jpeg" descr=""/>
            <wp:cNvGraphicFramePr>
              <a:graphicFrameLocks noChangeAspect="1"/>
            </wp:cNvGraphicFramePr>
            <a:graphic>
              <a:graphicData uri="http://schemas.openxmlformats.org/drawingml/2006/picture">
                <pic:pic>
                  <pic:nvPicPr>
                    <pic:cNvPr id="9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920" filled="true" fillcolor="#ffffff" stroked="false">
            <v:fill type="solid"/>
            <w10:wrap type="none"/>
          </v:rect>
        </w:pict>
      </w:r>
      <w:bookmarkStart w:name="_TOC_250007" w:id="55"/>
      <w:bookmarkStart w:name="十、响应偏差表" w:id="56"/>
      <w:r>
        <w:rPr>
          <w:b w:val="0"/>
        </w:rPr>
      </w:r>
      <w:bookmarkEnd w:id="55"/>
      <w:r>
        <w:rPr/>
        <w:t>十、响应偏差表</w:t>
      </w:r>
    </w:p>
    <w:p>
      <w:pPr>
        <w:pStyle w:val="Heading3"/>
        <w:spacing w:before="141"/>
        <w:rPr>
          <w:rFonts w:ascii="SimSun" w:eastAsia="SimSun" w:hint="eastAsia"/>
        </w:rPr>
      </w:pPr>
      <w:r>
        <w:rPr>
          <w:rFonts w:ascii="SimSun" w:eastAsia="SimSun" w:hint="eastAsia"/>
        </w:rPr>
        <w:t>投标响应偏差表</w:t>
      </w:r>
    </w:p>
    <w:p>
      <w:pPr>
        <w:pStyle w:val="BodyText"/>
        <w:spacing w:before="6" w:after="1"/>
        <w:rPr>
          <w:sz w:val="8"/>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5"/>
        <w:gridCol w:w="2682"/>
        <w:gridCol w:w="2685"/>
      </w:tblGrid>
      <w:tr>
        <w:trPr>
          <w:trHeight w:val="671" w:hRule="atLeast"/>
        </w:trPr>
        <w:tc>
          <w:tcPr>
            <w:tcW w:w="3145" w:type="dxa"/>
            <w:shd w:val="clear" w:color="auto" w:fill="FFFFFF"/>
          </w:tcPr>
          <w:p>
            <w:pPr>
              <w:pStyle w:val="TableParagraph"/>
              <w:spacing w:before="223"/>
              <w:ind w:left="731"/>
              <w:rPr>
                <w:sz w:val="28"/>
              </w:rPr>
            </w:pPr>
            <w:r>
              <w:rPr>
                <w:sz w:val="28"/>
              </w:rPr>
              <w:t>招标文件内容</w:t>
            </w:r>
          </w:p>
        </w:tc>
        <w:tc>
          <w:tcPr>
            <w:tcW w:w="2682" w:type="dxa"/>
            <w:shd w:val="clear" w:color="auto" w:fill="FFFFFF"/>
          </w:tcPr>
          <w:p>
            <w:pPr>
              <w:pStyle w:val="TableParagraph"/>
              <w:spacing w:before="223"/>
              <w:ind w:left="498"/>
              <w:rPr>
                <w:sz w:val="28"/>
              </w:rPr>
            </w:pPr>
            <w:r>
              <w:rPr>
                <w:sz w:val="28"/>
              </w:rPr>
              <w:t>投标文件内容</w:t>
            </w:r>
          </w:p>
        </w:tc>
        <w:tc>
          <w:tcPr>
            <w:tcW w:w="2685" w:type="dxa"/>
            <w:shd w:val="clear" w:color="auto" w:fill="FFFFFF"/>
          </w:tcPr>
          <w:p>
            <w:pPr>
              <w:pStyle w:val="TableParagraph"/>
              <w:spacing w:before="223"/>
              <w:ind w:left="358"/>
              <w:rPr>
                <w:sz w:val="28"/>
              </w:rPr>
            </w:pPr>
            <w:r>
              <w:rPr>
                <w:sz w:val="28"/>
              </w:rPr>
              <w:t>偏差内容及说明</w:t>
            </w: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4"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4"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r>
        <w:trPr>
          <w:trHeight w:val="671" w:hRule="atLeast"/>
        </w:trPr>
        <w:tc>
          <w:tcPr>
            <w:tcW w:w="3145" w:type="dxa"/>
            <w:shd w:val="clear" w:color="auto" w:fill="FFFFFF"/>
          </w:tcPr>
          <w:p>
            <w:pPr>
              <w:pStyle w:val="TableParagraph"/>
              <w:rPr>
                <w:rFonts w:ascii="Times New Roman"/>
                <w:sz w:val="24"/>
              </w:rPr>
            </w:pPr>
          </w:p>
        </w:tc>
        <w:tc>
          <w:tcPr>
            <w:tcW w:w="2682" w:type="dxa"/>
            <w:shd w:val="clear" w:color="auto" w:fill="FFFFFF"/>
          </w:tcPr>
          <w:p>
            <w:pPr>
              <w:pStyle w:val="TableParagraph"/>
              <w:rPr>
                <w:rFonts w:ascii="Times New Roman"/>
                <w:sz w:val="24"/>
              </w:rPr>
            </w:pPr>
          </w:p>
        </w:tc>
        <w:tc>
          <w:tcPr>
            <w:tcW w:w="2685" w:type="dxa"/>
            <w:shd w:val="clear" w:color="auto" w:fill="FFFFFF"/>
          </w:tcPr>
          <w:p>
            <w:pPr>
              <w:pStyle w:val="TableParagraph"/>
              <w:rPr>
                <w:rFonts w:ascii="Times New Roman"/>
                <w:sz w:val="24"/>
              </w:rPr>
            </w:pPr>
          </w:p>
        </w:tc>
      </w:tr>
    </w:tbl>
    <w:p>
      <w:pPr>
        <w:pStyle w:val="BodyText"/>
        <w:spacing w:before="6"/>
        <w:rPr>
          <w:sz w:val="10"/>
        </w:rPr>
      </w:pPr>
    </w:p>
    <w:p>
      <w:pPr>
        <w:pStyle w:val="BodyText"/>
        <w:tabs>
          <w:tab w:pos="3149" w:val="left" w:leader="none"/>
          <w:tab w:pos="7751" w:val="left" w:leader="none"/>
        </w:tabs>
        <w:spacing w:before="74"/>
        <w:ind w:left="389"/>
      </w:pPr>
      <w:r>
        <w:rPr/>
        <w:t>单位公章：</w:t>
      </w:r>
      <w:r>
        <w:rPr>
          <w:u w:val="single"/>
        </w:rPr>
        <w:t> </w:t>
        <w:tab/>
      </w:r>
      <w:r>
        <w:rPr/>
        <w:t>（电子签章） 法定代表人：</w:t>
      </w:r>
      <w:r>
        <w:rPr>
          <w:u w:val="single"/>
        </w:rPr>
        <w:t> </w:t>
        <w:tab/>
      </w:r>
      <w:r>
        <w:rPr/>
        <w:t>（电子签章）</w:t>
      </w:r>
    </w:p>
    <w:p>
      <w:pPr>
        <w:pStyle w:val="BodyText"/>
        <w:spacing w:before="10"/>
        <w:rPr>
          <w:sz w:val="28"/>
        </w:rPr>
      </w:pPr>
    </w:p>
    <w:p>
      <w:pPr>
        <w:pStyle w:val="Heading8"/>
        <w:spacing w:line="170" w:lineRule="auto"/>
        <w:ind w:left="389" w:right="326"/>
        <w:jc w:val="both"/>
      </w:pPr>
      <w:r>
        <w:rPr>
          <w:w w:val="95"/>
        </w:rPr>
        <w:t>1</w:t>
      </w:r>
      <w:r>
        <w:rPr>
          <w:spacing w:val="-4"/>
          <w:w w:val="95"/>
        </w:rPr>
        <w:t>、凡投标文件中所投货物或服务与招标文件有偏差的</w:t>
      </w:r>
      <w:r>
        <w:rPr>
          <w:w w:val="95"/>
        </w:rPr>
        <w:t>（包括正偏差，用+号表示和负    </w:t>
      </w:r>
      <w:r>
        <w:rPr/>
        <w:t>偏差，用-号表示），均应在此表中详细列出并说明理由（内容较多的可以标注见投标文件第几页），未在此表中列出的视同完全满足招标文件要求。</w:t>
      </w:r>
    </w:p>
    <w:p>
      <w:pPr>
        <w:pStyle w:val="Heading8"/>
        <w:spacing w:line="345" w:lineRule="exact"/>
        <w:ind w:left="389"/>
        <w:jc w:val="both"/>
      </w:pPr>
      <w:r>
        <w:rPr/>
        <w:t>2、投标人所投产品如与招标文件要求的规格及配置不一致，则须在上表偏离说明中</w:t>
      </w:r>
    </w:p>
    <w:p>
      <w:pPr>
        <w:pStyle w:val="Heading8"/>
        <w:spacing w:before="27"/>
        <w:ind w:left="389"/>
        <w:jc w:val="both"/>
      </w:pPr>
      <w:r>
        <w:rPr/>
        <w:t>详细注明。</w:t>
      </w:r>
    </w:p>
    <w:p>
      <w:pPr>
        <w:pStyle w:val="Heading8"/>
        <w:spacing w:before="24"/>
        <w:ind w:left="389"/>
        <w:jc w:val="both"/>
      </w:pPr>
      <w:r>
        <w:rPr/>
        <w:t>3、响应部分可后附详细说明及技术资料，并注明投标文件中对应的页码范围。</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15"/>
        <w:rPr>
          <w:rFonts w:ascii="Microsoft JhengHei"/>
          <w:b/>
          <w:sz w:val="10"/>
        </w:rPr>
      </w:pPr>
    </w:p>
    <w:p>
      <w:pPr>
        <w:spacing w:before="64"/>
        <w:ind w:left="54" w:right="0" w:firstLine="0"/>
        <w:jc w:val="center"/>
        <w:rPr>
          <w:rFonts w:ascii="Calibri"/>
          <w:sz w:val="18"/>
        </w:rPr>
      </w:pPr>
      <w:r>
        <w:rPr>
          <w:rFonts w:ascii="Calibri"/>
          <w:sz w:val="18"/>
        </w:rPr>
        <w:t>44</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559">
            <wp:simplePos x="0" y="0"/>
            <wp:positionH relativeFrom="page">
              <wp:posOffset>203309</wp:posOffset>
            </wp:positionH>
            <wp:positionV relativeFrom="page">
              <wp:posOffset>944714</wp:posOffset>
            </wp:positionV>
            <wp:extent cx="7115825" cy="9747669"/>
            <wp:effectExtent l="0" t="0" r="0" b="0"/>
            <wp:wrapNone/>
            <wp:docPr id="99" name="image2.jpeg" descr=""/>
            <wp:cNvGraphicFramePr>
              <a:graphicFrameLocks noChangeAspect="1"/>
            </wp:cNvGraphicFramePr>
            <a:graphic>
              <a:graphicData uri="http://schemas.openxmlformats.org/drawingml/2006/picture">
                <pic:pic>
                  <pic:nvPicPr>
                    <pic:cNvPr id="10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872" filled="true" fillcolor="#ffffff" stroked="false">
            <v:fill type="solid"/>
            <w10:wrap type="none"/>
          </v:rect>
        </w:pict>
      </w:r>
      <w:bookmarkStart w:name="_TOC_250006" w:id="57"/>
      <w:bookmarkStart w:name="十一、所投产品技术资料或样本等" w:id="58"/>
      <w:r>
        <w:rPr>
          <w:b w:val="0"/>
        </w:rPr>
      </w:r>
      <w:bookmarkEnd w:id="57"/>
      <w:r>
        <w:rPr/>
        <w:t>十一、所投产品技术资料或样本等</w:t>
      </w:r>
    </w:p>
    <w:p>
      <w:pPr>
        <w:spacing w:before="59"/>
        <w:ind w:left="389" w:right="0" w:firstLine="0"/>
        <w:jc w:val="left"/>
        <w:rPr>
          <w:sz w:val="21"/>
        </w:rPr>
      </w:pPr>
      <w:r>
        <w:rPr>
          <w:sz w:val="21"/>
        </w:rPr>
        <w:t>格式自拟，可附相关产品技术彩页</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1"/>
        <w:ind w:left="54" w:right="0" w:firstLine="0"/>
        <w:jc w:val="center"/>
        <w:rPr>
          <w:rFonts w:ascii="Calibri"/>
          <w:sz w:val="18"/>
        </w:rPr>
      </w:pPr>
      <w:r>
        <w:rPr>
          <w:rFonts w:ascii="Calibri"/>
          <w:sz w:val="18"/>
        </w:rPr>
        <w:t>45</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607">
            <wp:simplePos x="0" y="0"/>
            <wp:positionH relativeFrom="page">
              <wp:posOffset>203309</wp:posOffset>
            </wp:positionH>
            <wp:positionV relativeFrom="page">
              <wp:posOffset>944714</wp:posOffset>
            </wp:positionV>
            <wp:extent cx="7115825" cy="9747669"/>
            <wp:effectExtent l="0" t="0" r="0" b="0"/>
            <wp:wrapNone/>
            <wp:docPr id="101" name="image2.jpeg" descr=""/>
            <wp:cNvGraphicFramePr>
              <a:graphicFrameLocks noChangeAspect="1"/>
            </wp:cNvGraphicFramePr>
            <a:graphic>
              <a:graphicData uri="http://schemas.openxmlformats.org/drawingml/2006/picture">
                <pic:pic>
                  <pic:nvPicPr>
                    <pic:cNvPr id="10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824" filled="true" fillcolor="#ffffff" stroked="false">
            <v:fill type="solid"/>
            <w10:wrap type="none"/>
          </v:rect>
        </w:pict>
      </w:r>
      <w:bookmarkStart w:name="_TOC_250005" w:id="59"/>
      <w:bookmarkStart w:name="十二、主要部件、辅材明细表" w:id="60"/>
      <w:r>
        <w:rPr>
          <w:b w:val="0"/>
        </w:rPr>
      </w:r>
      <w:bookmarkEnd w:id="59"/>
      <w:r>
        <w:rPr/>
        <w:t>十二、主要部件、辅材明细表</w:t>
      </w:r>
    </w:p>
    <w:p>
      <w:pPr>
        <w:pStyle w:val="BodyText"/>
        <w:rPr>
          <w:rFonts w:ascii="Microsoft JhengHei"/>
          <w:b/>
          <w:sz w:val="20"/>
        </w:rPr>
      </w:pPr>
    </w:p>
    <w:p>
      <w:pPr>
        <w:pStyle w:val="BodyText"/>
        <w:spacing w:before="10"/>
        <w:rPr>
          <w:rFonts w:ascii="Microsoft JhengHei"/>
          <w:b/>
          <w:sz w:val="16"/>
        </w:rPr>
      </w:pP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2"/>
        <w:gridCol w:w="1261"/>
        <w:gridCol w:w="1080"/>
        <w:gridCol w:w="1440"/>
        <w:gridCol w:w="1975"/>
        <w:gridCol w:w="1900"/>
      </w:tblGrid>
      <w:tr>
        <w:trPr>
          <w:trHeight w:val="1117" w:hRule="atLeast"/>
        </w:trPr>
        <w:tc>
          <w:tcPr>
            <w:tcW w:w="1452" w:type="dxa"/>
            <w:shd w:val="clear" w:color="auto" w:fill="FFFFFF"/>
          </w:tcPr>
          <w:p>
            <w:pPr>
              <w:pStyle w:val="TableParagraph"/>
              <w:spacing w:line="560" w:lineRule="exact"/>
              <w:ind w:left="304" w:right="151" w:hanging="140"/>
              <w:rPr>
                <w:sz w:val="28"/>
              </w:rPr>
            </w:pPr>
            <w:r>
              <w:rPr>
                <w:sz w:val="28"/>
              </w:rPr>
              <w:t>主要部件及辅材</w:t>
            </w:r>
          </w:p>
        </w:tc>
        <w:tc>
          <w:tcPr>
            <w:tcW w:w="1261" w:type="dxa"/>
            <w:shd w:val="clear" w:color="auto" w:fill="FFFFFF"/>
          </w:tcPr>
          <w:p>
            <w:pPr>
              <w:pStyle w:val="TableParagraph"/>
              <w:spacing w:before="5"/>
              <w:rPr>
                <w:rFonts w:ascii="Microsoft JhengHei"/>
                <w:b/>
                <w:sz w:val="24"/>
              </w:rPr>
            </w:pPr>
          </w:p>
          <w:p>
            <w:pPr>
              <w:pStyle w:val="TableParagraph"/>
              <w:ind w:left="350"/>
              <w:rPr>
                <w:sz w:val="28"/>
              </w:rPr>
            </w:pPr>
            <w:r>
              <w:rPr>
                <w:sz w:val="28"/>
              </w:rPr>
              <w:t>品牌</w:t>
            </w:r>
          </w:p>
        </w:tc>
        <w:tc>
          <w:tcPr>
            <w:tcW w:w="1080" w:type="dxa"/>
            <w:shd w:val="clear" w:color="auto" w:fill="FFFFFF"/>
          </w:tcPr>
          <w:p>
            <w:pPr>
              <w:pStyle w:val="TableParagraph"/>
              <w:spacing w:before="5"/>
              <w:rPr>
                <w:rFonts w:ascii="Microsoft JhengHei"/>
                <w:b/>
                <w:sz w:val="24"/>
              </w:rPr>
            </w:pPr>
          </w:p>
          <w:p>
            <w:pPr>
              <w:pStyle w:val="TableParagraph"/>
              <w:ind w:left="258"/>
              <w:rPr>
                <w:sz w:val="28"/>
              </w:rPr>
            </w:pPr>
            <w:r>
              <w:rPr>
                <w:sz w:val="28"/>
              </w:rPr>
              <w:t>产地</w:t>
            </w:r>
          </w:p>
        </w:tc>
        <w:tc>
          <w:tcPr>
            <w:tcW w:w="1440" w:type="dxa"/>
            <w:shd w:val="clear" w:color="auto" w:fill="FFFFFF"/>
          </w:tcPr>
          <w:p>
            <w:pPr>
              <w:pStyle w:val="TableParagraph"/>
              <w:spacing w:before="5"/>
              <w:rPr>
                <w:rFonts w:ascii="Microsoft JhengHei"/>
                <w:b/>
                <w:sz w:val="24"/>
              </w:rPr>
            </w:pPr>
          </w:p>
          <w:p>
            <w:pPr>
              <w:pStyle w:val="TableParagraph"/>
              <w:ind w:left="157"/>
              <w:rPr>
                <w:sz w:val="28"/>
              </w:rPr>
            </w:pPr>
            <w:r>
              <w:rPr>
                <w:sz w:val="28"/>
              </w:rPr>
              <w:t>生产厂家</w:t>
            </w:r>
          </w:p>
        </w:tc>
        <w:tc>
          <w:tcPr>
            <w:tcW w:w="1975" w:type="dxa"/>
            <w:shd w:val="clear" w:color="auto" w:fill="FFFFFF"/>
          </w:tcPr>
          <w:p>
            <w:pPr>
              <w:pStyle w:val="TableParagraph"/>
              <w:spacing w:before="5"/>
              <w:rPr>
                <w:rFonts w:ascii="Microsoft JhengHei"/>
                <w:b/>
                <w:sz w:val="24"/>
              </w:rPr>
            </w:pPr>
          </w:p>
          <w:p>
            <w:pPr>
              <w:pStyle w:val="TableParagraph"/>
              <w:ind w:left="146"/>
              <w:rPr>
                <w:sz w:val="28"/>
              </w:rPr>
            </w:pPr>
            <w:r>
              <w:rPr>
                <w:sz w:val="28"/>
              </w:rPr>
              <w:t>主要技术参数</w:t>
            </w:r>
          </w:p>
        </w:tc>
        <w:tc>
          <w:tcPr>
            <w:tcW w:w="1900" w:type="dxa"/>
            <w:shd w:val="clear" w:color="auto" w:fill="FFFFFF"/>
          </w:tcPr>
          <w:p>
            <w:pPr>
              <w:pStyle w:val="TableParagraph"/>
              <w:spacing w:line="560" w:lineRule="exact"/>
              <w:ind w:left="530" w:right="94" w:hanging="420"/>
              <w:rPr>
                <w:sz w:val="28"/>
              </w:rPr>
            </w:pPr>
            <w:r>
              <w:rPr>
                <w:sz w:val="28"/>
              </w:rPr>
              <w:t>质保期满后优惠价格</w:t>
            </w:r>
          </w:p>
        </w:tc>
      </w:tr>
      <w:tr>
        <w:trPr>
          <w:trHeight w:val="583"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5"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2"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r>
        <w:trPr>
          <w:trHeight w:val="587" w:hRule="atLeast"/>
        </w:trPr>
        <w:tc>
          <w:tcPr>
            <w:tcW w:w="1452" w:type="dxa"/>
            <w:shd w:val="clear" w:color="auto" w:fill="FFFFFF"/>
          </w:tcPr>
          <w:p>
            <w:pPr>
              <w:pStyle w:val="TableParagraph"/>
              <w:rPr>
                <w:rFonts w:ascii="Times New Roman"/>
                <w:sz w:val="24"/>
              </w:rPr>
            </w:pPr>
          </w:p>
        </w:tc>
        <w:tc>
          <w:tcPr>
            <w:tcW w:w="1261" w:type="dxa"/>
            <w:shd w:val="clear" w:color="auto" w:fill="FFFFFF"/>
          </w:tcPr>
          <w:p>
            <w:pPr>
              <w:pStyle w:val="TableParagraph"/>
              <w:rPr>
                <w:rFonts w:ascii="Times New Roman"/>
                <w:sz w:val="24"/>
              </w:rPr>
            </w:pPr>
          </w:p>
        </w:tc>
        <w:tc>
          <w:tcPr>
            <w:tcW w:w="1080" w:type="dxa"/>
            <w:shd w:val="clear" w:color="auto" w:fill="FFFFFF"/>
          </w:tcPr>
          <w:p>
            <w:pPr>
              <w:pStyle w:val="TableParagraph"/>
              <w:rPr>
                <w:rFonts w:ascii="Times New Roman"/>
                <w:sz w:val="24"/>
              </w:rPr>
            </w:pPr>
          </w:p>
        </w:tc>
        <w:tc>
          <w:tcPr>
            <w:tcW w:w="1440" w:type="dxa"/>
            <w:shd w:val="clear" w:color="auto" w:fill="FFFFFF"/>
          </w:tcPr>
          <w:p>
            <w:pPr>
              <w:pStyle w:val="TableParagraph"/>
              <w:rPr>
                <w:rFonts w:ascii="Times New Roman"/>
                <w:sz w:val="24"/>
              </w:rPr>
            </w:pPr>
          </w:p>
        </w:tc>
        <w:tc>
          <w:tcPr>
            <w:tcW w:w="1975" w:type="dxa"/>
            <w:shd w:val="clear" w:color="auto" w:fill="FFFFFF"/>
          </w:tcPr>
          <w:p>
            <w:pPr>
              <w:pStyle w:val="TableParagraph"/>
              <w:rPr>
                <w:rFonts w:ascii="Times New Roman"/>
                <w:sz w:val="24"/>
              </w:rPr>
            </w:pPr>
          </w:p>
        </w:tc>
        <w:tc>
          <w:tcPr>
            <w:tcW w:w="1900" w:type="dxa"/>
            <w:shd w:val="clear" w:color="auto" w:fill="FFFFFF"/>
          </w:tcPr>
          <w:p>
            <w:pPr>
              <w:pStyle w:val="TableParagraph"/>
              <w:rPr>
                <w:rFonts w:ascii="Times New Roman"/>
                <w:sz w:val="24"/>
              </w:rPr>
            </w:pPr>
          </w:p>
        </w:tc>
      </w:tr>
    </w:tbl>
    <w:p>
      <w:pPr>
        <w:pStyle w:val="BodyText"/>
        <w:spacing w:line="374" w:lineRule="auto" w:before="144"/>
        <w:ind w:left="101" w:right="333" w:firstLine="285"/>
      </w:pPr>
      <w:r>
        <w:rPr>
          <w:spacing w:val="-7"/>
        </w:rPr>
        <w:t>注：投标人应将所投货物的主要部件、配件等材料的品牌、产地、相关参数、质保期满后的优惠价格等在表中空白处填列。</w:t>
      </w:r>
    </w:p>
    <w:p>
      <w:pPr>
        <w:pStyle w:val="BodyText"/>
      </w:pPr>
    </w:p>
    <w:p>
      <w:pPr>
        <w:pStyle w:val="BodyText"/>
      </w:pPr>
    </w:p>
    <w:p>
      <w:pPr>
        <w:pStyle w:val="BodyText"/>
        <w:spacing w:before="1"/>
        <w:rPr>
          <w:sz w:val="28"/>
        </w:rPr>
      </w:pPr>
    </w:p>
    <w:p>
      <w:pPr>
        <w:pStyle w:val="BodyText"/>
        <w:tabs>
          <w:tab w:pos="2429" w:val="left" w:leader="none"/>
          <w:tab w:pos="4109" w:val="left" w:leader="none"/>
          <w:tab w:pos="6411" w:val="left" w:leader="none"/>
        </w:tabs>
        <w:spacing w:before="1"/>
        <w:ind w:left="389"/>
      </w:pPr>
      <w:r>
        <w:rPr/>
        <w:t>单位公章：</w:t>
      </w:r>
      <w:r>
        <w:rPr>
          <w:u w:val="single"/>
        </w:rPr>
        <w:t> </w:t>
        <w:tab/>
      </w:r>
      <w:r>
        <w:rPr/>
        <w:t>（电子签章）</w:t>
        <w:tab/>
        <w:t>法定代表人：</w:t>
      </w:r>
      <w:r>
        <w:rPr>
          <w:u w:val="single"/>
        </w:rPr>
        <w:t> </w:t>
        <w:tab/>
      </w:r>
      <w:r>
        <w:rPr/>
        <w:t>（电子</w:t>
      </w:r>
      <w:r>
        <w:rPr>
          <w:spacing w:val="-3"/>
        </w:rPr>
        <w:t>签</w:t>
      </w:r>
      <w:r>
        <w:rPr/>
        <w:t>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spacing w:before="64"/>
        <w:ind w:left="54" w:right="0" w:firstLine="0"/>
        <w:jc w:val="center"/>
        <w:rPr>
          <w:rFonts w:ascii="Calibri"/>
          <w:sz w:val="18"/>
        </w:rPr>
      </w:pPr>
      <w:r>
        <w:rPr>
          <w:rFonts w:ascii="Calibri"/>
          <w:sz w:val="18"/>
        </w:rPr>
        <w:t>46</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655">
            <wp:simplePos x="0" y="0"/>
            <wp:positionH relativeFrom="page">
              <wp:posOffset>203309</wp:posOffset>
            </wp:positionH>
            <wp:positionV relativeFrom="page">
              <wp:posOffset>944714</wp:posOffset>
            </wp:positionV>
            <wp:extent cx="7115825" cy="9747669"/>
            <wp:effectExtent l="0" t="0" r="0" b="0"/>
            <wp:wrapNone/>
            <wp:docPr id="103" name="image2.jpeg" descr=""/>
            <wp:cNvGraphicFramePr>
              <a:graphicFrameLocks noChangeAspect="1"/>
            </wp:cNvGraphicFramePr>
            <a:graphic>
              <a:graphicData uri="http://schemas.openxmlformats.org/drawingml/2006/picture">
                <pic:pic>
                  <pic:nvPicPr>
                    <pic:cNvPr id="10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776" filled="true" fillcolor="#ffffff" stroked="false">
            <v:fill type="solid"/>
            <w10:wrap type="none"/>
          </v:rect>
        </w:pict>
      </w:r>
      <w:bookmarkStart w:name="_TOC_250004" w:id="61"/>
      <w:bookmarkStart w:name="十三、项目实施方案" w:id="62"/>
      <w:r>
        <w:rPr>
          <w:b w:val="0"/>
        </w:rPr>
      </w:r>
      <w:bookmarkEnd w:id="61"/>
      <w:r>
        <w:rPr/>
        <w:t>十三、项目实施方案</w:t>
      </w:r>
    </w:p>
    <w:p>
      <w:pPr>
        <w:pStyle w:val="BodyText"/>
        <w:rPr>
          <w:rFonts w:ascii="Microsoft JhengHei"/>
          <w:b/>
          <w:sz w:val="6"/>
        </w:rPr>
      </w:pPr>
    </w:p>
    <w:p>
      <w:pPr>
        <w:spacing w:line="538" w:lineRule="exact" w:before="0"/>
        <w:ind w:left="59" w:right="0" w:firstLine="0"/>
        <w:jc w:val="center"/>
        <w:rPr>
          <w:rFonts w:ascii="Microsoft JhengHei" w:eastAsia="Microsoft JhengHei" w:hint="eastAsia"/>
          <w:b/>
          <w:sz w:val="32"/>
        </w:rPr>
      </w:pPr>
      <w:r>
        <w:rPr>
          <w:rFonts w:ascii="Microsoft JhengHei" w:eastAsia="Microsoft JhengHei" w:hint="eastAsia"/>
          <w:b/>
          <w:sz w:val="32"/>
        </w:rPr>
        <w:t>格式自拟</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15"/>
        <w:rPr>
          <w:rFonts w:ascii="Microsoft JhengHei"/>
          <w:b/>
          <w:sz w:val="28"/>
        </w:rPr>
      </w:pPr>
    </w:p>
    <w:p>
      <w:pPr>
        <w:spacing w:before="64"/>
        <w:ind w:left="49" w:right="0" w:firstLine="0"/>
        <w:jc w:val="center"/>
        <w:rPr>
          <w:rFonts w:ascii="Calibri"/>
          <w:sz w:val="18"/>
        </w:rPr>
      </w:pPr>
      <w:r>
        <w:rPr>
          <w:rFonts w:ascii="Calibri"/>
          <w:sz w:val="18"/>
        </w:rPr>
        <w:t>47</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703">
            <wp:simplePos x="0" y="0"/>
            <wp:positionH relativeFrom="page">
              <wp:posOffset>203309</wp:posOffset>
            </wp:positionH>
            <wp:positionV relativeFrom="page">
              <wp:posOffset>944714</wp:posOffset>
            </wp:positionV>
            <wp:extent cx="7115825" cy="9747669"/>
            <wp:effectExtent l="0" t="0" r="0" b="0"/>
            <wp:wrapNone/>
            <wp:docPr id="105" name="image2.jpeg" descr=""/>
            <wp:cNvGraphicFramePr>
              <a:graphicFrameLocks noChangeAspect="1"/>
            </wp:cNvGraphicFramePr>
            <a:graphic>
              <a:graphicData uri="http://schemas.openxmlformats.org/drawingml/2006/picture">
                <pic:pic>
                  <pic:nvPicPr>
                    <pic:cNvPr id="106"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728" filled="true" fillcolor="#ffffff" stroked="false">
            <v:fill type="solid"/>
            <w10:wrap type="none"/>
          </v:rect>
        </w:pict>
      </w:r>
      <w:bookmarkStart w:name="_TOC_250003" w:id="63"/>
      <w:bookmarkStart w:name="十四、质量保证及售后朊务方案" w:id="64"/>
      <w:r>
        <w:rPr>
          <w:b w:val="0"/>
        </w:rPr>
      </w:r>
      <w:bookmarkEnd w:id="63"/>
      <w:r>
        <w:rPr/>
        <w:t>十四、质量保证及售后服务方案</w:t>
      </w:r>
    </w:p>
    <w:p>
      <w:pPr>
        <w:spacing w:before="59"/>
        <w:ind w:left="59" w:right="0" w:firstLine="0"/>
        <w:jc w:val="center"/>
        <w:rPr>
          <w:rFonts w:ascii="Microsoft JhengHei" w:eastAsia="Microsoft JhengHei" w:hint="eastAsia"/>
          <w:b/>
          <w:sz w:val="32"/>
        </w:rPr>
      </w:pPr>
      <w:r>
        <w:rPr>
          <w:rFonts w:ascii="Microsoft JhengHei" w:eastAsia="Microsoft JhengHei" w:hint="eastAsia"/>
          <w:b/>
          <w:sz w:val="32"/>
        </w:rPr>
        <w:t>格式自拟</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16"/>
        <w:rPr>
          <w:rFonts w:ascii="Microsoft JhengHei"/>
          <w:b/>
          <w:sz w:val="28"/>
        </w:rPr>
      </w:pPr>
    </w:p>
    <w:p>
      <w:pPr>
        <w:spacing w:before="64"/>
        <w:ind w:left="54" w:right="0" w:firstLine="0"/>
        <w:jc w:val="center"/>
        <w:rPr>
          <w:rFonts w:ascii="Calibri"/>
          <w:sz w:val="18"/>
        </w:rPr>
      </w:pPr>
      <w:r>
        <w:rPr>
          <w:rFonts w:ascii="Calibri"/>
          <w:sz w:val="18"/>
        </w:rPr>
        <w:t>48</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751">
            <wp:simplePos x="0" y="0"/>
            <wp:positionH relativeFrom="page">
              <wp:posOffset>203309</wp:posOffset>
            </wp:positionH>
            <wp:positionV relativeFrom="page">
              <wp:posOffset>944714</wp:posOffset>
            </wp:positionV>
            <wp:extent cx="7115825" cy="9747669"/>
            <wp:effectExtent l="0" t="0" r="0" b="0"/>
            <wp:wrapNone/>
            <wp:docPr id="107" name="image2.jpeg" descr=""/>
            <wp:cNvGraphicFramePr>
              <a:graphicFrameLocks noChangeAspect="1"/>
            </wp:cNvGraphicFramePr>
            <a:graphic>
              <a:graphicData uri="http://schemas.openxmlformats.org/drawingml/2006/picture">
                <pic:pic>
                  <pic:nvPicPr>
                    <pic:cNvPr id="108"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680" filled="true" fillcolor="#ffffff" stroked="false">
            <v:fill type="solid"/>
            <w10:wrap type="none"/>
          </v:rect>
        </w:pict>
      </w:r>
      <w:bookmarkStart w:name="_TOC_250002" w:id="65"/>
      <w:bookmarkStart w:name="十五、项目组人员" w:id="66"/>
      <w:r>
        <w:rPr>
          <w:b w:val="0"/>
        </w:rPr>
      </w:r>
      <w:bookmarkEnd w:id="65"/>
      <w:r>
        <w:rPr/>
        <w:t>十五、项目组人员</w:t>
      </w:r>
    </w:p>
    <w:p>
      <w:pPr>
        <w:pStyle w:val="Heading4"/>
        <w:spacing w:after="54"/>
        <w:ind w:left="3154"/>
      </w:pPr>
      <w:r>
        <w:rPr/>
        <w:t>拟选派项目负责人简历表</w:t>
      </w: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1111"/>
        <w:gridCol w:w="1049"/>
        <w:gridCol w:w="676"/>
        <w:gridCol w:w="222"/>
        <w:gridCol w:w="767"/>
        <w:gridCol w:w="954"/>
        <w:gridCol w:w="1028"/>
        <w:gridCol w:w="352"/>
        <w:gridCol w:w="212"/>
        <w:gridCol w:w="1647"/>
      </w:tblGrid>
      <w:tr>
        <w:trPr>
          <w:trHeight w:val="880" w:hRule="atLeast"/>
        </w:trPr>
        <w:tc>
          <w:tcPr>
            <w:tcW w:w="1965" w:type="dxa"/>
            <w:gridSpan w:val="2"/>
            <w:shd w:val="clear" w:color="auto" w:fill="FFFFFF"/>
          </w:tcPr>
          <w:p>
            <w:pPr>
              <w:pStyle w:val="TableParagraph"/>
              <w:spacing w:before="17"/>
              <w:rPr>
                <w:rFonts w:ascii="Microsoft JhengHei"/>
                <w:b/>
                <w:sz w:val="15"/>
              </w:rPr>
            </w:pPr>
          </w:p>
          <w:p>
            <w:pPr>
              <w:pStyle w:val="TableParagraph"/>
              <w:tabs>
                <w:tab w:pos="1118" w:val="left" w:leader="none"/>
              </w:tabs>
              <w:ind w:left="558"/>
              <w:rPr>
                <w:sz w:val="28"/>
              </w:rPr>
            </w:pPr>
            <w:r>
              <w:rPr>
                <w:sz w:val="28"/>
              </w:rPr>
              <w:t>姓</w:t>
              <w:tab/>
              <w:t>名</w:t>
            </w:r>
          </w:p>
        </w:tc>
        <w:tc>
          <w:tcPr>
            <w:tcW w:w="1049" w:type="dxa"/>
            <w:shd w:val="clear" w:color="auto" w:fill="FFFFFF"/>
          </w:tcPr>
          <w:p>
            <w:pPr>
              <w:pStyle w:val="TableParagraph"/>
              <w:rPr>
                <w:rFonts w:ascii="Times New Roman"/>
                <w:sz w:val="26"/>
              </w:rPr>
            </w:pPr>
          </w:p>
        </w:tc>
        <w:tc>
          <w:tcPr>
            <w:tcW w:w="898" w:type="dxa"/>
            <w:gridSpan w:val="2"/>
            <w:shd w:val="clear" w:color="auto" w:fill="FFFFFF"/>
          </w:tcPr>
          <w:p>
            <w:pPr>
              <w:pStyle w:val="TableParagraph"/>
              <w:spacing w:line="440" w:lineRule="exact"/>
              <w:ind w:left="310" w:right="294"/>
              <w:jc w:val="center"/>
              <w:rPr>
                <w:sz w:val="28"/>
              </w:rPr>
            </w:pPr>
            <w:r>
              <w:rPr>
                <w:sz w:val="28"/>
              </w:rPr>
              <w:t>年龄</w:t>
            </w:r>
          </w:p>
        </w:tc>
        <w:tc>
          <w:tcPr>
            <w:tcW w:w="767" w:type="dxa"/>
            <w:shd w:val="clear" w:color="auto" w:fill="FFFFFF"/>
          </w:tcPr>
          <w:p>
            <w:pPr>
              <w:pStyle w:val="TableParagraph"/>
              <w:rPr>
                <w:rFonts w:ascii="Times New Roman"/>
                <w:sz w:val="26"/>
              </w:rPr>
            </w:pPr>
          </w:p>
        </w:tc>
        <w:tc>
          <w:tcPr>
            <w:tcW w:w="2334" w:type="dxa"/>
            <w:gridSpan w:val="3"/>
            <w:shd w:val="clear" w:color="auto" w:fill="FFFFFF"/>
          </w:tcPr>
          <w:p>
            <w:pPr>
              <w:pStyle w:val="TableParagraph"/>
              <w:spacing w:before="17"/>
              <w:rPr>
                <w:rFonts w:ascii="Microsoft JhengHei"/>
                <w:b/>
                <w:sz w:val="15"/>
              </w:rPr>
            </w:pPr>
          </w:p>
          <w:p>
            <w:pPr>
              <w:pStyle w:val="TableParagraph"/>
              <w:ind w:left="872" w:right="851"/>
              <w:jc w:val="center"/>
              <w:rPr>
                <w:sz w:val="28"/>
              </w:rPr>
            </w:pPr>
            <w:r>
              <w:rPr>
                <w:sz w:val="28"/>
              </w:rPr>
              <w:t>学历</w:t>
            </w:r>
          </w:p>
        </w:tc>
        <w:tc>
          <w:tcPr>
            <w:tcW w:w="1859" w:type="dxa"/>
            <w:gridSpan w:val="2"/>
            <w:shd w:val="clear" w:color="auto" w:fill="FFFFFF"/>
          </w:tcPr>
          <w:p>
            <w:pPr>
              <w:pStyle w:val="TableParagraph"/>
              <w:rPr>
                <w:rFonts w:ascii="Times New Roman"/>
                <w:sz w:val="26"/>
              </w:rPr>
            </w:pPr>
          </w:p>
        </w:tc>
      </w:tr>
      <w:tr>
        <w:trPr>
          <w:trHeight w:val="1005" w:hRule="atLeast"/>
        </w:trPr>
        <w:tc>
          <w:tcPr>
            <w:tcW w:w="1965" w:type="dxa"/>
            <w:gridSpan w:val="2"/>
            <w:shd w:val="clear" w:color="auto" w:fill="FFFFFF"/>
          </w:tcPr>
          <w:p>
            <w:pPr>
              <w:pStyle w:val="TableParagraph"/>
              <w:spacing w:before="6"/>
              <w:rPr>
                <w:rFonts w:ascii="Microsoft JhengHei"/>
                <w:b/>
                <w:sz w:val="19"/>
              </w:rPr>
            </w:pPr>
          </w:p>
          <w:p>
            <w:pPr>
              <w:pStyle w:val="TableParagraph"/>
              <w:ind w:left="419"/>
              <w:rPr>
                <w:sz w:val="28"/>
              </w:rPr>
            </w:pPr>
            <w:r>
              <w:rPr>
                <w:sz w:val="28"/>
              </w:rPr>
              <w:t>毕业学校</w:t>
            </w:r>
          </w:p>
        </w:tc>
        <w:tc>
          <w:tcPr>
            <w:tcW w:w="6907" w:type="dxa"/>
            <w:gridSpan w:val="9"/>
            <w:shd w:val="clear" w:color="auto" w:fill="FFFFFF"/>
          </w:tcPr>
          <w:p>
            <w:pPr>
              <w:pStyle w:val="TableParagraph"/>
              <w:spacing w:before="6"/>
              <w:rPr>
                <w:rFonts w:ascii="Microsoft JhengHei"/>
                <w:b/>
                <w:sz w:val="19"/>
              </w:rPr>
            </w:pPr>
          </w:p>
          <w:p>
            <w:pPr>
              <w:pStyle w:val="TableParagraph"/>
              <w:tabs>
                <w:tab w:pos="2336" w:val="left" w:leader="none"/>
                <w:tab w:pos="3735" w:val="left" w:leader="none"/>
                <w:tab w:pos="5416" w:val="left" w:leader="none"/>
              </w:tabs>
              <w:ind w:left="934"/>
              <w:rPr>
                <w:sz w:val="28"/>
              </w:rPr>
            </w:pPr>
            <w:r>
              <w:rPr>
                <w:sz w:val="28"/>
              </w:rPr>
              <w:t>年毕业于</w:t>
              <w:tab/>
            </w:r>
            <w:r>
              <w:rPr>
                <w:sz w:val="28"/>
                <w:u w:val="single"/>
              </w:rPr>
              <w:t> </w:t>
              <w:tab/>
            </w:r>
            <w:r>
              <w:rPr>
                <w:sz w:val="28"/>
              </w:rPr>
              <w:t>学校</w:t>
            </w:r>
            <w:r>
              <w:rPr>
                <w:sz w:val="28"/>
                <w:u w:val="single"/>
              </w:rPr>
              <w:t> </w:t>
              <w:tab/>
            </w:r>
            <w:r>
              <w:rPr>
                <w:sz w:val="28"/>
              </w:rPr>
              <w:t>专业</w:t>
            </w:r>
          </w:p>
        </w:tc>
      </w:tr>
      <w:tr>
        <w:trPr>
          <w:trHeight w:val="1116" w:hRule="atLeast"/>
        </w:trPr>
        <w:tc>
          <w:tcPr>
            <w:tcW w:w="1965" w:type="dxa"/>
            <w:gridSpan w:val="2"/>
            <w:shd w:val="clear" w:color="auto" w:fill="FFFFFF"/>
          </w:tcPr>
          <w:p>
            <w:pPr>
              <w:pStyle w:val="TableParagraph"/>
              <w:spacing w:before="7"/>
              <w:rPr>
                <w:rFonts w:ascii="Microsoft JhengHei"/>
                <w:b/>
                <w:sz w:val="22"/>
              </w:rPr>
            </w:pPr>
          </w:p>
          <w:p>
            <w:pPr>
              <w:pStyle w:val="TableParagraph"/>
              <w:ind w:left="105"/>
              <w:rPr>
                <w:sz w:val="28"/>
              </w:rPr>
            </w:pPr>
            <w:r>
              <w:rPr>
                <w:sz w:val="28"/>
              </w:rPr>
              <w:t>专业技术职称</w:t>
            </w:r>
          </w:p>
        </w:tc>
        <w:tc>
          <w:tcPr>
            <w:tcW w:w="2714" w:type="dxa"/>
            <w:gridSpan w:val="4"/>
            <w:shd w:val="clear" w:color="auto" w:fill="FFFFFF"/>
          </w:tcPr>
          <w:p>
            <w:pPr>
              <w:pStyle w:val="TableParagraph"/>
              <w:rPr>
                <w:rFonts w:ascii="Times New Roman"/>
                <w:sz w:val="26"/>
              </w:rPr>
            </w:pPr>
          </w:p>
        </w:tc>
        <w:tc>
          <w:tcPr>
            <w:tcW w:w="1982" w:type="dxa"/>
            <w:gridSpan w:val="2"/>
            <w:shd w:val="clear" w:color="auto" w:fill="FFFFFF"/>
          </w:tcPr>
          <w:p>
            <w:pPr>
              <w:pStyle w:val="TableParagraph"/>
              <w:spacing w:line="295" w:lineRule="auto" w:before="190"/>
              <w:ind w:left="112" w:right="72"/>
              <w:rPr>
                <w:sz w:val="28"/>
              </w:rPr>
            </w:pPr>
            <w:r>
              <w:rPr>
                <w:sz w:val="28"/>
              </w:rPr>
              <w:t>执业资格证书及注册编号</w:t>
            </w:r>
          </w:p>
        </w:tc>
        <w:tc>
          <w:tcPr>
            <w:tcW w:w="2211" w:type="dxa"/>
            <w:gridSpan w:val="3"/>
            <w:shd w:val="clear" w:color="auto" w:fill="FFFFFF"/>
          </w:tcPr>
          <w:p>
            <w:pPr>
              <w:pStyle w:val="TableParagraph"/>
              <w:rPr>
                <w:rFonts w:ascii="Times New Roman"/>
                <w:sz w:val="26"/>
              </w:rPr>
            </w:pPr>
          </w:p>
        </w:tc>
      </w:tr>
      <w:tr>
        <w:trPr>
          <w:trHeight w:val="683" w:hRule="atLeast"/>
        </w:trPr>
        <w:tc>
          <w:tcPr>
            <w:tcW w:w="8872" w:type="dxa"/>
            <w:gridSpan w:val="11"/>
            <w:shd w:val="clear" w:color="auto" w:fill="FFFFFF"/>
          </w:tcPr>
          <w:p>
            <w:pPr>
              <w:pStyle w:val="TableParagraph"/>
              <w:spacing w:before="195"/>
              <w:ind w:left="3157" w:right="3144"/>
              <w:jc w:val="center"/>
              <w:rPr>
                <w:sz w:val="28"/>
              </w:rPr>
            </w:pPr>
            <w:r>
              <w:rPr>
                <w:sz w:val="28"/>
              </w:rPr>
              <w:t>主要主持的类似项目</w:t>
            </w:r>
          </w:p>
        </w:tc>
      </w:tr>
      <w:tr>
        <w:trPr>
          <w:trHeight w:val="878" w:hRule="atLeast"/>
        </w:trPr>
        <w:tc>
          <w:tcPr>
            <w:tcW w:w="854" w:type="dxa"/>
            <w:shd w:val="clear" w:color="auto" w:fill="FFFFFF"/>
          </w:tcPr>
          <w:p>
            <w:pPr>
              <w:pStyle w:val="TableParagraph"/>
              <w:spacing w:before="15"/>
              <w:rPr>
                <w:rFonts w:ascii="Microsoft JhengHei"/>
                <w:b/>
                <w:sz w:val="15"/>
              </w:rPr>
            </w:pPr>
          </w:p>
          <w:p>
            <w:pPr>
              <w:pStyle w:val="TableParagraph"/>
              <w:ind w:left="127" w:right="117"/>
              <w:jc w:val="center"/>
              <w:rPr>
                <w:sz w:val="28"/>
              </w:rPr>
            </w:pPr>
            <w:r>
              <w:rPr>
                <w:sz w:val="28"/>
              </w:rPr>
              <w:t>序号</w:t>
            </w:r>
          </w:p>
        </w:tc>
        <w:tc>
          <w:tcPr>
            <w:tcW w:w="2836" w:type="dxa"/>
            <w:gridSpan w:val="3"/>
            <w:shd w:val="clear" w:color="auto" w:fill="FFFFFF"/>
          </w:tcPr>
          <w:p>
            <w:pPr>
              <w:pStyle w:val="TableParagraph"/>
              <w:spacing w:before="15"/>
              <w:rPr>
                <w:rFonts w:ascii="Microsoft JhengHei"/>
                <w:b/>
                <w:sz w:val="15"/>
              </w:rPr>
            </w:pPr>
          </w:p>
          <w:p>
            <w:pPr>
              <w:pStyle w:val="TableParagraph"/>
              <w:ind w:left="856"/>
              <w:rPr>
                <w:sz w:val="28"/>
              </w:rPr>
            </w:pPr>
            <w:r>
              <w:rPr>
                <w:sz w:val="28"/>
              </w:rPr>
              <w:t>项目名称</w:t>
            </w:r>
          </w:p>
        </w:tc>
        <w:tc>
          <w:tcPr>
            <w:tcW w:w="1943" w:type="dxa"/>
            <w:gridSpan w:val="3"/>
            <w:shd w:val="clear" w:color="auto" w:fill="FFFFFF"/>
          </w:tcPr>
          <w:p>
            <w:pPr>
              <w:pStyle w:val="TableParagraph"/>
              <w:spacing w:before="15"/>
              <w:rPr>
                <w:rFonts w:ascii="Microsoft JhengHei"/>
                <w:b/>
                <w:sz w:val="15"/>
              </w:rPr>
            </w:pPr>
          </w:p>
          <w:p>
            <w:pPr>
              <w:pStyle w:val="TableParagraph"/>
              <w:ind w:left="411"/>
              <w:rPr>
                <w:sz w:val="28"/>
              </w:rPr>
            </w:pPr>
            <w:r>
              <w:rPr>
                <w:sz w:val="28"/>
              </w:rPr>
              <w:t>合同甲方</w:t>
            </w:r>
          </w:p>
        </w:tc>
        <w:tc>
          <w:tcPr>
            <w:tcW w:w="1592" w:type="dxa"/>
            <w:gridSpan w:val="3"/>
            <w:shd w:val="clear" w:color="auto" w:fill="FFFFFF"/>
          </w:tcPr>
          <w:p>
            <w:pPr>
              <w:pStyle w:val="TableParagraph"/>
              <w:spacing w:line="440" w:lineRule="exact"/>
              <w:ind w:left="523" w:right="355" w:hanging="142"/>
              <w:rPr>
                <w:sz w:val="28"/>
              </w:rPr>
            </w:pPr>
            <w:r>
              <w:rPr>
                <w:sz w:val="28"/>
              </w:rPr>
              <w:t>获得的奖项</w:t>
            </w:r>
          </w:p>
        </w:tc>
        <w:tc>
          <w:tcPr>
            <w:tcW w:w="1647" w:type="dxa"/>
            <w:shd w:val="clear" w:color="auto" w:fill="FFFFFF"/>
          </w:tcPr>
          <w:p>
            <w:pPr>
              <w:pStyle w:val="TableParagraph"/>
              <w:spacing w:before="15"/>
              <w:rPr>
                <w:rFonts w:ascii="Microsoft JhengHei"/>
                <w:b/>
                <w:sz w:val="15"/>
              </w:rPr>
            </w:pPr>
          </w:p>
          <w:p>
            <w:pPr>
              <w:pStyle w:val="TableParagraph"/>
              <w:ind w:left="554"/>
              <w:rPr>
                <w:sz w:val="28"/>
              </w:rPr>
            </w:pPr>
            <w:r>
              <w:rPr>
                <w:sz w:val="28"/>
              </w:rPr>
              <w:t>备注</w:t>
            </w:r>
          </w:p>
        </w:tc>
      </w:tr>
      <w:tr>
        <w:trPr>
          <w:trHeight w:val="712" w:hRule="atLeast"/>
        </w:trPr>
        <w:tc>
          <w:tcPr>
            <w:tcW w:w="854" w:type="dxa"/>
            <w:shd w:val="clear" w:color="auto" w:fill="FFFFFF"/>
          </w:tcPr>
          <w:p>
            <w:pPr>
              <w:pStyle w:val="TableParagraph"/>
              <w:spacing w:before="8"/>
              <w:ind w:left="6"/>
              <w:jc w:val="center"/>
              <w:rPr>
                <w:sz w:val="28"/>
              </w:rPr>
            </w:pPr>
            <w:r>
              <w:rPr>
                <w:w w:val="100"/>
                <w:sz w:val="28"/>
              </w:rPr>
              <w:t>1</w:t>
            </w:r>
          </w:p>
        </w:tc>
        <w:tc>
          <w:tcPr>
            <w:tcW w:w="2836" w:type="dxa"/>
            <w:gridSpan w:val="3"/>
            <w:shd w:val="clear" w:color="auto" w:fill="FFFFFF"/>
          </w:tcPr>
          <w:p>
            <w:pPr>
              <w:pStyle w:val="TableParagraph"/>
              <w:rPr>
                <w:rFonts w:ascii="Times New Roman"/>
                <w:sz w:val="26"/>
              </w:rPr>
            </w:pPr>
          </w:p>
        </w:tc>
        <w:tc>
          <w:tcPr>
            <w:tcW w:w="1943" w:type="dxa"/>
            <w:gridSpan w:val="3"/>
            <w:shd w:val="clear" w:color="auto" w:fill="FFFFFF"/>
          </w:tcPr>
          <w:p>
            <w:pPr>
              <w:pStyle w:val="TableParagraph"/>
              <w:rPr>
                <w:rFonts w:ascii="Times New Roman"/>
                <w:sz w:val="26"/>
              </w:rPr>
            </w:pPr>
          </w:p>
        </w:tc>
        <w:tc>
          <w:tcPr>
            <w:tcW w:w="1592" w:type="dxa"/>
            <w:gridSpan w:val="3"/>
            <w:shd w:val="clear" w:color="auto" w:fill="FFFFFF"/>
          </w:tcPr>
          <w:p>
            <w:pPr>
              <w:pStyle w:val="TableParagraph"/>
              <w:rPr>
                <w:rFonts w:ascii="Times New Roman"/>
                <w:sz w:val="26"/>
              </w:rPr>
            </w:pPr>
          </w:p>
        </w:tc>
        <w:tc>
          <w:tcPr>
            <w:tcW w:w="1647" w:type="dxa"/>
            <w:shd w:val="clear" w:color="auto" w:fill="FFFFFF"/>
          </w:tcPr>
          <w:p>
            <w:pPr>
              <w:pStyle w:val="TableParagraph"/>
              <w:rPr>
                <w:rFonts w:ascii="Times New Roman"/>
                <w:sz w:val="26"/>
              </w:rPr>
            </w:pPr>
          </w:p>
        </w:tc>
      </w:tr>
      <w:tr>
        <w:trPr>
          <w:trHeight w:val="712" w:hRule="atLeast"/>
        </w:trPr>
        <w:tc>
          <w:tcPr>
            <w:tcW w:w="854" w:type="dxa"/>
            <w:shd w:val="clear" w:color="auto" w:fill="FFFFFF"/>
          </w:tcPr>
          <w:p>
            <w:pPr>
              <w:pStyle w:val="TableParagraph"/>
              <w:spacing w:before="8"/>
              <w:ind w:left="6"/>
              <w:jc w:val="center"/>
              <w:rPr>
                <w:sz w:val="28"/>
              </w:rPr>
            </w:pPr>
            <w:r>
              <w:rPr>
                <w:w w:val="100"/>
                <w:sz w:val="28"/>
              </w:rPr>
              <w:t>2</w:t>
            </w:r>
          </w:p>
        </w:tc>
        <w:tc>
          <w:tcPr>
            <w:tcW w:w="2836" w:type="dxa"/>
            <w:gridSpan w:val="3"/>
            <w:shd w:val="clear" w:color="auto" w:fill="FFFFFF"/>
          </w:tcPr>
          <w:p>
            <w:pPr>
              <w:pStyle w:val="TableParagraph"/>
              <w:rPr>
                <w:rFonts w:ascii="Times New Roman"/>
                <w:sz w:val="26"/>
              </w:rPr>
            </w:pPr>
          </w:p>
        </w:tc>
        <w:tc>
          <w:tcPr>
            <w:tcW w:w="1943" w:type="dxa"/>
            <w:gridSpan w:val="3"/>
            <w:shd w:val="clear" w:color="auto" w:fill="FFFFFF"/>
          </w:tcPr>
          <w:p>
            <w:pPr>
              <w:pStyle w:val="TableParagraph"/>
              <w:rPr>
                <w:rFonts w:ascii="Times New Roman"/>
                <w:sz w:val="26"/>
              </w:rPr>
            </w:pPr>
          </w:p>
        </w:tc>
        <w:tc>
          <w:tcPr>
            <w:tcW w:w="1592" w:type="dxa"/>
            <w:gridSpan w:val="3"/>
            <w:shd w:val="clear" w:color="auto" w:fill="FFFFFF"/>
          </w:tcPr>
          <w:p>
            <w:pPr>
              <w:pStyle w:val="TableParagraph"/>
              <w:rPr>
                <w:rFonts w:ascii="Times New Roman"/>
                <w:sz w:val="26"/>
              </w:rPr>
            </w:pPr>
          </w:p>
        </w:tc>
        <w:tc>
          <w:tcPr>
            <w:tcW w:w="1647" w:type="dxa"/>
            <w:shd w:val="clear" w:color="auto" w:fill="FFFFFF"/>
          </w:tcPr>
          <w:p>
            <w:pPr>
              <w:pStyle w:val="TableParagraph"/>
              <w:rPr>
                <w:rFonts w:ascii="Times New Roman"/>
                <w:sz w:val="26"/>
              </w:rPr>
            </w:pPr>
          </w:p>
        </w:tc>
      </w:tr>
      <w:tr>
        <w:trPr>
          <w:trHeight w:val="712" w:hRule="atLeast"/>
        </w:trPr>
        <w:tc>
          <w:tcPr>
            <w:tcW w:w="854" w:type="dxa"/>
            <w:shd w:val="clear" w:color="auto" w:fill="FFFFFF"/>
          </w:tcPr>
          <w:p>
            <w:pPr>
              <w:pStyle w:val="TableParagraph"/>
              <w:spacing w:before="7"/>
              <w:ind w:left="6"/>
              <w:jc w:val="center"/>
              <w:rPr>
                <w:sz w:val="28"/>
              </w:rPr>
            </w:pPr>
            <w:r>
              <w:rPr>
                <w:w w:val="100"/>
                <w:sz w:val="28"/>
              </w:rPr>
              <w:t>3</w:t>
            </w:r>
          </w:p>
        </w:tc>
        <w:tc>
          <w:tcPr>
            <w:tcW w:w="2836" w:type="dxa"/>
            <w:gridSpan w:val="3"/>
            <w:shd w:val="clear" w:color="auto" w:fill="FFFFFF"/>
          </w:tcPr>
          <w:p>
            <w:pPr>
              <w:pStyle w:val="TableParagraph"/>
              <w:rPr>
                <w:rFonts w:ascii="Times New Roman"/>
                <w:sz w:val="26"/>
              </w:rPr>
            </w:pPr>
          </w:p>
        </w:tc>
        <w:tc>
          <w:tcPr>
            <w:tcW w:w="1943" w:type="dxa"/>
            <w:gridSpan w:val="3"/>
            <w:shd w:val="clear" w:color="auto" w:fill="FFFFFF"/>
          </w:tcPr>
          <w:p>
            <w:pPr>
              <w:pStyle w:val="TableParagraph"/>
              <w:rPr>
                <w:rFonts w:ascii="Times New Roman"/>
                <w:sz w:val="26"/>
              </w:rPr>
            </w:pPr>
          </w:p>
        </w:tc>
        <w:tc>
          <w:tcPr>
            <w:tcW w:w="1592" w:type="dxa"/>
            <w:gridSpan w:val="3"/>
            <w:shd w:val="clear" w:color="auto" w:fill="FFFFFF"/>
          </w:tcPr>
          <w:p>
            <w:pPr>
              <w:pStyle w:val="TableParagraph"/>
              <w:rPr>
                <w:rFonts w:ascii="Times New Roman"/>
                <w:sz w:val="26"/>
              </w:rPr>
            </w:pPr>
          </w:p>
        </w:tc>
        <w:tc>
          <w:tcPr>
            <w:tcW w:w="1647" w:type="dxa"/>
            <w:shd w:val="clear" w:color="auto" w:fill="FFFFFF"/>
          </w:tcPr>
          <w:p>
            <w:pPr>
              <w:pStyle w:val="TableParagraph"/>
              <w:rPr>
                <w:rFonts w:ascii="Times New Roman"/>
                <w:sz w:val="26"/>
              </w:rPr>
            </w:pPr>
          </w:p>
        </w:tc>
      </w:tr>
    </w:tbl>
    <w:p>
      <w:pPr>
        <w:pStyle w:val="Heading8"/>
        <w:spacing w:before="48"/>
        <w:ind w:left="787"/>
      </w:pPr>
      <w:r>
        <w:rPr/>
        <w:t>注：1、投标文件中需按要求提供项目负责人有关证书证明。</w:t>
      </w:r>
    </w:p>
    <w:p>
      <w:pPr>
        <w:pStyle w:val="Heading8"/>
        <w:spacing w:before="19"/>
        <w:ind w:left="1267"/>
      </w:pPr>
      <w:r>
        <w:rPr/>
        <w:t>2、如中标，项目负责人须本表承诺实施，不得更换。</w:t>
      </w:r>
    </w:p>
    <w:p>
      <w:pPr>
        <w:pStyle w:val="BodyText"/>
        <w:rPr>
          <w:rFonts w:ascii="Microsoft JhengHei"/>
          <w:b/>
        </w:rPr>
      </w:pPr>
    </w:p>
    <w:p>
      <w:pPr>
        <w:pStyle w:val="BodyText"/>
        <w:rPr>
          <w:rFonts w:ascii="Microsoft JhengHei"/>
          <w:b/>
        </w:rPr>
      </w:pPr>
    </w:p>
    <w:p>
      <w:pPr>
        <w:pStyle w:val="BodyText"/>
        <w:spacing w:before="1"/>
        <w:rPr>
          <w:rFonts w:ascii="Microsoft JhengHei"/>
          <w:b/>
          <w:sz w:val="27"/>
        </w:rPr>
      </w:pPr>
    </w:p>
    <w:p>
      <w:pPr>
        <w:pStyle w:val="BodyText"/>
        <w:tabs>
          <w:tab w:pos="2909" w:val="left" w:leader="none"/>
          <w:tab w:pos="4589" w:val="left" w:leader="none"/>
          <w:tab w:pos="7489" w:val="left" w:leader="none"/>
        </w:tabs>
        <w:ind w:left="389"/>
      </w:pPr>
      <w:r>
        <w:rPr/>
        <w:t>单位公章：</w:t>
      </w:r>
      <w:r>
        <w:rPr>
          <w:u w:val="single"/>
        </w:rPr>
        <w:t> </w:t>
        <w:tab/>
      </w:r>
      <w:r>
        <w:rPr/>
        <w:t>（电子签章）</w:t>
        <w:tab/>
        <w:t>法定代表人：</w:t>
      </w:r>
      <w:r>
        <w:rPr>
          <w:u w:val="single"/>
        </w:rPr>
        <w:t> </w:t>
        <w:tab/>
      </w:r>
      <w:r>
        <w:rPr/>
        <w:t>（电子签章）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before="0"/>
        <w:ind w:left="54" w:right="0" w:firstLine="0"/>
        <w:jc w:val="center"/>
        <w:rPr>
          <w:rFonts w:ascii="Calibri"/>
          <w:sz w:val="18"/>
        </w:rPr>
      </w:pPr>
      <w:r>
        <w:rPr>
          <w:rFonts w:ascii="Calibri"/>
          <w:sz w:val="18"/>
        </w:rPr>
        <w:t>49</w:t>
      </w:r>
    </w:p>
    <w:p>
      <w:pPr>
        <w:spacing w:after="0"/>
        <w:jc w:val="center"/>
        <w:rPr>
          <w:rFonts w:ascii="Calibri"/>
          <w:sz w:val="18"/>
        </w:rPr>
        <w:sectPr>
          <w:pgSz w:w="11910" w:h="16840"/>
          <w:pgMar w:top="1500" w:bottom="280" w:left="1200" w:right="1140"/>
        </w:sectPr>
      </w:pPr>
    </w:p>
    <w:p>
      <w:pPr>
        <w:spacing w:line="525" w:lineRule="exact" w:before="0"/>
        <w:ind w:left="1920" w:right="0" w:firstLine="0"/>
        <w:jc w:val="left"/>
        <w:rPr>
          <w:rFonts w:ascii="Microsoft JhengHei" w:eastAsia="Microsoft JhengHei" w:hint="eastAsia"/>
          <w:b/>
          <w:sz w:val="32"/>
        </w:rPr>
      </w:pPr>
      <w:r>
        <w:rPr/>
        <w:drawing>
          <wp:anchor distT="0" distB="0" distL="0" distR="0" allowOverlap="1" layoutInCell="1" locked="0" behindDoc="1" simplePos="0" relativeHeight="268351799">
            <wp:simplePos x="0" y="0"/>
            <wp:positionH relativeFrom="page">
              <wp:posOffset>203309</wp:posOffset>
            </wp:positionH>
            <wp:positionV relativeFrom="page">
              <wp:posOffset>944714</wp:posOffset>
            </wp:positionV>
            <wp:extent cx="7115825" cy="9747669"/>
            <wp:effectExtent l="0" t="0" r="0" b="0"/>
            <wp:wrapNone/>
            <wp:docPr id="109" name="image2.jpeg" descr=""/>
            <wp:cNvGraphicFramePr>
              <a:graphicFrameLocks noChangeAspect="1"/>
            </wp:cNvGraphicFramePr>
            <a:graphic>
              <a:graphicData uri="http://schemas.openxmlformats.org/drawingml/2006/picture">
                <pic:pic>
                  <pic:nvPicPr>
                    <pic:cNvPr id="110"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632" filled="true" fillcolor="#ffffff" stroked="false">
            <v:fill type="solid"/>
            <w10:wrap type="none"/>
          </v:rect>
        </w:pict>
      </w:r>
      <w:r>
        <w:rPr>
          <w:rFonts w:ascii="Microsoft JhengHei" w:eastAsia="Microsoft JhengHei" w:hint="eastAsia"/>
          <w:b/>
          <w:sz w:val="32"/>
        </w:rPr>
        <w:t>投标人项目管理、技术及服务人员一览表</w:t>
      </w:r>
    </w:p>
    <w:p>
      <w:pPr>
        <w:pStyle w:val="BodyText"/>
        <w:rPr>
          <w:rFonts w:ascii="Microsoft JhengHei"/>
          <w:b/>
          <w:sz w:val="20"/>
        </w:rPr>
      </w:pPr>
    </w:p>
    <w:p>
      <w:pPr>
        <w:pStyle w:val="BodyText"/>
        <w:spacing w:before="6"/>
        <w:rPr>
          <w:rFonts w:ascii="Microsoft JhengHei"/>
          <w:b/>
          <w:sz w:val="14"/>
        </w:rPr>
      </w:pPr>
    </w:p>
    <w:tbl>
      <w:tblPr>
        <w:tblW w:w="0" w:type="auto"/>
        <w:jc w:val="left"/>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801"/>
        <w:gridCol w:w="1080"/>
        <w:gridCol w:w="1920"/>
        <w:gridCol w:w="960"/>
        <w:gridCol w:w="1492"/>
      </w:tblGrid>
      <w:tr>
        <w:trPr>
          <w:trHeight w:val="1398" w:hRule="atLeast"/>
        </w:trPr>
        <w:tc>
          <w:tcPr>
            <w:tcW w:w="1188" w:type="dxa"/>
            <w:shd w:val="clear" w:color="auto" w:fill="FFFFFF"/>
          </w:tcPr>
          <w:p>
            <w:pPr>
              <w:pStyle w:val="TableParagraph"/>
              <w:rPr>
                <w:rFonts w:ascii="Microsoft JhengHei"/>
                <w:b/>
                <w:sz w:val="32"/>
              </w:rPr>
            </w:pPr>
          </w:p>
          <w:p>
            <w:pPr>
              <w:pStyle w:val="TableParagraph"/>
              <w:tabs>
                <w:tab w:pos="731" w:val="left" w:leader="none"/>
              </w:tabs>
              <w:ind w:left="172"/>
              <w:rPr>
                <w:sz w:val="28"/>
              </w:rPr>
            </w:pPr>
            <w:r>
              <w:rPr>
                <w:sz w:val="28"/>
              </w:rPr>
              <w:t>姓</w:t>
              <w:tab/>
              <w:t>名</w:t>
            </w:r>
          </w:p>
        </w:tc>
        <w:tc>
          <w:tcPr>
            <w:tcW w:w="1801" w:type="dxa"/>
            <w:shd w:val="clear" w:color="auto" w:fill="FFFFFF"/>
          </w:tcPr>
          <w:p>
            <w:pPr>
              <w:pStyle w:val="TableParagraph"/>
              <w:spacing w:before="168"/>
              <w:ind w:left="319" w:right="309"/>
              <w:jc w:val="center"/>
              <w:rPr>
                <w:sz w:val="28"/>
              </w:rPr>
            </w:pPr>
            <w:r>
              <w:rPr>
                <w:sz w:val="28"/>
              </w:rPr>
              <w:t>本项目</w:t>
            </w:r>
          </w:p>
          <w:p>
            <w:pPr>
              <w:pStyle w:val="TableParagraph"/>
              <w:spacing w:before="3"/>
              <w:rPr>
                <w:rFonts w:ascii="Microsoft JhengHei"/>
                <w:b/>
                <w:sz w:val="26"/>
              </w:rPr>
            </w:pPr>
          </w:p>
          <w:p>
            <w:pPr>
              <w:pStyle w:val="TableParagraph"/>
              <w:ind w:left="319" w:right="311"/>
              <w:jc w:val="center"/>
              <w:rPr>
                <w:sz w:val="28"/>
              </w:rPr>
            </w:pPr>
            <w:r>
              <w:rPr>
                <w:sz w:val="28"/>
              </w:rPr>
              <w:t>拟任职务</w:t>
            </w:r>
          </w:p>
        </w:tc>
        <w:tc>
          <w:tcPr>
            <w:tcW w:w="1080" w:type="dxa"/>
            <w:shd w:val="clear" w:color="auto" w:fill="FFFFFF"/>
          </w:tcPr>
          <w:p>
            <w:pPr>
              <w:pStyle w:val="TableParagraph"/>
              <w:rPr>
                <w:rFonts w:ascii="Microsoft JhengHei"/>
                <w:b/>
                <w:sz w:val="32"/>
              </w:rPr>
            </w:pPr>
          </w:p>
          <w:p>
            <w:pPr>
              <w:pStyle w:val="TableParagraph"/>
              <w:ind w:left="107"/>
              <w:rPr>
                <w:sz w:val="28"/>
              </w:rPr>
            </w:pPr>
            <w:r>
              <w:rPr>
                <w:sz w:val="28"/>
              </w:rPr>
              <w:t>学 历</w:t>
            </w:r>
          </w:p>
        </w:tc>
        <w:tc>
          <w:tcPr>
            <w:tcW w:w="1920" w:type="dxa"/>
            <w:shd w:val="clear" w:color="auto" w:fill="FFFFFF"/>
          </w:tcPr>
          <w:p>
            <w:pPr>
              <w:pStyle w:val="TableParagraph"/>
              <w:rPr>
                <w:rFonts w:ascii="Microsoft JhengHei"/>
                <w:b/>
                <w:sz w:val="32"/>
              </w:rPr>
            </w:pPr>
          </w:p>
          <w:p>
            <w:pPr>
              <w:pStyle w:val="TableParagraph"/>
              <w:ind w:left="398"/>
              <w:rPr>
                <w:sz w:val="28"/>
              </w:rPr>
            </w:pPr>
            <w:r>
              <w:rPr>
                <w:sz w:val="28"/>
              </w:rPr>
              <w:t>身份证号</w:t>
            </w:r>
          </w:p>
        </w:tc>
        <w:tc>
          <w:tcPr>
            <w:tcW w:w="960" w:type="dxa"/>
            <w:shd w:val="clear" w:color="auto" w:fill="FFFFFF"/>
          </w:tcPr>
          <w:p>
            <w:pPr>
              <w:pStyle w:val="TableParagraph"/>
              <w:spacing w:line="560" w:lineRule="atLeast" w:before="106"/>
              <w:ind w:left="198" w:right="187"/>
              <w:rPr>
                <w:sz w:val="28"/>
              </w:rPr>
            </w:pPr>
            <w:r>
              <w:rPr>
                <w:sz w:val="28"/>
              </w:rPr>
              <w:t>联系电话</w:t>
            </w:r>
          </w:p>
        </w:tc>
        <w:tc>
          <w:tcPr>
            <w:tcW w:w="1492" w:type="dxa"/>
            <w:shd w:val="clear" w:color="auto" w:fill="FFFFFF"/>
          </w:tcPr>
          <w:p>
            <w:pPr>
              <w:pStyle w:val="TableParagraph"/>
              <w:rPr>
                <w:rFonts w:ascii="Microsoft JhengHei"/>
                <w:b/>
                <w:sz w:val="32"/>
              </w:rPr>
            </w:pPr>
          </w:p>
          <w:p>
            <w:pPr>
              <w:pStyle w:val="TableParagraph"/>
              <w:ind w:left="465"/>
              <w:rPr>
                <w:sz w:val="28"/>
              </w:rPr>
            </w:pPr>
            <w:r>
              <w:rPr>
                <w:sz w:val="28"/>
              </w:rPr>
              <w:t>备注</w:t>
            </w:r>
          </w:p>
        </w:tc>
      </w:tr>
      <w:tr>
        <w:trPr>
          <w:trHeight w:val="1120"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spacing w:before="8"/>
              <w:rPr>
                <w:rFonts w:ascii="Microsoft JhengHei"/>
                <w:b/>
                <w:sz w:val="24"/>
              </w:rPr>
            </w:pPr>
          </w:p>
          <w:p>
            <w:pPr>
              <w:pStyle w:val="TableParagraph"/>
              <w:ind w:left="198"/>
              <w:rPr>
                <w:sz w:val="28"/>
              </w:rPr>
            </w:pPr>
            <w:r>
              <w:rPr>
                <w:sz w:val="28"/>
              </w:rPr>
              <w:t>项目联系人</w:t>
            </w: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spacing w:before="168"/>
              <w:ind w:left="166" w:right="155"/>
              <w:jc w:val="center"/>
              <w:rPr>
                <w:sz w:val="28"/>
              </w:rPr>
            </w:pPr>
            <w:r>
              <w:rPr>
                <w:sz w:val="28"/>
              </w:rPr>
              <w:t>填写手机</w:t>
            </w:r>
          </w:p>
          <w:p>
            <w:pPr>
              <w:pStyle w:val="TableParagraph"/>
              <w:spacing w:before="203"/>
              <w:ind w:left="166" w:right="155"/>
              <w:jc w:val="center"/>
              <w:rPr>
                <w:sz w:val="28"/>
              </w:rPr>
            </w:pPr>
            <w:r>
              <w:rPr>
                <w:sz w:val="28"/>
              </w:rPr>
              <w:t>号码</w:t>
            </w:r>
          </w:p>
        </w:tc>
      </w:tr>
      <w:tr>
        <w:trPr>
          <w:trHeight w:val="729"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29"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29"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29"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29"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29"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29"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26"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r>
        <w:trPr>
          <w:trHeight w:val="731" w:hRule="atLeast"/>
        </w:trPr>
        <w:tc>
          <w:tcPr>
            <w:tcW w:w="1188" w:type="dxa"/>
            <w:shd w:val="clear" w:color="auto" w:fill="FFFFFF"/>
          </w:tcPr>
          <w:p>
            <w:pPr>
              <w:pStyle w:val="TableParagraph"/>
              <w:rPr>
                <w:rFonts w:ascii="Times New Roman"/>
                <w:sz w:val="26"/>
              </w:rPr>
            </w:pPr>
          </w:p>
        </w:tc>
        <w:tc>
          <w:tcPr>
            <w:tcW w:w="1801" w:type="dxa"/>
            <w:shd w:val="clear" w:color="auto" w:fill="FFFFFF"/>
          </w:tcPr>
          <w:p>
            <w:pPr>
              <w:pStyle w:val="TableParagraph"/>
              <w:rPr>
                <w:rFonts w:ascii="Times New Roman"/>
                <w:sz w:val="26"/>
              </w:rPr>
            </w:pPr>
          </w:p>
        </w:tc>
        <w:tc>
          <w:tcPr>
            <w:tcW w:w="1080" w:type="dxa"/>
            <w:shd w:val="clear" w:color="auto" w:fill="FFFFFF"/>
          </w:tcPr>
          <w:p>
            <w:pPr>
              <w:pStyle w:val="TableParagraph"/>
              <w:rPr>
                <w:rFonts w:ascii="Times New Roman"/>
                <w:sz w:val="26"/>
              </w:rPr>
            </w:pPr>
          </w:p>
        </w:tc>
        <w:tc>
          <w:tcPr>
            <w:tcW w:w="1920" w:type="dxa"/>
            <w:shd w:val="clear" w:color="auto" w:fill="FFFFFF"/>
          </w:tcPr>
          <w:p>
            <w:pPr>
              <w:pStyle w:val="TableParagraph"/>
              <w:rPr>
                <w:rFonts w:ascii="Times New Roman"/>
                <w:sz w:val="26"/>
              </w:rPr>
            </w:pPr>
          </w:p>
        </w:tc>
        <w:tc>
          <w:tcPr>
            <w:tcW w:w="960" w:type="dxa"/>
            <w:shd w:val="clear" w:color="auto" w:fill="FFFFFF"/>
          </w:tcPr>
          <w:p>
            <w:pPr>
              <w:pStyle w:val="TableParagraph"/>
              <w:rPr>
                <w:rFonts w:ascii="Times New Roman"/>
                <w:sz w:val="26"/>
              </w:rPr>
            </w:pPr>
          </w:p>
        </w:tc>
        <w:tc>
          <w:tcPr>
            <w:tcW w:w="1492" w:type="dxa"/>
            <w:shd w:val="clear" w:color="auto" w:fill="FFFFFF"/>
          </w:tcPr>
          <w:p>
            <w:pPr>
              <w:pStyle w:val="TableParagraph"/>
              <w:rPr>
                <w:rFonts w:ascii="Times New Roman"/>
                <w:sz w:val="26"/>
              </w:rPr>
            </w:pPr>
          </w:p>
        </w:tc>
      </w:tr>
    </w:tbl>
    <w:p>
      <w:pPr>
        <w:pStyle w:val="Heading8"/>
        <w:spacing w:line="249" w:lineRule="auto" w:before="48"/>
        <w:ind w:left="389" w:right="329" w:firstLine="398"/>
      </w:pPr>
      <w:r>
        <w:rPr/>
        <w:t>注：如投标人中标，项目管理、技术及服务人员必须按本表承诺人员操作，不得随意更换。按招标文件要求附相关人员证书。</w:t>
      </w:r>
    </w:p>
    <w:p>
      <w:pPr>
        <w:pStyle w:val="BodyText"/>
        <w:rPr>
          <w:rFonts w:ascii="Microsoft JhengHei"/>
          <w:b/>
        </w:rPr>
      </w:pPr>
    </w:p>
    <w:p>
      <w:pPr>
        <w:pStyle w:val="BodyText"/>
        <w:rPr>
          <w:rFonts w:ascii="Microsoft JhengHei"/>
          <w:b/>
        </w:rPr>
      </w:pPr>
    </w:p>
    <w:p>
      <w:pPr>
        <w:pStyle w:val="BodyText"/>
        <w:spacing w:before="17"/>
        <w:rPr>
          <w:rFonts w:ascii="Microsoft JhengHei"/>
          <w:b/>
          <w:sz w:val="16"/>
        </w:rPr>
      </w:pPr>
    </w:p>
    <w:p>
      <w:pPr>
        <w:pStyle w:val="BodyText"/>
        <w:tabs>
          <w:tab w:pos="2575" w:val="left" w:leader="none"/>
          <w:tab w:pos="4255" w:val="left" w:leader="none"/>
          <w:tab w:pos="7155" w:val="left" w:leader="none"/>
        </w:tabs>
        <w:ind w:left="55"/>
        <w:jc w:val="center"/>
      </w:pPr>
      <w:r>
        <w:rPr/>
        <w:t>单位公章：</w:t>
      </w:r>
      <w:r>
        <w:rPr>
          <w:u w:val="single"/>
        </w:rPr>
        <w:t> </w:t>
        <w:tab/>
      </w:r>
      <w:r>
        <w:rPr/>
        <w:t>（电子签章）</w:t>
        <w:tab/>
        <w:t>法定代表人：</w:t>
      </w:r>
      <w:r>
        <w:rPr>
          <w:u w:val="single"/>
        </w:rPr>
        <w:t> </w:t>
        <w:tab/>
      </w:r>
      <w:r>
        <w:rPr/>
        <w:t>（电子签章）</w:t>
      </w:r>
    </w:p>
    <w:p>
      <w:pPr>
        <w:pStyle w:val="BodyText"/>
        <w:rPr>
          <w:sz w:val="20"/>
        </w:rPr>
      </w:pPr>
    </w:p>
    <w:p>
      <w:pPr>
        <w:pStyle w:val="BodyText"/>
        <w:rPr>
          <w:sz w:val="20"/>
        </w:rPr>
      </w:pPr>
    </w:p>
    <w:p>
      <w:pPr>
        <w:pStyle w:val="BodyText"/>
        <w:rPr>
          <w:sz w:val="20"/>
        </w:rPr>
      </w:pPr>
    </w:p>
    <w:p>
      <w:pPr>
        <w:pStyle w:val="BodyText"/>
        <w:spacing w:before="10"/>
        <w:rPr>
          <w:sz w:val="14"/>
        </w:rPr>
      </w:pPr>
    </w:p>
    <w:p>
      <w:pPr>
        <w:spacing w:before="64"/>
        <w:ind w:left="54" w:right="0" w:firstLine="0"/>
        <w:jc w:val="center"/>
        <w:rPr>
          <w:rFonts w:ascii="Calibri"/>
          <w:sz w:val="18"/>
        </w:rPr>
      </w:pPr>
      <w:r>
        <w:rPr>
          <w:rFonts w:ascii="Calibri"/>
          <w:sz w:val="18"/>
        </w:rPr>
        <w:t>50</w:t>
      </w:r>
    </w:p>
    <w:p>
      <w:pPr>
        <w:spacing w:after="0"/>
        <w:jc w:val="center"/>
        <w:rPr>
          <w:rFonts w:ascii="Calibri"/>
          <w:sz w:val="18"/>
        </w:rPr>
        <w:sectPr>
          <w:pgSz w:w="11910" w:h="16840"/>
          <w:pgMar w:top="1540" w:bottom="280" w:left="1200" w:right="1140"/>
        </w:sectPr>
      </w:pPr>
    </w:p>
    <w:p>
      <w:pPr>
        <w:pStyle w:val="Heading2"/>
      </w:pPr>
      <w:r>
        <w:rPr/>
        <w:drawing>
          <wp:anchor distT="0" distB="0" distL="0" distR="0" allowOverlap="1" layoutInCell="1" locked="0" behindDoc="1" simplePos="0" relativeHeight="268351847">
            <wp:simplePos x="0" y="0"/>
            <wp:positionH relativeFrom="page">
              <wp:posOffset>203309</wp:posOffset>
            </wp:positionH>
            <wp:positionV relativeFrom="page">
              <wp:posOffset>944714</wp:posOffset>
            </wp:positionV>
            <wp:extent cx="7115825" cy="9747669"/>
            <wp:effectExtent l="0" t="0" r="0" b="0"/>
            <wp:wrapNone/>
            <wp:docPr id="111" name="image2.jpeg" descr=""/>
            <wp:cNvGraphicFramePr>
              <a:graphicFrameLocks noChangeAspect="1"/>
            </wp:cNvGraphicFramePr>
            <a:graphic>
              <a:graphicData uri="http://schemas.openxmlformats.org/drawingml/2006/picture">
                <pic:pic>
                  <pic:nvPicPr>
                    <pic:cNvPr id="112"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584" filled="true" fillcolor="#ffffff" stroked="false">
            <v:fill type="solid"/>
            <w10:wrap type="none"/>
          </v:rect>
        </w:pict>
      </w:r>
      <w:bookmarkStart w:name="_TOC_250001" w:id="67"/>
      <w:bookmarkStart w:name="十六、投标人承担类似项目业绩一览表" w:id="68"/>
      <w:r>
        <w:rPr>
          <w:b w:val="0"/>
        </w:rPr>
      </w:r>
      <w:bookmarkEnd w:id="67"/>
      <w:r>
        <w:rPr/>
        <w:t>十六、投标人承担类似项目业绩一览表</w:t>
      </w:r>
    </w:p>
    <w:p>
      <w:pPr>
        <w:spacing w:before="35" w:after="37"/>
        <w:ind w:left="59" w:right="0" w:firstLine="0"/>
        <w:jc w:val="center"/>
        <w:rPr>
          <w:rFonts w:ascii="Microsoft JhengHei" w:eastAsia="Microsoft JhengHei" w:hint="eastAsia"/>
          <w:b/>
          <w:sz w:val="32"/>
        </w:rPr>
      </w:pPr>
      <w:r>
        <w:rPr>
          <w:rFonts w:ascii="Microsoft JhengHei" w:eastAsia="Microsoft JhengHei" w:hint="eastAsia"/>
          <w:b/>
          <w:sz w:val="32"/>
        </w:rPr>
        <w:t>业绩资料</w:t>
      </w:r>
    </w:p>
    <w:tbl>
      <w:tblPr>
        <w:tblW w:w="0" w:type="auto"/>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2"/>
        <w:gridCol w:w="2586"/>
        <w:gridCol w:w="2934"/>
        <w:gridCol w:w="2308"/>
      </w:tblGrid>
      <w:tr>
        <w:trPr>
          <w:trHeight w:val="774" w:hRule="atLeast"/>
        </w:trPr>
        <w:tc>
          <w:tcPr>
            <w:tcW w:w="9050" w:type="dxa"/>
            <w:gridSpan w:val="4"/>
            <w:shd w:val="clear" w:color="auto" w:fill="FFFFFF"/>
          </w:tcPr>
          <w:p>
            <w:pPr>
              <w:pStyle w:val="TableParagraph"/>
              <w:rPr>
                <w:rFonts w:ascii="Microsoft JhengHei"/>
                <w:b/>
                <w:sz w:val="15"/>
              </w:rPr>
            </w:pPr>
          </w:p>
          <w:p>
            <w:pPr>
              <w:pStyle w:val="TableParagraph"/>
              <w:ind w:left="2141"/>
              <w:rPr>
                <w:sz w:val="28"/>
              </w:rPr>
            </w:pPr>
            <w:r>
              <w:rPr>
                <w:sz w:val="28"/>
              </w:rPr>
              <w:t>请按招标文件要求编制业绩材料电子件</w:t>
            </w:r>
          </w:p>
        </w:tc>
      </w:tr>
      <w:tr>
        <w:trPr>
          <w:trHeight w:val="777" w:hRule="atLeast"/>
        </w:trPr>
        <w:tc>
          <w:tcPr>
            <w:tcW w:w="1222" w:type="dxa"/>
            <w:shd w:val="clear" w:color="auto" w:fill="FFFFFF"/>
          </w:tcPr>
          <w:p>
            <w:pPr>
              <w:pStyle w:val="TableParagraph"/>
              <w:spacing w:before="18"/>
              <w:rPr>
                <w:rFonts w:ascii="Microsoft JhengHei"/>
                <w:b/>
                <w:sz w:val="18"/>
              </w:rPr>
            </w:pPr>
          </w:p>
          <w:p>
            <w:pPr>
              <w:pStyle w:val="TableParagraph"/>
              <w:ind w:left="398"/>
              <w:rPr>
                <w:sz w:val="21"/>
              </w:rPr>
            </w:pPr>
            <w:r>
              <w:rPr>
                <w:sz w:val="21"/>
              </w:rPr>
              <w:t>序号</w:t>
            </w:r>
          </w:p>
        </w:tc>
        <w:tc>
          <w:tcPr>
            <w:tcW w:w="2586" w:type="dxa"/>
            <w:shd w:val="clear" w:color="auto" w:fill="FFFFFF"/>
          </w:tcPr>
          <w:p>
            <w:pPr>
              <w:pStyle w:val="TableParagraph"/>
              <w:spacing w:before="18"/>
              <w:rPr>
                <w:rFonts w:ascii="Microsoft JhengHei"/>
                <w:b/>
                <w:sz w:val="18"/>
              </w:rPr>
            </w:pPr>
          </w:p>
          <w:p>
            <w:pPr>
              <w:pStyle w:val="TableParagraph"/>
              <w:ind w:left="849" w:right="847"/>
              <w:jc w:val="center"/>
              <w:rPr>
                <w:sz w:val="21"/>
              </w:rPr>
            </w:pPr>
            <w:r>
              <w:rPr>
                <w:sz w:val="21"/>
              </w:rPr>
              <w:t>项目名称</w:t>
            </w:r>
          </w:p>
        </w:tc>
        <w:tc>
          <w:tcPr>
            <w:tcW w:w="2934" w:type="dxa"/>
            <w:shd w:val="clear" w:color="auto" w:fill="FFFFFF"/>
          </w:tcPr>
          <w:p>
            <w:pPr>
              <w:pStyle w:val="TableParagraph"/>
              <w:spacing w:before="18"/>
              <w:rPr>
                <w:rFonts w:ascii="Microsoft JhengHei"/>
                <w:b/>
                <w:sz w:val="18"/>
              </w:rPr>
            </w:pPr>
          </w:p>
          <w:p>
            <w:pPr>
              <w:pStyle w:val="TableParagraph"/>
              <w:ind w:left="214"/>
              <w:rPr>
                <w:sz w:val="21"/>
              </w:rPr>
            </w:pPr>
            <w:r>
              <w:rPr>
                <w:sz w:val="21"/>
              </w:rPr>
              <w:t>采购单位</w:t>
            </w:r>
          </w:p>
        </w:tc>
        <w:tc>
          <w:tcPr>
            <w:tcW w:w="2308" w:type="dxa"/>
            <w:shd w:val="clear" w:color="auto" w:fill="FFFFFF"/>
          </w:tcPr>
          <w:p>
            <w:pPr>
              <w:pStyle w:val="TableParagraph"/>
              <w:spacing w:before="18"/>
              <w:rPr>
                <w:rFonts w:ascii="Microsoft JhengHei"/>
                <w:b/>
                <w:sz w:val="18"/>
              </w:rPr>
            </w:pPr>
          </w:p>
          <w:p>
            <w:pPr>
              <w:pStyle w:val="TableParagraph"/>
              <w:ind w:left="730"/>
              <w:rPr>
                <w:sz w:val="21"/>
              </w:rPr>
            </w:pPr>
            <w:r>
              <w:rPr>
                <w:sz w:val="21"/>
              </w:rPr>
              <w:t>合同金额</w:t>
            </w:r>
          </w:p>
        </w:tc>
      </w:tr>
      <w:tr>
        <w:trPr>
          <w:trHeight w:val="1557" w:hRule="atLeast"/>
        </w:trPr>
        <w:tc>
          <w:tcPr>
            <w:tcW w:w="1222" w:type="dxa"/>
            <w:shd w:val="clear" w:color="auto" w:fill="FFFFFF"/>
          </w:tcPr>
          <w:p>
            <w:pPr>
              <w:pStyle w:val="TableParagraph"/>
              <w:rPr>
                <w:rFonts w:ascii="Times New Roman"/>
                <w:sz w:val="26"/>
              </w:rPr>
            </w:pPr>
          </w:p>
        </w:tc>
        <w:tc>
          <w:tcPr>
            <w:tcW w:w="2586" w:type="dxa"/>
            <w:shd w:val="clear" w:color="auto" w:fill="FFFFFF"/>
          </w:tcPr>
          <w:p>
            <w:pPr>
              <w:pStyle w:val="TableParagraph"/>
              <w:rPr>
                <w:rFonts w:ascii="Times New Roman"/>
                <w:sz w:val="26"/>
              </w:rPr>
            </w:pPr>
          </w:p>
        </w:tc>
        <w:tc>
          <w:tcPr>
            <w:tcW w:w="2934" w:type="dxa"/>
            <w:shd w:val="clear" w:color="auto" w:fill="FFFFFF"/>
          </w:tcPr>
          <w:p>
            <w:pPr>
              <w:pStyle w:val="TableParagraph"/>
              <w:rPr>
                <w:rFonts w:ascii="Times New Roman"/>
                <w:sz w:val="26"/>
              </w:rPr>
            </w:pPr>
          </w:p>
        </w:tc>
        <w:tc>
          <w:tcPr>
            <w:tcW w:w="2308" w:type="dxa"/>
            <w:shd w:val="clear" w:color="auto" w:fill="FFFFFF"/>
          </w:tcPr>
          <w:p>
            <w:pPr>
              <w:pStyle w:val="TableParagraph"/>
              <w:rPr>
                <w:rFonts w:ascii="Times New Roman"/>
                <w:sz w:val="26"/>
              </w:rPr>
            </w:pPr>
          </w:p>
        </w:tc>
      </w:tr>
    </w:tbl>
    <w:p>
      <w:pPr>
        <w:spacing w:before="0"/>
        <w:ind w:left="52" w:right="0" w:firstLine="0"/>
        <w:jc w:val="center"/>
        <w:rPr>
          <w:rFonts w:ascii="Microsoft JhengHei" w:eastAsia="Microsoft JhengHei" w:hint="eastAsia"/>
          <w:b/>
          <w:sz w:val="32"/>
        </w:rPr>
      </w:pPr>
      <w:r>
        <w:rPr/>
        <w:pict>
          <v:shape style="position:absolute;margin-left:78.264pt;margin-top:31.241247pt;width:444.95pt;height:343.4pt;mso-position-horizontal-relative:page;mso-position-vertical-relative:paragraph;z-index:36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3827"/>
                    <w:gridCol w:w="2435"/>
                    <w:gridCol w:w="1395"/>
                  </w:tblGrid>
                  <w:tr>
                    <w:trPr>
                      <w:trHeight w:val="753" w:hRule="atLeast"/>
                    </w:trPr>
                    <w:tc>
                      <w:tcPr>
                        <w:tcW w:w="1229" w:type="dxa"/>
                        <w:shd w:val="clear" w:color="auto" w:fill="FFFFFF"/>
                      </w:tcPr>
                      <w:p>
                        <w:pPr>
                          <w:pStyle w:val="TableParagraph"/>
                          <w:spacing w:before="168"/>
                          <w:ind w:left="331"/>
                          <w:rPr>
                            <w:sz w:val="28"/>
                          </w:rPr>
                        </w:pPr>
                        <w:r>
                          <w:rPr>
                            <w:sz w:val="28"/>
                          </w:rPr>
                          <w:t>序号</w:t>
                        </w:r>
                      </w:p>
                    </w:tc>
                    <w:tc>
                      <w:tcPr>
                        <w:tcW w:w="3827" w:type="dxa"/>
                        <w:shd w:val="clear" w:color="auto" w:fill="FFFFFF"/>
                      </w:tcPr>
                      <w:p>
                        <w:pPr>
                          <w:pStyle w:val="TableParagraph"/>
                          <w:spacing w:before="8"/>
                          <w:rPr>
                            <w:rFonts w:ascii="Calibri"/>
                            <w:sz w:val="21"/>
                          </w:rPr>
                        </w:pPr>
                      </w:p>
                      <w:p>
                        <w:pPr>
                          <w:pStyle w:val="TableParagraph"/>
                          <w:ind w:left="1330" w:right="1326"/>
                          <w:jc w:val="center"/>
                          <w:rPr>
                            <w:sz w:val="28"/>
                          </w:rPr>
                        </w:pPr>
                        <w:r>
                          <w:rPr>
                            <w:sz w:val="28"/>
                          </w:rPr>
                          <w:t>项目名称</w:t>
                        </w:r>
                      </w:p>
                    </w:tc>
                    <w:tc>
                      <w:tcPr>
                        <w:tcW w:w="2435" w:type="dxa"/>
                        <w:shd w:val="clear" w:color="auto" w:fill="FFFFFF"/>
                      </w:tcPr>
                      <w:p>
                        <w:pPr>
                          <w:pStyle w:val="TableParagraph"/>
                          <w:spacing w:before="8"/>
                          <w:rPr>
                            <w:rFonts w:ascii="Calibri"/>
                            <w:sz w:val="21"/>
                          </w:rPr>
                        </w:pPr>
                      </w:p>
                      <w:p>
                        <w:pPr>
                          <w:pStyle w:val="TableParagraph"/>
                          <w:ind w:left="654"/>
                          <w:rPr>
                            <w:sz w:val="28"/>
                          </w:rPr>
                        </w:pPr>
                        <w:r>
                          <w:rPr>
                            <w:sz w:val="28"/>
                          </w:rPr>
                          <w:t>采购单位</w:t>
                        </w:r>
                      </w:p>
                    </w:tc>
                    <w:tc>
                      <w:tcPr>
                        <w:tcW w:w="1395" w:type="dxa"/>
                        <w:shd w:val="clear" w:color="auto" w:fill="FFFFFF"/>
                      </w:tcPr>
                      <w:p>
                        <w:pPr>
                          <w:pStyle w:val="TableParagraph"/>
                          <w:spacing w:before="8"/>
                          <w:rPr>
                            <w:rFonts w:ascii="Calibri"/>
                            <w:sz w:val="21"/>
                          </w:rPr>
                        </w:pPr>
                      </w:p>
                      <w:p>
                        <w:pPr>
                          <w:pStyle w:val="TableParagraph"/>
                          <w:ind w:left="135"/>
                          <w:rPr>
                            <w:sz w:val="28"/>
                          </w:rPr>
                        </w:pPr>
                        <w:r>
                          <w:rPr>
                            <w:sz w:val="28"/>
                          </w:rPr>
                          <w:t>合同金额</w:t>
                        </w:r>
                      </w:p>
                    </w:tc>
                  </w:tr>
                  <w:tr>
                    <w:trPr>
                      <w:trHeight w:val="1509" w:hRule="atLeast"/>
                    </w:trPr>
                    <w:tc>
                      <w:tcPr>
                        <w:tcW w:w="1229" w:type="dxa"/>
                        <w:shd w:val="clear" w:color="auto" w:fill="FFFFFF"/>
                      </w:tcPr>
                      <w:p>
                        <w:pPr>
                          <w:pStyle w:val="TableParagraph"/>
                          <w:rPr>
                            <w:rFonts w:ascii="Times New Roman"/>
                            <w:sz w:val="26"/>
                          </w:rPr>
                        </w:pPr>
                      </w:p>
                    </w:tc>
                    <w:tc>
                      <w:tcPr>
                        <w:tcW w:w="3827" w:type="dxa"/>
                        <w:shd w:val="clear" w:color="auto" w:fill="FFFFFF"/>
                      </w:tcPr>
                      <w:p>
                        <w:pPr>
                          <w:pStyle w:val="TableParagraph"/>
                          <w:rPr>
                            <w:rFonts w:ascii="Times New Roman"/>
                            <w:sz w:val="26"/>
                          </w:rPr>
                        </w:pPr>
                      </w:p>
                    </w:tc>
                    <w:tc>
                      <w:tcPr>
                        <w:tcW w:w="2435" w:type="dxa"/>
                        <w:shd w:val="clear" w:color="auto" w:fill="FFFFFF"/>
                      </w:tcPr>
                      <w:p>
                        <w:pPr>
                          <w:pStyle w:val="TableParagraph"/>
                          <w:rPr>
                            <w:rFonts w:ascii="Times New Roman"/>
                            <w:sz w:val="26"/>
                          </w:rPr>
                        </w:pPr>
                      </w:p>
                    </w:tc>
                    <w:tc>
                      <w:tcPr>
                        <w:tcW w:w="1395" w:type="dxa"/>
                        <w:shd w:val="clear" w:color="auto" w:fill="FFFFFF"/>
                      </w:tcPr>
                      <w:p>
                        <w:pPr>
                          <w:pStyle w:val="TableParagraph"/>
                          <w:rPr>
                            <w:rFonts w:ascii="Times New Roman"/>
                            <w:sz w:val="26"/>
                          </w:rPr>
                        </w:pPr>
                      </w:p>
                    </w:tc>
                  </w:tr>
                  <w:tr>
                    <w:trPr>
                      <w:trHeight w:val="1509" w:hRule="atLeast"/>
                    </w:trPr>
                    <w:tc>
                      <w:tcPr>
                        <w:tcW w:w="1229" w:type="dxa"/>
                        <w:shd w:val="clear" w:color="auto" w:fill="FFFFFF"/>
                      </w:tcPr>
                      <w:p>
                        <w:pPr>
                          <w:pStyle w:val="TableParagraph"/>
                          <w:rPr>
                            <w:rFonts w:ascii="Times New Roman"/>
                            <w:sz w:val="26"/>
                          </w:rPr>
                        </w:pPr>
                      </w:p>
                    </w:tc>
                    <w:tc>
                      <w:tcPr>
                        <w:tcW w:w="3827" w:type="dxa"/>
                        <w:shd w:val="clear" w:color="auto" w:fill="FFFFFF"/>
                      </w:tcPr>
                      <w:p>
                        <w:pPr>
                          <w:pStyle w:val="TableParagraph"/>
                          <w:rPr>
                            <w:rFonts w:ascii="Times New Roman"/>
                            <w:sz w:val="26"/>
                          </w:rPr>
                        </w:pPr>
                      </w:p>
                    </w:tc>
                    <w:tc>
                      <w:tcPr>
                        <w:tcW w:w="2435" w:type="dxa"/>
                        <w:shd w:val="clear" w:color="auto" w:fill="FFFFFF"/>
                      </w:tcPr>
                      <w:p>
                        <w:pPr>
                          <w:pStyle w:val="TableParagraph"/>
                          <w:rPr>
                            <w:rFonts w:ascii="Times New Roman"/>
                            <w:sz w:val="26"/>
                          </w:rPr>
                        </w:pPr>
                      </w:p>
                    </w:tc>
                    <w:tc>
                      <w:tcPr>
                        <w:tcW w:w="1395" w:type="dxa"/>
                        <w:shd w:val="clear" w:color="auto" w:fill="FFFFFF"/>
                      </w:tcPr>
                      <w:p>
                        <w:pPr>
                          <w:pStyle w:val="TableParagraph"/>
                          <w:rPr>
                            <w:rFonts w:ascii="Times New Roman"/>
                            <w:sz w:val="26"/>
                          </w:rPr>
                        </w:pPr>
                      </w:p>
                    </w:tc>
                  </w:tr>
                  <w:tr>
                    <w:trPr>
                      <w:trHeight w:val="1511" w:hRule="atLeast"/>
                    </w:trPr>
                    <w:tc>
                      <w:tcPr>
                        <w:tcW w:w="1229" w:type="dxa"/>
                        <w:shd w:val="clear" w:color="auto" w:fill="FFFFFF"/>
                      </w:tcPr>
                      <w:p>
                        <w:pPr>
                          <w:pStyle w:val="TableParagraph"/>
                          <w:rPr>
                            <w:rFonts w:ascii="Times New Roman"/>
                            <w:sz w:val="26"/>
                          </w:rPr>
                        </w:pPr>
                      </w:p>
                    </w:tc>
                    <w:tc>
                      <w:tcPr>
                        <w:tcW w:w="3827" w:type="dxa"/>
                        <w:shd w:val="clear" w:color="auto" w:fill="FFFFFF"/>
                      </w:tcPr>
                      <w:p>
                        <w:pPr>
                          <w:pStyle w:val="TableParagraph"/>
                          <w:rPr>
                            <w:rFonts w:ascii="Times New Roman"/>
                            <w:sz w:val="26"/>
                          </w:rPr>
                        </w:pPr>
                      </w:p>
                    </w:tc>
                    <w:tc>
                      <w:tcPr>
                        <w:tcW w:w="2435" w:type="dxa"/>
                        <w:shd w:val="clear" w:color="auto" w:fill="FFFFFF"/>
                      </w:tcPr>
                      <w:p>
                        <w:pPr>
                          <w:pStyle w:val="TableParagraph"/>
                          <w:rPr>
                            <w:rFonts w:ascii="Times New Roman"/>
                            <w:sz w:val="26"/>
                          </w:rPr>
                        </w:pPr>
                      </w:p>
                    </w:tc>
                    <w:tc>
                      <w:tcPr>
                        <w:tcW w:w="1395" w:type="dxa"/>
                        <w:shd w:val="clear" w:color="auto" w:fill="FFFFFF"/>
                      </w:tcPr>
                      <w:p>
                        <w:pPr>
                          <w:pStyle w:val="TableParagraph"/>
                          <w:rPr>
                            <w:rFonts w:ascii="Times New Roman"/>
                            <w:sz w:val="26"/>
                          </w:rPr>
                        </w:pPr>
                      </w:p>
                    </w:tc>
                  </w:tr>
                  <w:tr>
                    <w:trPr>
                      <w:trHeight w:val="1524" w:hRule="atLeast"/>
                    </w:trPr>
                    <w:tc>
                      <w:tcPr>
                        <w:tcW w:w="1229" w:type="dxa"/>
                        <w:shd w:val="clear" w:color="auto" w:fill="FFFFFF"/>
                      </w:tcPr>
                      <w:p>
                        <w:pPr>
                          <w:pStyle w:val="TableParagraph"/>
                          <w:rPr>
                            <w:rFonts w:ascii="Times New Roman"/>
                            <w:sz w:val="26"/>
                          </w:rPr>
                        </w:pPr>
                      </w:p>
                    </w:tc>
                    <w:tc>
                      <w:tcPr>
                        <w:tcW w:w="3827" w:type="dxa"/>
                        <w:shd w:val="clear" w:color="auto" w:fill="FFFFFF"/>
                      </w:tcPr>
                      <w:p>
                        <w:pPr>
                          <w:pStyle w:val="TableParagraph"/>
                          <w:rPr>
                            <w:rFonts w:ascii="Times New Roman"/>
                            <w:sz w:val="26"/>
                          </w:rPr>
                        </w:pPr>
                      </w:p>
                    </w:tc>
                    <w:tc>
                      <w:tcPr>
                        <w:tcW w:w="2435" w:type="dxa"/>
                        <w:shd w:val="clear" w:color="auto" w:fill="FFFFFF"/>
                      </w:tcPr>
                      <w:p>
                        <w:pPr>
                          <w:pStyle w:val="TableParagraph"/>
                          <w:rPr>
                            <w:rFonts w:ascii="Times New Roman"/>
                            <w:sz w:val="26"/>
                          </w:rPr>
                        </w:pPr>
                      </w:p>
                    </w:tc>
                    <w:tc>
                      <w:tcPr>
                        <w:tcW w:w="1395" w:type="dxa"/>
                        <w:shd w:val="clear" w:color="auto" w:fill="FFFFFF"/>
                      </w:tcPr>
                      <w:p>
                        <w:pPr>
                          <w:pStyle w:val="TableParagraph"/>
                          <w:rPr>
                            <w:rFonts w:ascii="Times New Roman"/>
                            <w:sz w:val="26"/>
                          </w:rPr>
                        </w:pPr>
                      </w:p>
                    </w:tc>
                  </w:tr>
                </w:tbl>
                <w:p>
                  <w:pPr>
                    <w:pStyle w:val="BodyText"/>
                  </w:pPr>
                </w:p>
              </w:txbxContent>
            </v:textbox>
            <w10:wrap type="none"/>
          </v:shape>
        </w:pict>
      </w:r>
      <w:r>
        <w:rPr>
          <w:rFonts w:ascii="Microsoft JhengHei" w:eastAsia="Microsoft JhengHei" w:hint="eastAsia"/>
          <w:b/>
          <w:sz w:val="32"/>
        </w:rPr>
        <w:t>投标人承担类似项目业绩一览表</w:t>
      </w: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rPr>
          <w:rFonts w:ascii="Microsoft JhengHei"/>
          <w:b/>
          <w:sz w:val="32"/>
        </w:rPr>
      </w:pPr>
    </w:p>
    <w:p>
      <w:pPr>
        <w:pStyle w:val="BodyText"/>
        <w:spacing w:before="2"/>
        <w:rPr>
          <w:rFonts w:ascii="Microsoft JhengHei"/>
          <w:b/>
          <w:sz w:val="19"/>
        </w:rPr>
      </w:pPr>
    </w:p>
    <w:p>
      <w:pPr>
        <w:pStyle w:val="Heading8"/>
        <w:ind w:left="57" w:right="169"/>
        <w:jc w:val="center"/>
      </w:pPr>
      <w:r>
        <w:rPr/>
        <w:t>注：请填写此表，并按要求上传业绩资料电子件。也可从诚信库中挑选业绩资料。</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15"/>
        <w:rPr>
          <w:rFonts w:ascii="Microsoft JhengHei"/>
          <w:b/>
          <w:sz w:val="29"/>
        </w:rPr>
      </w:pPr>
    </w:p>
    <w:p>
      <w:pPr>
        <w:spacing w:before="64"/>
        <w:ind w:left="54" w:right="0" w:firstLine="0"/>
        <w:jc w:val="center"/>
        <w:rPr>
          <w:rFonts w:ascii="Calibri"/>
          <w:sz w:val="18"/>
        </w:rPr>
      </w:pPr>
      <w:r>
        <w:rPr>
          <w:rFonts w:ascii="Calibri"/>
          <w:sz w:val="18"/>
        </w:rPr>
        <w:t>51</w:t>
      </w:r>
    </w:p>
    <w:p>
      <w:pPr>
        <w:spacing w:after="0"/>
        <w:jc w:val="center"/>
        <w:rPr>
          <w:rFonts w:ascii="Calibri"/>
          <w:sz w:val="18"/>
        </w:rPr>
        <w:sectPr>
          <w:pgSz w:w="11910" w:h="16840"/>
          <w:pgMar w:top="1500" w:bottom="280" w:left="1200" w:right="1140"/>
        </w:sectPr>
      </w:pPr>
    </w:p>
    <w:p>
      <w:pPr>
        <w:pStyle w:val="Heading2"/>
      </w:pPr>
      <w:r>
        <w:rPr/>
        <w:drawing>
          <wp:anchor distT="0" distB="0" distL="0" distR="0" allowOverlap="1" layoutInCell="1" locked="0" behindDoc="1" simplePos="0" relativeHeight="268351919">
            <wp:simplePos x="0" y="0"/>
            <wp:positionH relativeFrom="page">
              <wp:posOffset>203309</wp:posOffset>
            </wp:positionH>
            <wp:positionV relativeFrom="page">
              <wp:posOffset>944714</wp:posOffset>
            </wp:positionV>
            <wp:extent cx="7115825" cy="9747669"/>
            <wp:effectExtent l="0" t="0" r="0" b="0"/>
            <wp:wrapNone/>
            <wp:docPr id="113" name="image2.jpeg" descr=""/>
            <wp:cNvGraphicFramePr>
              <a:graphicFrameLocks noChangeAspect="1"/>
            </wp:cNvGraphicFramePr>
            <a:graphic>
              <a:graphicData uri="http://schemas.openxmlformats.org/drawingml/2006/picture">
                <pic:pic>
                  <pic:nvPicPr>
                    <pic:cNvPr id="114" name="image2.jpeg"/>
                    <pic:cNvPicPr/>
                  </pic:nvPicPr>
                  <pic:blipFill>
                    <a:blip r:embed="rId6" cstate="print"/>
                    <a:stretch>
                      <a:fillRect/>
                    </a:stretch>
                  </pic:blipFill>
                  <pic:spPr>
                    <a:xfrm>
                      <a:off x="0" y="0"/>
                      <a:ext cx="7115825" cy="9747669"/>
                    </a:xfrm>
                    <a:prstGeom prst="rect">
                      <a:avLst/>
                    </a:prstGeom>
                  </pic:spPr>
                </pic:pic>
              </a:graphicData>
            </a:graphic>
          </wp:anchor>
        </w:drawing>
      </w:r>
      <w:r>
        <w:rPr/>
        <w:pict>
          <v:rect style="position:absolute;margin-left:0pt;margin-top:-.000017pt;width:595.450pt;height:842.05pt;mso-position-horizontal-relative:page;mso-position-vertical-relative:page;z-index:-83512" filled="true" fillcolor="#ffffff" stroked="false">
            <v:fill type="solid"/>
            <w10:wrap type="none"/>
          </v:rect>
        </w:pict>
      </w:r>
      <w:bookmarkStart w:name="_TOC_250000" w:id="69"/>
      <w:bookmarkStart w:name="十七、投标所需其他材料" w:id="70"/>
      <w:r>
        <w:rPr>
          <w:b w:val="0"/>
        </w:rPr>
      </w:r>
      <w:bookmarkEnd w:id="69"/>
      <w:r>
        <w:rPr/>
        <w:t>十七、投标所需其他材料</w:t>
      </w:r>
    </w:p>
    <w:p>
      <w:pPr>
        <w:spacing w:line="417" w:lineRule="auto" w:before="136"/>
        <w:ind w:left="389" w:right="330" w:firstLine="419"/>
        <w:jc w:val="left"/>
        <w:rPr>
          <w:sz w:val="21"/>
        </w:rPr>
      </w:pPr>
      <w:r>
        <w:rPr>
          <w:spacing w:val="-3"/>
          <w:sz w:val="21"/>
        </w:rPr>
        <w:t>请在此文档中增加投标所需其他相关内容</w:t>
      </w:r>
      <w:r>
        <w:rPr>
          <w:sz w:val="21"/>
        </w:rPr>
        <w:t>（</w:t>
      </w:r>
      <w:r>
        <w:rPr>
          <w:spacing w:val="-3"/>
          <w:sz w:val="21"/>
        </w:rPr>
        <w:t>包括资格要求、评分办法、采购需求中涉及的证</w:t>
      </w:r>
      <w:r>
        <w:rPr>
          <w:spacing w:val="-3"/>
          <w:w w:val="100"/>
          <w:sz w:val="21"/>
        </w:rPr>
        <w:t>件证明及其它投标人认为有必要提供的资料</w:t>
      </w:r>
      <w:r>
        <w:rPr>
          <w:spacing w:val="-108"/>
          <w:w w:val="100"/>
          <w:sz w:val="21"/>
        </w:rPr>
        <w:t>）</w:t>
      </w:r>
      <w:r>
        <w:rPr>
          <w:spacing w:val="-3"/>
          <w:w w:val="100"/>
          <w:sz w:val="21"/>
        </w:rPr>
        <w:t>，如没有请将此空文档上传。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spacing w:before="63"/>
        <w:ind w:left="54" w:right="0" w:firstLine="0"/>
        <w:jc w:val="center"/>
        <w:rPr>
          <w:rFonts w:ascii="Calibri"/>
          <w:sz w:val="18"/>
        </w:rPr>
      </w:pPr>
      <w:r>
        <w:rPr>
          <w:rFonts w:ascii="Calibri"/>
          <w:sz w:val="18"/>
        </w:rPr>
        <w:t>52</w:t>
      </w:r>
    </w:p>
    <w:sectPr>
      <w:pgSz w:w="11910" w:h="16840"/>
      <w:pgMar w:top="1500" w:bottom="280" w:left="12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icrosoft YaHei">
    <w:altName w:val="Microsoft YaHei"/>
    <w:charset w:val="0"/>
    <w:family w:val="swiss"/>
    <w:pitch w:val="variable"/>
  </w:font>
  <w:font w:name="SimSun">
    <w:altName w:val="SimSun"/>
    <w:charset w:val="0"/>
    <w:family w:val="auto"/>
    <w:pitch w:val="variable"/>
  </w:font>
  <w:font w:name="Microsoft JhengHei">
    <w:altName w:val="Microsoft JhengHei"/>
    <w:charset w:val="0"/>
    <w:family w:val="swiss"/>
    <w:pitch w:val="variable"/>
  </w:font>
  <w:font w:name="MS UI Gothic">
    <w:altName w:val="MS UI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36"/>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22">
    <w:multiLevelType w:val="hybridMultilevel"/>
    <w:lvl w:ilvl="0">
      <w:start w:val="31"/>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21">
    <w:multiLevelType w:val="hybridMultilevel"/>
    <w:lvl w:ilvl="0">
      <w:start w:val="32"/>
      <w:numFmt w:val="decimal"/>
      <w:lvlText w:val="%1"/>
      <w:lvlJc w:val="left"/>
      <w:pPr>
        <w:ind w:left="389" w:hanging="548"/>
        <w:jc w:val="left"/>
      </w:pPr>
      <w:rPr>
        <w:rFonts w:hint="default"/>
      </w:rPr>
    </w:lvl>
    <w:lvl w:ilvl="1">
      <w:start w:val="1"/>
      <w:numFmt w:val="decimal"/>
      <w:lvlText w:val="%1.%2"/>
      <w:lvlJc w:val="left"/>
      <w:pPr>
        <w:ind w:left="389" w:hanging="548"/>
        <w:jc w:val="left"/>
      </w:pPr>
      <w:rPr>
        <w:rFonts w:hint="default" w:ascii="SimSun" w:hAnsi="SimSun" w:eastAsia="SimSun" w:cs="SimSun"/>
        <w:w w:val="100"/>
        <w:sz w:val="24"/>
        <w:szCs w:val="24"/>
      </w:rPr>
    </w:lvl>
    <w:lvl w:ilvl="2">
      <w:start w:val="0"/>
      <w:numFmt w:val="bullet"/>
      <w:lvlText w:val="•"/>
      <w:lvlJc w:val="left"/>
      <w:pPr>
        <w:ind w:left="2217" w:hanging="548"/>
      </w:pPr>
      <w:rPr>
        <w:rFonts w:hint="default"/>
      </w:rPr>
    </w:lvl>
    <w:lvl w:ilvl="3">
      <w:start w:val="0"/>
      <w:numFmt w:val="bullet"/>
      <w:lvlText w:val="•"/>
      <w:lvlJc w:val="left"/>
      <w:pPr>
        <w:ind w:left="3135" w:hanging="548"/>
      </w:pPr>
      <w:rPr>
        <w:rFonts w:hint="default"/>
      </w:rPr>
    </w:lvl>
    <w:lvl w:ilvl="4">
      <w:start w:val="0"/>
      <w:numFmt w:val="bullet"/>
      <w:lvlText w:val="•"/>
      <w:lvlJc w:val="left"/>
      <w:pPr>
        <w:ind w:left="4054" w:hanging="548"/>
      </w:pPr>
      <w:rPr>
        <w:rFonts w:hint="default"/>
      </w:rPr>
    </w:lvl>
    <w:lvl w:ilvl="5">
      <w:start w:val="0"/>
      <w:numFmt w:val="bullet"/>
      <w:lvlText w:val="•"/>
      <w:lvlJc w:val="left"/>
      <w:pPr>
        <w:ind w:left="4973" w:hanging="548"/>
      </w:pPr>
      <w:rPr>
        <w:rFonts w:hint="default"/>
      </w:rPr>
    </w:lvl>
    <w:lvl w:ilvl="6">
      <w:start w:val="0"/>
      <w:numFmt w:val="bullet"/>
      <w:lvlText w:val="•"/>
      <w:lvlJc w:val="left"/>
      <w:pPr>
        <w:ind w:left="5891" w:hanging="548"/>
      </w:pPr>
      <w:rPr>
        <w:rFonts w:hint="default"/>
      </w:rPr>
    </w:lvl>
    <w:lvl w:ilvl="7">
      <w:start w:val="0"/>
      <w:numFmt w:val="bullet"/>
      <w:lvlText w:val="•"/>
      <w:lvlJc w:val="left"/>
      <w:pPr>
        <w:ind w:left="6810" w:hanging="548"/>
      </w:pPr>
      <w:rPr>
        <w:rFonts w:hint="default"/>
      </w:rPr>
    </w:lvl>
    <w:lvl w:ilvl="8">
      <w:start w:val="0"/>
      <w:numFmt w:val="bullet"/>
      <w:lvlText w:val="•"/>
      <w:lvlJc w:val="left"/>
      <w:pPr>
        <w:ind w:left="7729" w:hanging="548"/>
      </w:pPr>
      <w:rPr>
        <w:rFonts w:hint="default"/>
      </w:rPr>
    </w:lvl>
  </w:abstractNum>
  <w:abstractNum w:abstractNumId="20">
    <w:multiLevelType w:val="hybridMultilevel"/>
    <w:lvl w:ilvl="0">
      <w:start w:val="31"/>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19">
    <w:multiLevelType w:val="hybridMultilevel"/>
    <w:lvl w:ilvl="0">
      <w:start w:val="27"/>
      <w:numFmt w:val="decimal"/>
      <w:lvlText w:val="%1"/>
      <w:lvlJc w:val="left"/>
      <w:pPr>
        <w:ind w:left="389" w:hanging="603"/>
        <w:jc w:val="left"/>
      </w:pPr>
      <w:rPr>
        <w:rFonts w:hint="default"/>
      </w:rPr>
    </w:lvl>
    <w:lvl w:ilvl="1">
      <w:start w:val="1"/>
      <w:numFmt w:val="decimal"/>
      <w:lvlText w:val="%1.%2"/>
      <w:lvlJc w:val="left"/>
      <w:pPr>
        <w:ind w:left="389" w:hanging="603"/>
        <w:jc w:val="left"/>
      </w:pPr>
      <w:rPr>
        <w:rFonts w:hint="default" w:ascii="SimSun" w:hAnsi="SimSun" w:eastAsia="SimSun" w:cs="SimSun"/>
        <w:w w:val="100"/>
        <w:sz w:val="24"/>
        <w:szCs w:val="24"/>
      </w:rPr>
    </w:lvl>
    <w:lvl w:ilvl="2">
      <w:start w:val="0"/>
      <w:numFmt w:val="bullet"/>
      <w:lvlText w:val="•"/>
      <w:lvlJc w:val="left"/>
      <w:pPr>
        <w:ind w:left="2217" w:hanging="603"/>
      </w:pPr>
      <w:rPr>
        <w:rFonts w:hint="default"/>
      </w:rPr>
    </w:lvl>
    <w:lvl w:ilvl="3">
      <w:start w:val="0"/>
      <w:numFmt w:val="bullet"/>
      <w:lvlText w:val="•"/>
      <w:lvlJc w:val="left"/>
      <w:pPr>
        <w:ind w:left="3135" w:hanging="603"/>
      </w:pPr>
      <w:rPr>
        <w:rFonts w:hint="default"/>
      </w:rPr>
    </w:lvl>
    <w:lvl w:ilvl="4">
      <w:start w:val="0"/>
      <w:numFmt w:val="bullet"/>
      <w:lvlText w:val="•"/>
      <w:lvlJc w:val="left"/>
      <w:pPr>
        <w:ind w:left="4054" w:hanging="603"/>
      </w:pPr>
      <w:rPr>
        <w:rFonts w:hint="default"/>
      </w:rPr>
    </w:lvl>
    <w:lvl w:ilvl="5">
      <w:start w:val="0"/>
      <w:numFmt w:val="bullet"/>
      <w:lvlText w:val="•"/>
      <w:lvlJc w:val="left"/>
      <w:pPr>
        <w:ind w:left="4973" w:hanging="603"/>
      </w:pPr>
      <w:rPr>
        <w:rFonts w:hint="default"/>
      </w:rPr>
    </w:lvl>
    <w:lvl w:ilvl="6">
      <w:start w:val="0"/>
      <w:numFmt w:val="bullet"/>
      <w:lvlText w:val="•"/>
      <w:lvlJc w:val="left"/>
      <w:pPr>
        <w:ind w:left="5891" w:hanging="603"/>
      </w:pPr>
      <w:rPr>
        <w:rFonts w:hint="default"/>
      </w:rPr>
    </w:lvl>
    <w:lvl w:ilvl="7">
      <w:start w:val="0"/>
      <w:numFmt w:val="bullet"/>
      <w:lvlText w:val="•"/>
      <w:lvlJc w:val="left"/>
      <w:pPr>
        <w:ind w:left="6810" w:hanging="603"/>
      </w:pPr>
      <w:rPr>
        <w:rFonts w:hint="default"/>
      </w:rPr>
    </w:lvl>
    <w:lvl w:ilvl="8">
      <w:start w:val="0"/>
      <w:numFmt w:val="bullet"/>
      <w:lvlText w:val="•"/>
      <w:lvlJc w:val="left"/>
      <w:pPr>
        <w:ind w:left="7729" w:hanging="603"/>
      </w:pPr>
      <w:rPr>
        <w:rFonts w:hint="default"/>
      </w:rPr>
    </w:lvl>
  </w:abstractNum>
  <w:abstractNum w:abstractNumId="18">
    <w:multiLevelType w:val="hybridMultilevel"/>
    <w:lvl w:ilvl="0">
      <w:start w:val="28"/>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1"/>
      <w:numFmt w:val="decimal"/>
      <w:lvlText w:val="%1.%2.%3"/>
      <w:lvlJc w:val="left"/>
      <w:pPr>
        <w:ind w:left="389" w:hanging="780"/>
        <w:jc w:val="right"/>
      </w:pPr>
      <w:rPr>
        <w:rFonts w:hint="default" w:ascii="SimSun" w:hAnsi="SimSun" w:eastAsia="SimSun" w:cs="SimSun"/>
        <w:w w:val="100"/>
        <w:sz w:val="24"/>
        <w:szCs w:val="24"/>
      </w:rPr>
    </w:lvl>
    <w:lvl w:ilvl="3">
      <w:start w:val="0"/>
      <w:numFmt w:val="bullet"/>
      <w:lvlText w:val="•"/>
      <w:lvlJc w:val="left"/>
      <w:pPr>
        <w:ind w:left="3135" w:hanging="780"/>
      </w:pPr>
      <w:rPr>
        <w:rFonts w:hint="default"/>
      </w:rPr>
    </w:lvl>
    <w:lvl w:ilvl="4">
      <w:start w:val="0"/>
      <w:numFmt w:val="bullet"/>
      <w:lvlText w:val="•"/>
      <w:lvlJc w:val="left"/>
      <w:pPr>
        <w:ind w:left="4054" w:hanging="780"/>
      </w:pPr>
      <w:rPr>
        <w:rFonts w:hint="default"/>
      </w:rPr>
    </w:lvl>
    <w:lvl w:ilvl="5">
      <w:start w:val="0"/>
      <w:numFmt w:val="bullet"/>
      <w:lvlText w:val="•"/>
      <w:lvlJc w:val="left"/>
      <w:pPr>
        <w:ind w:left="4973" w:hanging="780"/>
      </w:pPr>
      <w:rPr>
        <w:rFonts w:hint="default"/>
      </w:rPr>
    </w:lvl>
    <w:lvl w:ilvl="6">
      <w:start w:val="0"/>
      <w:numFmt w:val="bullet"/>
      <w:lvlText w:val="•"/>
      <w:lvlJc w:val="left"/>
      <w:pPr>
        <w:ind w:left="5891" w:hanging="780"/>
      </w:pPr>
      <w:rPr>
        <w:rFonts w:hint="default"/>
      </w:rPr>
    </w:lvl>
    <w:lvl w:ilvl="7">
      <w:start w:val="0"/>
      <w:numFmt w:val="bullet"/>
      <w:lvlText w:val="•"/>
      <w:lvlJc w:val="left"/>
      <w:pPr>
        <w:ind w:left="6810" w:hanging="780"/>
      </w:pPr>
      <w:rPr>
        <w:rFonts w:hint="default"/>
      </w:rPr>
    </w:lvl>
    <w:lvl w:ilvl="8">
      <w:start w:val="0"/>
      <w:numFmt w:val="bullet"/>
      <w:lvlText w:val="•"/>
      <w:lvlJc w:val="left"/>
      <w:pPr>
        <w:ind w:left="7729" w:hanging="780"/>
      </w:pPr>
      <w:rPr>
        <w:rFonts w:hint="default"/>
      </w:rPr>
    </w:lvl>
  </w:abstractNum>
  <w:abstractNum w:abstractNumId="17">
    <w:multiLevelType w:val="hybridMultilevel"/>
    <w:lvl w:ilvl="0">
      <w:start w:val="24"/>
      <w:numFmt w:val="decimal"/>
      <w:lvlText w:val="%1"/>
      <w:lvlJc w:val="left"/>
      <w:pPr>
        <w:ind w:left="140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307" w:hanging="540"/>
      </w:pPr>
      <w:rPr>
        <w:rFonts w:hint="default"/>
      </w:rPr>
    </w:lvl>
    <w:lvl w:ilvl="3">
      <w:start w:val="0"/>
      <w:numFmt w:val="bullet"/>
      <w:lvlText w:val="•"/>
      <w:lvlJc w:val="left"/>
      <w:pPr>
        <w:ind w:left="3214" w:hanging="540"/>
      </w:pPr>
      <w:rPr>
        <w:rFonts w:hint="default"/>
      </w:rPr>
    </w:lvl>
    <w:lvl w:ilvl="4">
      <w:start w:val="0"/>
      <w:numFmt w:val="bullet"/>
      <w:lvlText w:val="•"/>
      <w:lvlJc w:val="left"/>
      <w:pPr>
        <w:ind w:left="4122" w:hanging="540"/>
      </w:pPr>
      <w:rPr>
        <w:rFonts w:hint="default"/>
      </w:rPr>
    </w:lvl>
    <w:lvl w:ilvl="5">
      <w:start w:val="0"/>
      <w:numFmt w:val="bullet"/>
      <w:lvlText w:val="•"/>
      <w:lvlJc w:val="left"/>
      <w:pPr>
        <w:ind w:left="5029" w:hanging="540"/>
      </w:pPr>
      <w:rPr>
        <w:rFonts w:hint="default"/>
      </w:rPr>
    </w:lvl>
    <w:lvl w:ilvl="6">
      <w:start w:val="0"/>
      <w:numFmt w:val="bullet"/>
      <w:lvlText w:val="•"/>
      <w:lvlJc w:val="left"/>
      <w:pPr>
        <w:ind w:left="5936" w:hanging="540"/>
      </w:pPr>
      <w:rPr>
        <w:rFonts w:hint="default"/>
      </w:rPr>
    </w:lvl>
    <w:lvl w:ilvl="7">
      <w:start w:val="0"/>
      <w:numFmt w:val="bullet"/>
      <w:lvlText w:val="•"/>
      <w:lvlJc w:val="left"/>
      <w:pPr>
        <w:ind w:left="6844" w:hanging="540"/>
      </w:pPr>
      <w:rPr>
        <w:rFonts w:hint="default"/>
      </w:rPr>
    </w:lvl>
    <w:lvl w:ilvl="8">
      <w:start w:val="0"/>
      <w:numFmt w:val="bullet"/>
      <w:lvlText w:val="•"/>
      <w:lvlJc w:val="left"/>
      <w:pPr>
        <w:ind w:left="7751" w:hanging="540"/>
      </w:pPr>
      <w:rPr>
        <w:rFonts w:hint="default"/>
      </w:rPr>
    </w:lvl>
  </w:abstractNum>
  <w:abstractNum w:abstractNumId="16">
    <w:multiLevelType w:val="hybridMultilevel"/>
    <w:lvl w:ilvl="0">
      <w:start w:val="23"/>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15">
    <w:multiLevelType w:val="hybridMultilevel"/>
    <w:lvl w:ilvl="0">
      <w:start w:val="22"/>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14">
    <w:multiLevelType w:val="hybridMultilevel"/>
    <w:lvl w:ilvl="0">
      <w:start w:val="21"/>
      <w:numFmt w:val="decimal"/>
      <w:lvlText w:val="%1"/>
      <w:lvlJc w:val="left"/>
      <w:pPr>
        <w:ind w:left="1409" w:hanging="540"/>
        <w:jc w:val="left"/>
      </w:pPr>
      <w:rPr>
        <w:rFonts w:hint="default"/>
      </w:rPr>
    </w:lvl>
    <w:lvl w:ilvl="1">
      <w:start w:val="1"/>
      <w:numFmt w:val="decimal"/>
      <w:lvlText w:val="%1.%2"/>
      <w:lvlJc w:val="left"/>
      <w:pPr>
        <w:ind w:left="1409" w:hanging="540"/>
        <w:jc w:val="left"/>
      </w:pPr>
      <w:rPr>
        <w:rFonts w:hint="default" w:ascii="SimSun" w:hAnsi="SimSun" w:eastAsia="SimSun" w:cs="SimSun"/>
        <w:w w:val="100"/>
        <w:sz w:val="24"/>
        <w:szCs w:val="24"/>
      </w:rPr>
    </w:lvl>
    <w:lvl w:ilvl="2">
      <w:start w:val="0"/>
      <w:numFmt w:val="bullet"/>
      <w:lvlText w:val="•"/>
      <w:lvlJc w:val="left"/>
      <w:pPr>
        <w:ind w:left="3033" w:hanging="540"/>
      </w:pPr>
      <w:rPr>
        <w:rFonts w:hint="default"/>
      </w:rPr>
    </w:lvl>
    <w:lvl w:ilvl="3">
      <w:start w:val="0"/>
      <w:numFmt w:val="bullet"/>
      <w:lvlText w:val="•"/>
      <w:lvlJc w:val="left"/>
      <w:pPr>
        <w:ind w:left="3849" w:hanging="540"/>
      </w:pPr>
      <w:rPr>
        <w:rFonts w:hint="default"/>
      </w:rPr>
    </w:lvl>
    <w:lvl w:ilvl="4">
      <w:start w:val="0"/>
      <w:numFmt w:val="bullet"/>
      <w:lvlText w:val="•"/>
      <w:lvlJc w:val="left"/>
      <w:pPr>
        <w:ind w:left="4666" w:hanging="540"/>
      </w:pPr>
      <w:rPr>
        <w:rFonts w:hint="default"/>
      </w:rPr>
    </w:lvl>
    <w:lvl w:ilvl="5">
      <w:start w:val="0"/>
      <w:numFmt w:val="bullet"/>
      <w:lvlText w:val="•"/>
      <w:lvlJc w:val="left"/>
      <w:pPr>
        <w:ind w:left="5483" w:hanging="540"/>
      </w:pPr>
      <w:rPr>
        <w:rFonts w:hint="default"/>
      </w:rPr>
    </w:lvl>
    <w:lvl w:ilvl="6">
      <w:start w:val="0"/>
      <w:numFmt w:val="bullet"/>
      <w:lvlText w:val="•"/>
      <w:lvlJc w:val="left"/>
      <w:pPr>
        <w:ind w:left="6299" w:hanging="540"/>
      </w:pPr>
      <w:rPr>
        <w:rFonts w:hint="default"/>
      </w:rPr>
    </w:lvl>
    <w:lvl w:ilvl="7">
      <w:start w:val="0"/>
      <w:numFmt w:val="bullet"/>
      <w:lvlText w:val="•"/>
      <w:lvlJc w:val="left"/>
      <w:pPr>
        <w:ind w:left="7116" w:hanging="540"/>
      </w:pPr>
      <w:rPr>
        <w:rFonts w:hint="default"/>
      </w:rPr>
    </w:lvl>
    <w:lvl w:ilvl="8">
      <w:start w:val="0"/>
      <w:numFmt w:val="bullet"/>
      <w:lvlText w:val="•"/>
      <w:lvlJc w:val="left"/>
      <w:pPr>
        <w:ind w:left="7933" w:hanging="540"/>
      </w:pPr>
      <w:rPr>
        <w:rFonts w:hint="default"/>
      </w:rPr>
    </w:lvl>
  </w:abstractNum>
  <w:abstractNum w:abstractNumId="13">
    <w:multiLevelType w:val="hybridMultilevel"/>
    <w:lvl w:ilvl="0">
      <w:start w:val="19"/>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12">
    <w:multiLevelType w:val="hybridMultilevel"/>
    <w:lvl w:ilvl="0">
      <w:start w:val="18"/>
      <w:numFmt w:val="decimal"/>
      <w:lvlText w:val="%1"/>
      <w:lvlJc w:val="left"/>
      <w:pPr>
        <w:ind w:left="134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54" w:hanging="540"/>
      </w:pPr>
      <w:rPr>
        <w:rFonts w:hint="default"/>
      </w:rPr>
    </w:lvl>
    <w:lvl w:ilvl="3">
      <w:start w:val="0"/>
      <w:numFmt w:val="bullet"/>
      <w:lvlText w:val="•"/>
      <w:lvlJc w:val="left"/>
      <w:pPr>
        <w:ind w:left="3168" w:hanging="540"/>
      </w:pPr>
      <w:rPr>
        <w:rFonts w:hint="default"/>
      </w:rPr>
    </w:lvl>
    <w:lvl w:ilvl="4">
      <w:start w:val="0"/>
      <w:numFmt w:val="bullet"/>
      <w:lvlText w:val="•"/>
      <w:lvlJc w:val="left"/>
      <w:pPr>
        <w:ind w:left="4082" w:hanging="540"/>
      </w:pPr>
      <w:rPr>
        <w:rFonts w:hint="default"/>
      </w:rPr>
    </w:lvl>
    <w:lvl w:ilvl="5">
      <w:start w:val="0"/>
      <w:numFmt w:val="bullet"/>
      <w:lvlText w:val="•"/>
      <w:lvlJc w:val="left"/>
      <w:pPr>
        <w:ind w:left="4996" w:hanging="540"/>
      </w:pPr>
      <w:rPr>
        <w:rFonts w:hint="default"/>
      </w:rPr>
    </w:lvl>
    <w:lvl w:ilvl="6">
      <w:start w:val="0"/>
      <w:numFmt w:val="bullet"/>
      <w:lvlText w:val="•"/>
      <w:lvlJc w:val="left"/>
      <w:pPr>
        <w:ind w:left="5910" w:hanging="540"/>
      </w:pPr>
      <w:rPr>
        <w:rFonts w:hint="default"/>
      </w:rPr>
    </w:lvl>
    <w:lvl w:ilvl="7">
      <w:start w:val="0"/>
      <w:numFmt w:val="bullet"/>
      <w:lvlText w:val="•"/>
      <w:lvlJc w:val="left"/>
      <w:pPr>
        <w:ind w:left="6824" w:hanging="540"/>
      </w:pPr>
      <w:rPr>
        <w:rFonts w:hint="default"/>
      </w:rPr>
    </w:lvl>
    <w:lvl w:ilvl="8">
      <w:start w:val="0"/>
      <w:numFmt w:val="bullet"/>
      <w:lvlText w:val="•"/>
      <w:lvlJc w:val="left"/>
      <w:pPr>
        <w:ind w:left="7738" w:hanging="540"/>
      </w:pPr>
      <w:rPr>
        <w:rFonts w:hint="default"/>
      </w:rPr>
    </w:lvl>
  </w:abstractNum>
  <w:abstractNum w:abstractNumId="11">
    <w:multiLevelType w:val="hybridMultilevel"/>
    <w:lvl w:ilvl="0">
      <w:start w:val="16"/>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10">
    <w:multiLevelType w:val="hybridMultilevel"/>
    <w:lvl w:ilvl="0">
      <w:start w:val="15"/>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9">
    <w:multiLevelType w:val="hybridMultilevel"/>
    <w:lvl w:ilvl="0">
      <w:start w:val="14"/>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1"/>
      <w:numFmt w:val="decimal"/>
      <w:lvlText w:val="%1.%2.%3"/>
      <w:lvlJc w:val="left"/>
      <w:pPr>
        <w:ind w:left="1649" w:hanging="780"/>
        <w:jc w:val="left"/>
      </w:pPr>
      <w:rPr>
        <w:rFonts w:hint="default" w:ascii="SimSun" w:hAnsi="SimSun" w:eastAsia="SimSun" w:cs="SimSun"/>
        <w:w w:val="100"/>
        <w:sz w:val="24"/>
        <w:szCs w:val="24"/>
      </w:rPr>
    </w:lvl>
    <w:lvl w:ilvl="3">
      <w:start w:val="0"/>
      <w:numFmt w:val="bullet"/>
      <w:lvlText w:val="•"/>
      <w:lvlJc w:val="left"/>
      <w:pPr>
        <w:ind w:left="3401" w:hanging="780"/>
      </w:pPr>
      <w:rPr>
        <w:rFonts w:hint="default"/>
      </w:rPr>
    </w:lvl>
    <w:lvl w:ilvl="4">
      <w:start w:val="0"/>
      <w:numFmt w:val="bullet"/>
      <w:lvlText w:val="•"/>
      <w:lvlJc w:val="left"/>
      <w:pPr>
        <w:ind w:left="4282" w:hanging="780"/>
      </w:pPr>
      <w:rPr>
        <w:rFonts w:hint="default"/>
      </w:rPr>
    </w:lvl>
    <w:lvl w:ilvl="5">
      <w:start w:val="0"/>
      <w:numFmt w:val="bullet"/>
      <w:lvlText w:val="•"/>
      <w:lvlJc w:val="left"/>
      <w:pPr>
        <w:ind w:left="5162" w:hanging="780"/>
      </w:pPr>
      <w:rPr>
        <w:rFonts w:hint="default"/>
      </w:rPr>
    </w:lvl>
    <w:lvl w:ilvl="6">
      <w:start w:val="0"/>
      <w:numFmt w:val="bullet"/>
      <w:lvlText w:val="•"/>
      <w:lvlJc w:val="left"/>
      <w:pPr>
        <w:ind w:left="6043" w:hanging="780"/>
      </w:pPr>
      <w:rPr>
        <w:rFonts w:hint="default"/>
      </w:rPr>
    </w:lvl>
    <w:lvl w:ilvl="7">
      <w:start w:val="0"/>
      <w:numFmt w:val="bullet"/>
      <w:lvlText w:val="•"/>
      <w:lvlJc w:val="left"/>
      <w:pPr>
        <w:ind w:left="6924" w:hanging="780"/>
      </w:pPr>
      <w:rPr>
        <w:rFonts w:hint="default"/>
      </w:rPr>
    </w:lvl>
    <w:lvl w:ilvl="8">
      <w:start w:val="0"/>
      <w:numFmt w:val="bullet"/>
      <w:lvlText w:val="•"/>
      <w:lvlJc w:val="left"/>
      <w:pPr>
        <w:ind w:left="7804" w:hanging="780"/>
      </w:pPr>
      <w:rPr>
        <w:rFonts w:hint="default"/>
      </w:rPr>
    </w:lvl>
  </w:abstractNum>
  <w:abstractNum w:abstractNumId="8">
    <w:multiLevelType w:val="hybridMultilevel"/>
    <w:lvl w:ilvl="0">
      <w:start w:val="13"/>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1"/>
      <w:numFmt w:val="decimal"/>
      <w:lvlText w:val="%1.%2.%3"/>
      <w:lvlJc w:val="left"/>
      <w:pPr>
        <w:ind w:left="389" w:hanging="780"/>
        <w:jc w:val="left"/>
      </w:pPr>
      <w:rPr>
        <w:rFonts w:hint="default" w:ascii="SimSun" w:hAnsi="SimSun" w:eastAsia="SimSun" w:cs="SimSun"/>
        <w:w w:val="100"/>
        <w:sz w:val="24"/>
        <w:szCs w:val="24"/>
      </w:rPr>
    </w:lvl>
    <w:lvl w:ilvl="3">
      <w:start w:val="0"/>
      <w:numFmt w:val="bullet"/>
      <w:lvlText w:val="•"/>
      <w:lvlJc w:val="left"/>
      <w:pPr>
        <w:ind w:left="3135" w:hanging="780"/>
      </w:pPr>
      <w:rPr>
        <w:rFonts w:hint="default"/>
      </w:rPr>
    </w:lvl>
    <w:lvl w:ilvl="4">
      <w:start w:val="0"/>
      <w:numFmt w:val="bullet"/>
      <w:lvlText w:val="•"/>
      <w:lvlJc w:val="left"/>
      <w:pPr>
        <w:ind w:left="4054" w:hanging="780"/>
      </w:pPr>
      <w:rPr>
        <w:rFonts w:hint="default"/>
      </w:rPr>
    </w:lvl>
    <w:lvl w:ilvl="5">
      <w:start w:val="0"/>
      <w:numFmt w:val="bullet"/>
      <w:lvlText w:val="•"/>
      <w:lvlJc w:val="left"/>
      <w:pPr>
        <w:ind w:left="4973" w:hanging="780"/>
      </w:pPr>
      <w:rPr>
        <w:rFonts w:hint="default"/>
      </w:rPr>
    </w:lvl>
    <w:lvl w:ilvl="6">
      <w:start w:val="0"/>
      <w:numFmt w:val="bullet"/>
      <w:lvlText w:val="•"/>
      <w:lvlJc w:val="left"/>
      <w:pPr>
        <w:ind w:left="5891" w:hanging="780"/>
      </w:pPr>
      <w:rPr>
        <w:rFonts w:hint="default"/>
      </w:rPr>
    </w:lvl>
    <w:lvl w:ilvl="7">
      <w:start w:val="0"/>
      <w:numFmt w:val="bullet"/>
      <w:lvlText w:val="•"/>
      <w:lvlJc w:val="left"/>
      <w:pPr>
        <w:ind w:left="6810" w:hanging="780"/>
      </w:pPr>
      <w:rPr>
        <w:rFonts w:hint="default"/>
      </w:rPr>
    </w:lvl>
    <w:lvl w:ilvl="8">
      <w:start w:val="0"/>
      <w:numFmt w:val="bullet"/>
      <w:lvlText w:val="•"/>
      <w:lvlJc w:val="left"/>
      <w:pPr>
        <w:ind w:left="7729" w:hanging="780"/>
      </w:pPr>
      <w:rPr>
        <w:rFonts w:hint="default"/>
      </w:rPr>
    </w:lvl>
  </w:abstractNum>
  <w:abstractNum w:abstractNumId="7">
    <w:multiLevelType w:val="hybridMultilevel"/>
    <w:lvl w:ilvl="0">
      <w:start w:val="11"/>
      <w:numFmt w:val="decimal"/>
      <w:lvlText w:val="%1"/>
      <w:lvlJc w:val="left"/>
      <w:pPr>
        <w:ind w:left="1409" w:hanging="540"/>
        <w:jc w:val="left"/>
      </w:pPr>
      <w:rPr>
        <w:rFonts w:hint="default"/>
      </w:rPr>
    </w:lvl>
    <w:lvl w:ilvl="1">
      <w:start w:val="6"/>
      <w:numFmt w:val="decimal"/>
      <w:lvlText w:val="%1.%2"/>
      <w:lvlJc w:val="left"/>
      <w:pPr>
        <w:ind w:left="1409" w:hanging="540"/>
        <w:jc w:val="left"/>
      </w:pPr>
      <w:rPr>
        <w:rFonts w:hint="default" w:ascii="SimSun" w:hAnsi="SimSun" w:eastAsia="SimSun" w:cs="SimSun"/>
        <w:w w:val="100"/>
        <w:sz w:val="24"/>
        <w:szCs w:val="24"/>
      </w:rPr>
    </w:lvl>
    <w:lvl w:ilvl="2">
      <w:start w:val="1"/>
      <w:numFmt w:val="decimal"/>
      <w:lvlText w:val="%1.%2.%3"/>
      <w:lvlJc w:val="left"/>
      <w:pPr>
        <w:ind w:left="389" w:hanging="780"/>
        <w:jc w:val="left"/>
      </w:pPr>
      <w:rPr>
        <w:rFonts w:hint="default" w:ascii="SimSun" w:hAnsi="SimSun" w:eastAsia="SimSun" w:cs="SimSun"/>
        <w:w w:val="100"/>
        <w:sz w:val="24"/>
        <w:szCs w:val="24"/>
      </w:rPr>
    </w:lvl>
    <w:lvl w:ilvl="3">
      <w:start w:val="0"/>
      <w:numFmt w:val="bullet"/>
      <w:lvlText w:val="•"/>
      <w:lvlJc w:val="left"/>
      <w:pPr>
        <w:ind w:left="3214" w:hanging="780"/>
      </w:pPr>
      <w:rPr>
        <w:rFonts w:hint="default"/>
      </w:rPr>
    </w:lvl>
    <w:lvl w:ilvl="4">
      <w:start w:val="0"/>
      <w:numFmt w:val="bullet"/>
      <w:lvlText w:val="•"/>
      <w:lvlJc w:val="left"/>
      <w:pPr>
        <w:ind w:left="4122" w:hanging="780"/>
      </w:pPr>
      <w:rPr>
        <w:rFonts w:hint="default"/>
      </w:rPr>
    </w:lvl>
    <w:lvl w:ilvl="5">
      <w:start w:val="0"/>
      <w:numFmt w:val="bullet"/>
      <w:lvlText w:val="•"/>
      <w:lvlJc w:val="left"/>
      <w:pPr>
        <w:ind w:left="5029" w:hanging="780"/>
      </w:pPr>
      <w:rPr>
        <w:rFonts w:hint="default"/>
      </w:rPr>
    </w:lvl>
    <w:lvl w:ilvl="6">
      <w:start w:val="0"/>
      <w:numFmt w:val="bullet"/>
      <w:lvlText w:val="•"/>
      <w:lvlJc w:val="left"/>
      <w:pPr>
        <w:ind w:left="5936" w:hanging="780"/>
      </w:pPr>
      <w:rPr>
        <w:rFonts w:hint="default"/>
      </w:rPr>
    </w:lvl>
    <w:lvl w:ilvl="7">
      <w:start w:val="0"/>
      <w:numFmt w:val="bullet"/>
      <w:lvlText w:val="•"/>
      <w:lvlJc w:val="left"/>
      <w:pPr>
        <w:ind w:left="6844" w:hanging="780"/>
      </w:pPr>
      <w:rPr>
        <w:rFonts w:hint="default"/>
      </w:rPr>
    </w:lvl>
    <w:lvl w:ilvl="8">
      <w:start w:val="0"/>
      <w:numFmt w:val="bullet"/>
      <w:lvlText w:val="•"/>
      <w:lvlJc w:val="left"/>
      <w:pPr>
        <w:ind w:left="7751" w:hanging="780"/>
      </w:pPr>
      <w:rPr>
        <w:rFonts w:hint="default"/>
      </w:rPr>
    </w:lvl>
  </w:abstractNum>
  <w:abstractNum w:abstractNumId="6">
    <w:multiLevelType w:val="hybridMultilevel"/>
    <w:lvl w:ilvl="0">
      <w:start w:val="11"/>
      <w:numFmt w:val="decimal"/>
      <w:lvlText w:val="%1"/>
      <w:lvlJc w:val="left"/>
      <w:pPr>
        <w:ind w:left="1409" w:hanging="540"/>
        <w:jc w:val="left"/>
      </w:pPr>
      <w:rPr>
        <w:rFonts w:hint="default"/>
      </w:rPr>
    </w:lvl>
    <w:lvl w:ilvl="1">
      <w:start w:val="5"/>
      <w:numFmt w:val="decimal"/>
      <w:lvlText w:val="%1.%2"/>
      <w:lvlJc w:val="left"/>
      <w:pPr>
        <w:ind w:left="1409" w:hanging="540"/>
        <w:jc w:val="left"/>
      </w:pPr>
      <w:rPr>
        <w:rFonts w:hint="default" w:ascii="SimSun" w:hAnsi="SimSun" w:eastAsia="SimSun" w:cs="SimSun"/>
        <w:w w:val="100"/>
        <w:sz w:val="24"/>
        <w:szCs w:val="24"/>
      </w:rPr>
    </w:lvl>
    <w:lvl w:ilvl="2">
      <w:start w:val="1"/>
      <w:numFmt w:val="decimal"/>
      <w:lvlText w:val="%1.%2.%3"/>
      <w:lvlJc w:val="left"/>
      <w:pPr>
        <w:ind w:left="389" w:hanging="780"/>
        <w:jc w:val="left"/>
      </w:pPr>
      <w:rPr>
        <w:rFonts w:hint="default" w:ascii="SimSun" w:hAnsi="SimSun" w:eastAsia="SimSun" w:cs="SimSun"/>
        <w:w w:val="100"/>
        <w:sz w:val="24"/>
        <w:szCs w:val="24"/>
      </w:rPr>
    </w:lvl>
    <w:lvl w:ilvl="3">
      <w:start w:val="0"/>
      <w:numFmt w:val="bullet"/>
      <w:lvlText w:val="•"/>
      <w:lvlJc w:val="left"/>
      <w:pPr>
        <w:ind w:left="3214" w:hanging="780"/>
      </w:pPr>
      <w:rPr>
        <w:rFonts w:hint="default"/>
      </w:rPr>
    </w:lvl>
    <w:lvl w:ilvl="4">
      <w:start w:val="0"/>
      <w:numFmt w:val="bullet"/>
      <w:lvlText w:val="•"/>
      <w:lvlJc w:val="left"/>
      <w:pPr>
        <w:ind w:left="4122" w:hanging="780"/>
      </w:pPr>
      <w:rPr>
        <w:rFonts w:hint="default"/>
      </w:rPr>
    </w:lvl>
    <w:lvl w:ilvl="5">
      <w:start w:val="0"/>
      <w:numFmt w:val="bullet"/>
      <w:lvlText w:val="•"/>
      <w:lvlJc w:val="left"/>
      <w:pPr>
        <w:ind w:left="5029" w:hanging="780"/>
      </w:pPr>
      <w:rPr>
        <w:rFonts w:hint="default"/>
      </w:rPr>
    </w:lvl>
    <w:lvl w:ilvl="6">
      <w:start w:val="0"/>
      <w:numFmt w:val="bullet"/>
      <w:lvlText w:val="•"/>
      <w:lvlJc w:val="left"/>
      <w:pPr>
        <w:ind w:left="5936" w:hanging="780"/>
      </w:pPr>
      <w:rPr>
        <w:rFonts w:hint="default"/>
      </w:rPr>
    </w:lvl>
    <w:lvl w:ilvl="7">
      <w:start w:val="0"/>
      <w:numFmt w:val="bullet"/>
      <w:lvlText w:val="•"/>
      <w:lvlJc w:val="left"/>
      <w:pPr>
        <w:ind w:left="6844" w:hanging="780"/>
      </w:pPr>
      <w:rPr>
        <w:rFonts w:hint="default"/>
      </w:rPr>
    </w:lvl>
    <w:lvl w:ilvl="8">
      <w:start w:val="0"/>
      <w:numFmt w:val="bullet"/>
      <w:lvlText w:val="•"/>
      <w:lvlJc w:val="left"/>
      <w:pPr>
        <w:ind w:left="7751" w:hanging="780"/>
      </w:pPr>
      <w:rPr>
        <w:rFonts w:hint="default"/>
      </w:rPr>
    </w:lvl>
  </w:abstractNum>
  <w:abstractNum w:abstractNumId="5">
    <w:multiLevelType w:val="hybridMultilevel"/>
    <w:lvl w:ilvl="0">
      <w:start w:val="11"/>
      <w:numFmt w:val="decimal"/>
      <w:lvlText w:val="%1"/>
      <w:lvlJc w:val="left"/>
      <w:pPr>
        <w:ind w:left="389" w:hanging="540"/>
        <w:jc w:val="left"/>
      </w:pPr>
      <w:rPr>
        <w:rFonts w:hint="default"/>
      </w:rPr>
    </w:lvl>
    <w:lvl w:ilvl="1">
      <w:start w:val="2"/>
      <w:numFmt w:val="decimal"/>
      <w:lvlText w:val="%1.%2"/>
      <w:lvlJc w:val="left"/>
      <w:pPr>
        <w:ind w:left="389" w:hanging="540"/>
        <w:jc w:val="left"/>
      </w:pPr>
      <w:rPr>
        <w:rFonts w:hint="default" w:ascii="SimSun" w:hAnsi="SimSun" w:eastAsia="SimSun" w:cs="SimSun"/>
        <w:w w:val="100"/>
        <w:sz w:val="24"/>
        <w:szCs w:val="24"/>
      </w:rPr>
    </w:lvl>
    <w:lvl w:ilvl="2">
      <w:start w:val="1"/>
      <w:numFmt w:val="decimal"/>
      <w:lvlText w:val="%1.%2.%3"/>
      <w:lvlJc w:val="left"/>
      <w:pPr>
        <w:ind w:left="1649" w:hanging="780"/>
        <w:jc w:val="left"/>
      </w:pPr>
      <w:rPr>
        <w:rFonts w:hint="default" w:ascii="SimSun" w:hAnsi="SimSun" w:eastAsia="SimSun" w:cs="SimSun"/>
        <w:w w:val="100"/>
        <w:sz w:val="24"/>
        <w:szCs w:val="24"/>
      </w:rPr>
    </w:lvl>
    <w:lvl w:ilvl="3">
      <w:start w:val="0"/>
      <w:numFmt w:val="bullet"/>
      <w:lvlText w:val="•"/>
      <w:lvlJc w:val="left"/>
      <w:pPr>
        <w:ind w:left="3401" w:hanging="780"/>
      </w:pPr>
      <w:rPr>
        <w:rFonts w:hint="default"/>
      </w:rPr>
    </w:lvl>
    <w:lvl w:ilvl="4">
      <w:start w:val="0"/>
      <w:numFmt w:val="bullet"/>
      <w:lvlText w:val="•"/>
      <w:lvlJc w:val="left"/>
      <w:pPr>
        <w:ind w:left="4282" w:hanging="780"/>
      </w:pPr>
      <w:rPr>
        <w:rFonts w:hint="default"/>
      </w:rPr>
    </w:lvl>
    <w:lvl w:ilvl="5">
      <w:start w:val="0"/>
      <w:numFmt w:val="bullet"/>
      <w:lvlText w:val="•"/>
      <w:lvlJc w:val="left"/>
      <w:pPr>
        <w:ind w:left="5162" w:hanging="780"/>
      </w:pPr>
      <w:rPr>
        <w:rFonts w:hint="default"/>
      </w:rPr>
    </w:lvl>
    <w:lvl w:ilvl="6">
      <w:start w:val="0"/>
      <w:numFmt w:val="bullet"/>
      <w:lvlText w:val="•"/>
      <w:lvlJc w:val="left"/>
      <w:pPr>
        <w:ind w:left="6043" w:hanging="780"/>
      </w:pPr>
      <w:rPr>
        <w:rFonts w:hint="default"/>
      </w:rPr>
    </w:lvl>
    <w:lvl w:ilvl="7">
      <w:start w:val="0"/>
      <w:numFmt w:val="bullet"/>
      <w:lvlText w:val="•"/>
      <w:lvlJc w:val="left"/>
      <w:pPr>
        <w:ind w:left="6924" w:hanging="780"/>
      </w:pPr>
      <w:rPr>
        <w:rFonts w:hint="default"/>
      </w:rPr>
    </w:lvl>
    <w:lvl w:ilvl="8">
      <w:start w:val="0"/>
      <w:numFmt w:val="bullet"/>
      <w:lvlText w:val="•"/>
      <w:lvlJc w:val="left"/>
      <w:pPr>
        <w:ind w:left="7804" w:hanging="780"/>
      </w:pPr>
      <w:rPr>
        <w:rFonts w:hint="default"/>
      </w:rPr>
    </w:lvl>
  </w:abstractNum>
  <w:abstractNum w:abstractNumId="4">
    <w:multiLevelType w:val="hybridMultilevel"/>
    <w:lvl w:ilvl="0">
      <w:start w:val="10"/>
      <w:numFmt w:val="decimal"/>
      <w:lvlText w:val="%1"/>
      <w:lvlJc w:val="left"/>
      <w:pPr>
        <w:ind w:left="1709" w:hanging="840"/>
        <w:jc w:val="left"/>
      </w:pPr>
      <w:rPr>
        <w:rFonts w:hint="default"/>
      </w:rPr>
    </w:lvl>
    <w:lvl w:ilvl="1">
      <w:start w:val="1"/>
      <w:numFmt w:val="decimal"/>
      <w:lvlText w:val="%1.%2"/>
      <w:lvlJc w:val="left"/>
      <w:pPr>
        <w:ind w:left="1709" w:hanging="840"/>
        <w:jc w:val="left"/>
      </w:pPr>
      <w:rPr>
        <w:rFonts w:hint="default"/>
      </w:rPr>
    </w:lvl>
    <w:lvl w:ilvl="2">
      <w:start w:val="3"/>
      <w:numFmt w:val="decimal"/>
      <w:lvlText w:val="%1.%2.%3"/>
      <w:lvlJc w:val="left"/>
      <w:pPr>
        <w:ind w:left="1709" w:hanging="840"/>
        <w:jc w:val="left"/>
      </w:pPr>
      <w:rPr>
        <w:rFonts w:hint="default" w:ascii="SimSun" w:hAnsi="SimSun" w:eastAsia="SimSun" w:cs="SimSun"/>
        <w:spacing w:val="-120"/>
        <w:w w:val="100"/>
        <w:sz w:val="24"/>
        <w:szCs w:val="24"/>
      </w:rPr>
    </w:lvl>
    <w:lvl w:ilvl="3">
      <w:start w:val="0"/>
      <w:numFmt w:val="bullet"/>
      <w:lvlText w:val="•"/>
      <w:lvlJc w:val="left"/>
      <w:pPr>
        <w:ind w:left="4059" w:hanging="840"/>
      </w:pPr>
      <w:rPr>
        <w:rFonts w:hint="default"/>
      </w:rPr>
    </w:lvl>
    <w:lvl w:ilvl="4">
      <w:start w:val="0"/>
      <w:numFmt w:val="bullet"/>
      <w:lvlText w:val="•"/>
      <w:lvlJc w:val="left"/>
      <w:pPr>
        <w:ind w:left="4846" w:hanging="840"/>
      </w:pPr>
      <w:rPr>
        <w:rFonts w:hint="default"/>
      </w:rPr>
    </w:lvl>
    <w:lvl w:ilvl="5">
      <w:start w:val="0"/>
      <w:numFmt w:val="bullet"/>
      <w:lvlText w:val="•"/>
      <w:lvlJc w:val="left"/>
      <w:pPr>
        <w:ind w:left="5633" w:hanging="840"/>
      </w:pPr>
      <w:rPr>
        <w:rFonts w:hint="default"/>
      </w:rPr>
    </w:lvl>
    <w:lvl w:ilvl="6">
      <w:start w:val="0"/>
      <w:numFmt w:val="bullet"/>
      <w:lvlText w:val="•"/>
      <w:lvlJc w:val="left"/>
      <w:pPr>
        <w:ind w:left="6419" w:hanging="840"/>
      </w:pPr>
      <w:rPr>
        <w:rFonts w:hint="default"/>
      </w:rPr>
    </w:lvl>
    <w:lvl w:ilvl="7">
      <w:start w:val="0"/>
      <w:numFmt w:val="bullet"/>
      <w:lvlText w:val="•"/>
      <w:lvlJc w:val="left"/>
      <w:pPr>
        <w:ind w:left="7206" w:hanging="840"/>
      </w:pPr>
      <w:rPr>
        <w:rFonts w:hint="default"/>
      </w:rPr>
    </w:lvl>
    <w:lvl w:ilvl="8">
      <w:start w:val="0"/>
      <w:numFmt w:val="bullet"/>
      <w:lvlText w:val="•"/>
      <w:lvlJc w:val="left"/>
      <w:pPr>
        <w:ind w:left="7993" w:hanging="840"/>
      </w:pPr>
      <w:rPr>
        <w:rFonts w:hint="default"/>
      </w:rPr>
    </w:lvl>
  </w:abstractNum>
  <w:abstractNum w:abstractNumId="3">
    <w:multiLevelType w:val="hybridMultilevel"/>
    <w:lvl w:ilvl="0">
      <w:start w:val="10"/>
      <w:numFmt w:val="decimal"/>
      <w:lvlText w:val="%1"/>
      <w:lvlJc w:val="left"/>
      <w:pPr>
        <w:ind w:left="389" w:hanging="540"/>
        <w:jc w:val="left"/>
      </w:pPr>
      <w:rPr>
        <w:rFonts w:hint="default"/>
      </w:rPr>
    </w:lvl>
    <w:lvl w:ilvl="1">
      <w:start w:val="1"/>
      <w:numFmt w:val="decimal"/>
      <w:lvlText w:val="%1.%2"/>
      <w:lvlJc w:val="left"/>
      <w:pPr>
        <w:ind w:left="389" w:hanging="540"/>
        <w:jc w:val="left"/>
      </w:pPr>
      <w:rPr>
        <w:rFonts w:hint="default" w:ascii="SimSun" w:hAnsi="SimSun" w:eastAsia="SimSun" w:cs="SimSun"/>
        <w:w w:val="100"/>
        <w:sz w:val="24"/>
        <w:szCs w:val="24"/>
      </w:rPr>
    </w:lvl>
    <w:lvl w:ilvl="2">
      <w:start w:val="0"/>
      <w:numFmt w:val="bullet"/>
      <w:lvlText w:val="•"/>
      <w:lvlJc w:val="left"/>
      <w:pPr>
        <w:ind w:left="2217" w:hanging="540"/>
      </w:pPr>
      <w:rPr>
        <w:rFonts w:hint="default"/>
      </w:rPr>
    </w:lvl>
    <w:lvl w:ilvl="3">
      <w:start w:val="0"/>
      <w:numFmt w:val="bullet"/>
      <w:lvlText w:val="•"/>
      <w:lvlJc w:val="left"/>
      <w:pPr>
        <w:ind w:left="3135" w:hanging="540"/>
      </w:pPr>
      <w:rPr>
        <w:rFonts w:hint="default"/>
      </w:rPr>
    </w:lvl>
    <w:lvl w:ilvl="4">
      <w:start w:val="0"/>
      <w:numFmt w:val="bullet"/>
      <w:lvlText w:val="•"/>
      <w:lvlJc w:val="left"/>
      <w:pPr>
        <w:ind w:left="4054" w:hanging="540"/>
      </w:pPr>
      <w:rPr>
        <w:rFonts w:hint="default"/>
      </w:rPr>
    </w:lvl>
    <w:lvl w:ilvl="5">
      <w:start w:val="0"/>
      <w:numFmt w:val="bullet"/>
      <w:lvlText w:val="•"/>
      <w:lvlJc w:val="left"/>
      <w:pPr>
        <w:ind w:left="4973" w:hanging="540"/>
      </w:pPr>
      <w:rPr>
        <w:rFonts w:hint="default"/>
      </w:rPr>
    </w:lvl>
    <w:lvl w:ilvl="6">
      <w:start w:val="0"/>
      <w:numFmt w:val="bullet"/>
      <w:lvlText w:val="•"/>
      <w:lvlJc w:val="left"/>
      <w:pPr>
        <w:ind w:left="5891" w:hanging="540"/>
      </w:pPr>
      <w:rPr>
        <w:rFonts w:hint="default"/>
      </w:rPr>
    </w:lvl>
    <w:lvl w:ilvl="7">
      <w:start w:val="0"/>
      <w:numFmt w:val="bullet"/>
      <w:lvlText w:val="•"/>
      <w:lvlJc w:val="left"/>
      <w:pPr>
        <w:ind w:left="6810" w:hanging="540"/>
      </w:pPr>
      <w:rPr>
        <w:rFonts w:hint="default"/>
      </w:rPr>
    </w:lvl>
    <w:lvl w:ilvl="8">
      <w:start w:val="0"/>
      <w:numFmt w:val="bullet"/>
      <w:lvlText w:val="•"/>
      <w:lvlJc w:val="left"/>
      <w:pPr>
        <w:ind w:left="7729" w:hanging="540"/>
      </w:pPr>
      <w:rPr>
        <w:rFonts w:hint="default"/>
      </w:rPr>
    </w:lvl>
  </w:abstractNum>
  <w:abstractNum w:abstractNumId="2">
    <w:multiLevelType w:val="hybridMultilevel"/>
    <w:lvl w:ilvl="0">
      <w:start w:val="9"/>
      <w:numFmt w:val="decimal"/>
      <w:lvlText w:val="%1"/>
      <w:lvlJc w:val="left"/>
      <w:pPr>
        <w:ind w:left="389" w:hanging="420"/>
        <w:jc w:val="left"/>
      </w:pPr>
      <w:rPr>
        <w:rFonts w:hint="default"/>
      </w:rPr>
    </w:lvl>
    <w:lvl w:ilvl="1">
      <w:start w:val="1"/>
      <w:numFmt w:val="decimal"/>
      <w:lvlText w:val="%1.%2"/>
      <w:lvlJc w:val="left"/>
      <w:pPr>
        <w:ind w:left="389" w:hanging="420"/>
        <w:jc w:val="left"/>
      </w:pPr>
      <w:rPr>
        <w:rFonts w:hint="default" w:ascii="SimSun" w:hAnsi="SimSun" w:eastAsia="SimSun" w:cs="SimSun"/>
        <w:w w:val="100"/>
        <w:sz w:val="24"/>
        <w:szCs w:val="24"/>
      </w:rPr>
    </w:lvl>
    <w:lvl w:ilvl="2">
      <w:start w:val="0"/>
      <w:numFmt w:val="bullet"/>
      <w:lvlText w:val="•"/>
      <w:lvlJc w:val="left"/>
      <w:pPr>
        <w:ind w:left="2217" w:hanging="420"/>
      </w:pPr>
      <w:rPr>
        <w:rFonts w:hint="default"/>
      </w:rPr>
    </w:lvl>
    <w:lvl w:ilvl="3">
      <w:start w:val="0"/>
      <w:numFmt w:val="bullet"/>
      <w:lvlText w:val="•"/>
      <w:lvlJc w:val="left"/>
      <w:pPr>
        <w:ind w:left="3135" w:hanging="420"/>
      </w:pPr>
      <w:rPr>
        <w:rFonts w:hint="default"/>
      </w:rPr>
    </w:lvl>
    <w:lvl w:ilvl="4">
      <w:start w:val="0"/>
      <w:numFmt w:val="bullet"/>
      <w:lvlText w:val="•"/>
      <w:lvlJc w:val="left"/>
      <w:pPr>
        <w:ind w:left="4054" w:hanging="420"/>
      </w:pPr>
      <w:rPr>
        <w:rFonts w:hint="default"/>
      </w:rPr>
    </w:lvl>
    <w:lvl w:ilvl="5">
      <w:start w:val="0"/>
      <w:numFmt w:val="bullet"/>
      <w:lvlText w:val="•"/>
      <w:lvlJc w:val="left"/>
      <w:pPr>
        <w:ind w:left="4973" w:hanging="420"/>
      </w:pPr>
      <w:rPr>
        <w:rFonts w:hint="default"/>
      </w:rPr>
    </w:lvl>
    <w:lvl w:ilvl="6">
      <w:start w:val="0"/>
      <w:numFmt w:val="bullet"/>
      <w:lvlText w:val="•"/>
      <w:lvlJc w:val="left"/>
      <w:pPr>
        <w:ind w:left="5891" w:hanging="420"/>
      </w:pPr>
      <w:rPr>
        <w:rFonts w:hint="default"/>
      </w:rPr>
    </w:lvl>
    <w:lvl w:ilvl="7">
      <w:start w:val="0"/>
      <w:numFmt w:val="bullet"/>
      <w:lvlText w:val="•"/>
      <w:lvlJc w:val="left"/>
      <w:pPr>
        <w:ind w:left="6810" w:hanging="420"/>
      </w:pPr>
      <w:rPr>
        <w:rFonts w:hint="default"/>
      </w:rPr>
    </w:lvl>
    <w:lvl w:ilvl="8">
      <w:start w:val="0"/>
      <w:numFmt w:val="bullet"/>
      <w:lvlText w:val="•"/>
      <w:lvlJc w:val="left"/>
      <w:pPr>
        <w:ind w:left="7729" w:hanging="420"/>
      </w:pPr>
      <w:rPr>
        <w:rFonts w:hint="default"/>
      </w:rPr>
    </w:lvl>
  </w:abstractNum>
  <w:abstractNum w:abstractNumId="1">
    <w:multiLevelType w:val="hybridMultilevel"/>
    <w:lvl w:ilvl="0">
      <w:start w:val="6"/>
      <w:numFmt w:val="decimal"/>
      <w:lvlText w:val="%1"/>
      <w:lvlJc w:val="left"/>
      <w:pPr>
        <w:ind w:left="389" w:hanging="363"/>
        <w:jc w:val="left"/>
      </w:pPr>
      <w:rPr>
        <w:rFonts w:hint="default"/>
      </w:rPr>
    </w:lvl>
    <w:lvl w:ilvl="1">
      <w:start w:val="1"/>
      <w:numFmt w:val="decimal"/>
      <w:lvlText w:val="%1.%2"/>
      <w:lvlJc w:val="left"/>
      <w:pPr>
        <w:ind w:left="389" w:hanging="363"/>
        <w:jc w:val="left"/>
      </w:pPr>
      <w:rPr>
        <w:rFonts w:hint="default" w:ascii="SimSun" w:hAnsi="SimSun" w:eastAsia="SimSun" w:cs="SimSun"/>
        <w:spacing w:val="-12"/>
        <w:w w:val="100"/>
        <w:sz w:val="22"/>
        <w:szCs w:val="22"/>
      </w:rPr>
    </w:lvl>
    <w:lvl w:ilvl="2">
      <w:start w:val="0"/>
      <w:numFmt w:val="bullet"/>
      <w:lvlText w:val="•"/>
      <w:lvlJc w:val="left"/>
      <w:pPr>
        <w:ind w:left="2217" w:hanging="363"/>
      </w:pPr>
      <w:rPr>
        <w:rFonts w:hint="default"/>
      </w:rPr>
    </w:lvl>
    <w:lvl w:ilvl="3">
      <w:start w:val="0"/>
      <w:numFmt w:val="bullet"/>
      <w:lvlText w:val="•"/>
      <w:lvlJc w:val="left"/>
      <w:pPr>
        <w:ind w:left="3135" w:hanging="363"/>
      </w:pPr>
      <w:rPr>
        <w:rFonts w:hint="default"/>
      </w:rPr>
    </w:lvl>
    <w:lvl w:ilvl="4">
      <w:start w:val="0"/>
      <w:numFmt w:val="bullet"/>
      <w:lvlText w:val="•"/>
      <w:lvlJc w:val="left"/>
      <w:pPr>
        <w:ind w:left="4054" w:hanging="363"/>
      </w:pPr>
      <w:rPr>
        <w:rFonts w:hint="default"/>
      </w:rPr>
    </w:lvl>
    <w:lvl w:ilvl="5">
      <w:start w:val="0"/>
      <w:numFmt w:val="bullet"/>
      <w:lvlText w:val="•"/>
      <w:lvlJc w:val="left"/>
      <w:pPr>
        <w:ind w:left="4973" w:hanging="363"/>
      </w:pPr>
      <w:rPr>
        <w:rFonts w:hint="default"/>
      </w:rPr>
    </w:lvl>
    <w:lvl w:ilvl="6">
      <w:start w:val="0"/>
      <w:numFmt w:val="bullet"/>
      <w:lvlText w:val="•"/>
      <w:lvlJc w:val="left"/>
      <w:pPr>
        <w:ind w:left="5891" w:hanging="363"/>
      </w:pPr>
      <w:rPr>
        <w:rFonts w:hint="default"/>
      </w:rPr>
    </w:lvl>
    <w:lvl w:ilvl="7">
      <w:start w:val="0"/>
      <w:numFmt w:val="bullet"/>
      <w:lvlText w:val="•"/>
      <w:lvlJc w:val="left"/>
      <w:pPr>
        <w:ind w:left="6810" w:hanging="363"/>
      </w:pPr>
      <w:rPr>
        <w:rFonts w:hint="default"/>
      </w:rPr>
    </w:lvl>
    <w:lvl w:ilvl="8">
      <w:start w:val="0"/>
      <w:numFmt w:val="bullet"/>
      <w:lvlText w:val="•"/>
      <w:lvlJc w:val="left"/>
      <w:pPr>
        <w:ind w:left="7729" w:hanging="363"/>
      </w:pPr>
      <w:rPr>
        <w:rFonts w:hint="default"/>
      </w:rPr>
    </w:lvl>
  </w:abstractNum>
  <w:abstractNum w:abstractNumId="0">
    <w:multiLevelType w:val="hybridMultilevel"/>
    <w:lvl w:ilvl="0">
      <w:start w:val="2"/>
      <w:numFmt w:val="decimal"/>
      <w:lvlText w:val="%1"/>
      <w:lvlJc w:val="left"/>
      <w:pPr>
        <w:ind w:left="389" w:hanging="488"/>
        <w:jc w:val="left"/>
      </w:pPr>
      <w:rPr>
        <w:rFonts w:hint="default"/>
      </w:rPr>
    </w:lvl>
    <w:lvl w:ilvl="1">
      <w:start w:val="1"/>
      <w:numFmt w:val="decimal"/>
      <w:lvlText w:val="%1.%2"/>
      <w:lvlJc w:val="left"/>
      <w:pPr>
        <w:ind w:left="389" w:hanging="488"/>
        <w:jc w:val="left"/>
      </w:pPr>
      <w:rPr>
        <w:rFonts w:hint="default" w:ascii="SimSun" w:hAnsi="SimSun" w:eastAsia="SimSun" w:cs="SimSun"/>
        <w:w w:val="100"/>
        <w:sz w:val="24"/>
        <w:szCs w:val="24"/>
      </w:rPr>
    </w:lvl>
    <w:lvl w:ilvl="2">
      <w:start w:val="0"/>
      <w:numFmt w:val="bullet"/>
      <w:lvlText w:val="•"/>
      <w:lvlJc w:val="left"/>
      <w:pPr>
        <w:ind w:left="2217" w:hanging="488"/>
      </w:pPr>
      <w:rPr>
        <w:rFonts w:hint="default"/>
      </w:rPr>
    </w:lvl>
    <w:lvl w:ilvl="3">
      <w:start w:val="0"/>
      <w:numFmt w:val="bullet"/>
      <w:lvlText w:val="•"/>
      <w:lvlJc w:val="left"/>
      <w:pPr>
        <w:ind w:left="3135" w:hanging="488"/>
      </w:pPr>
      <w:rPr>
        <w:rFonts w:hint="default"/>
      </w:rPr>
    </w:lvl>
    <w:lvl w:ilvl="4">
      <w:start w:val="0"/>
      <w:numFmt w:val="bullet"/>
      <w:lvlText w:val="•"/>
      <w:lvlJc w:val="left"/>
      <w:pPr>
        <w:ind w:left="4054" w:hanging="488"/>
      </w:pPr>
      <w:rPr>
        <w:rFonts w:hint="default"/>
      </w:rPr>
    </w:lvl>
    <w:lvl w:ilvl="5">
      <w:start w:val="0"/>
      <w:numFmt w:val="bullet"/>
      <w:lvlText w:val="•"/>
      <w:lvlJc w:val="left"/>
      <w:pPr>
        <w:ind w:left="4973" w:hanging="488"/>
      </w:pPr>
      <w:rPr>
        <w:rFonts w:hint="default"/>
      </w:rPr>
    </w:lvl>
    <w:lvl w:ilvl="6">
      <w:start w:val="0"/>
      <w:numFmt w:val="bullet"/>
      <w:lvlText w:val="•"/>
      <w:lvlJc w:val="left"/>
      <w:pPr>
        <w:ind w:left="5891" w:hanging="488"/>
      </w:pPr>
      <w:rPr>
        <w:rFonts w:hint="default"/>
      </w:rPr>
    </w:lvl>
    <w:lvl w:ilvl="7">
      <w:start w:val="0"/>
      <w:numFmt w:val="bullet"/>
      <w:lvlText w:val="•"/>
      <w:lvlJc w:val="left"/>
      <w:pPr>
        <w:ind w:left="6810" w:hanging="488"/>
      </w:pPr>
      <w:rPr>
        <w:rFonts w:hint="default"/>
      </w:rPr>
    </w:lvl>
    <w:lvl w:ilvl="8">
      <w:start w:val="0"/>
      <w:numFmt w:val="bullet"/>
      <w:lvlText w:val="•"/>
      <w:lvlJc w:val="left"/>
      <w:pPr>
        <w:ind w:left="7729" w:hanging="488"/>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TOC1" w:type="paragraph">
    <w:name w:val="TOC 1"/>
    <w:basedOn w:val="Normal"/>
    <w:uiPriority w:val="1"/>
    <w:qFormat/>
    <w:pPr>
      <w:spacing w:before="64"/>
      <w:ind w:left="389"/>
    </w:pPr>
    <w:rPr>
      <w:rFonts w:ascii="Microsoft JhengHei" w:hAnsi="Microsoft JhengHei" w:eastAsia="Microsoft JhengHei" w:cs="Microsoft JhengHei"/>
      <w:b/>
      <w:bCs/>
      <w:sz w:val="20"/>
      <w:szCs w:val="20"/>
    </w:rPr>
  </w:style>
  <w:style w:styleId="TOC2" w:type="paragraph">
    <w:name w:val="TOC 2"/>
    <w:basedOn w:val="Normal"/>
    <w:uiPriority w:val="1"/>
    <w:qFormat/>
    <w:pPr>
      <w:spacing w:before="56"/>
      <w:ind w:left="600"/>
    </w:pPr>
    <w:rPr>
      <w:rFonts w:ascii="SimSun" w:hAnsi="SimSun" w:eastAsia="SimSun" w:cs="SimSun"/>
      <w:sz w:val="20"/>
      <w:szCs w:val="20"/>
    </w:rPr>
  </w:style>
  <w:style w:styleId="BodyText" w:type="paragraph">
    <w:name w:val="Body Text"/>
    <w:basedOn w:val="Normal"/>
    <w:uiPriority w:val="1"/>
    <w:qFormat/>
    <w:pPr/>
    <w:rPr>
      <w:rFonts w:ascii="SimSun" w:hAnsi="SimSun" w:eastAsia="SimSun" w:cs="SimSun"/>
      <w:sz w:val="24"/>
      <w:szCs w:val="24"/>
    </w:rPr>
  </w:style>
  <w:style w:styleId="Heading1" w:type="paragraph">
    <w:name w:val="Heading 1"/>
    <w:basedOn w:val="Normal"/>
    <w:uiPriority w:val="1"/>
    <w:qFormat/>
    <w:pPr>
      <w:spacing w:line="674" w:lineRule="exact"/>
      <w:ind w:left="2602"/>
      <w:outlineLvl w:val="1"/>
    </w:pPr>
    <w:rPr>
      <w:rFonts w:ascii="Microsoft JhengHei" w:hAnsi="Microsoft JhengHei" w:eastAsia="Microsoft JhengHei" w:cs="Microsoft JhengHei"/>
      <w:b/>
      <w:bCs/>
      <w:sz w:val="44"/>
      <w:szCs w:val="44"/>
    </w:rPr>
  </w:style>
  <w:style w:styleId="Heading2" w:type="paragraph">
    <w:name w:val="Heading 2"/>
    <w:basedOn w:val="Normal"/>
    <w:uiPriority w:val="1"/>
    <w:qFormat/>
    <w:pPr>
      <w:spacing w:line="510" w:lineRule="exact"/>
      <w:ind w:left="389"/>
      <w:outlineLvl w:val="2"/>
    </w:pPr>
    <w:rPr>
      <w:rFonts w:ascii="Microsoft JhengHei" w:hAnsi="Microsoft JhengHei" w:eastAsia="Microsoft JhengHei" w:cs="Microsoft JhengHei"/>
      <w:b/>
      <w:bCs/>
      <w:sz w:val="32"/>
      <w:szCs w:val="32"/>
    </w:rPr>
  </w:style>
  <w:style w:styleId="Heading3" w:type="paragraph">
    <w:name w:val="Heading 3"/>
    <w:basedOn w:val="Normal"/>
    <w:uiPriority w:val="1"/>
    <w:qFormat/>
    <w:pPr>
      <w:spacing w:before="16"/>
      <w:ind w:left="54"/>
      <w:jc w:val="center"/>
      <w:outlineLvl w:val="3"/>
    </w:pPr>
    <w:rPr>
      <w:rFonts w:ascii="Microsoft YaHei" w:hAnsi="Microsoft YaHei" w:eastAsia="Microsoft YaHei" w:cs="Microsoft YaHei"/>
      <w:sz w:val="32"/>
      <w:szCs w:val="32"/>
    </w:rPr>
  </w:style>
  <w:style w:styleId="Heading4" w:type="paragraph">
    <w:name w:val="Heading 4"/>
    <w:basedOn w:val="Normal"/>
    <w:uiPriority w:val="1"/>
    <w:qFormat/>
    <w:pPr>
      <w:spacing w:before="55"/>
      <w:ind w:left="364"/>
      <w:outlineLvl w:val="4"/>
    </w:pPr>
    <w:rPr>
      <w:rFonts w:ascii="Microsoft JhengHei" w:hAnsi="Microsoft JhengHei" w:eastAsia="Microsoft JhengHei" w:cs="Microsoft JhengHei"/>
      <w:b/>
      <w:bCs/>
      <w:sz w:val="30"/>
      <w:szCs w:val="30"/>
    </w:rPr>
  </w:style>
  <w:style w:styleId="Heading5" w:type="paragraph">
    <w:name w:val="Heading 5"/>
    <w:basedOn w:val="Normal"/>
    <w:uiPriority w:val="1"/>
    <w:qFormat/>
    <w:pPr>
      <w:spacing w:before="1"/>
      <w:ind w:left="389"/>
      <w:outlineLvl w:val="5"/>
    </w:pPr>
    <w:rPr>
      <w:rFonts w:ascii="Microsoft YaHei" w:hAnsi="Microsoft YaHei" w:eastAsia="Microsoft YaHei" w:cs="Microsoft YaHei"/>
      <w:sz w:val="30"/>
      <w:szCs w:val="30"/>
    </w:rPr>
  </w:style>
  <w:style w:styleId="Heading6" w:type="paragraph">
    <w:name w:val="Heading 6"/>
    <w:basedOn w:val="Normal"/>
    <w:uiPriority w:val="1"/>
    <w:qFormat/>
    <w:pPr>
      <w:spacing w:before="14"/>
      <w:ind w:left="1221"/>
      <w:outlineLvl w:val="6"/>
    </w:pPr>
    <w:rPr>
      <w:rFonts w:ascii="Microsoft YaHei" w:hAnsi="Microsoft YaHei" w:eastAsia="Microsoft YaHei" w:cs="Microsoft YaHei"/>
      <w:b/>
      <w:bCs/>
      <w:sz w:val="28"/>
      <w:szCs w:val="28"/>
    </w:rPr>
  </w:style>
  <w:style w:styleId="Heading7" w:type="paragraph">
    <w:name w:val="Heading 7"/>
    <w:basedOn w:val="Normal"/>
    <w:uiPriority w:val="1"/>
    <w:qFormat/>
    <w:pPr>
      <w:ind w:left="57"/>
      <w:outlineLvl w:val="7"/>
    </w:pPr>
    <w:rPr>
      <w:rFonts w:ascii="SimSun" w:hAnsi="SimSun" w:eastAsia="SimSun" w:cs="SimSun"/>
      <w:sz w:val="28"/>
      <w:szCs w:val="28"/>
    </w:rPr>
  </w:style>
  <w:style w:styleId="Heading8" w:type="paragraph">
    <w:name w:val="Heading 8"/>
    <w:basedOn w:val="Normal"/>
    <w:uiPriority w:val="1"/>
    <w:qFormat/>
    <w:pPr>
      <w:ind w:left="871"/>
      <w:outlineLvl w:val="8"/>
    </w:pPr>
    <w:rPr>
      <w:rFonts w:ascii="Microsoft JhengHei" w:hAnsi="Microsoft JhengHei" w:eastAsia="Microsoft JhengHei" w:cs="Microsoft JhengHei"/>
      <w:b/>
      <w:bCs/>
      <w:sz w:val="24"/>
      <w:szCs w:val="24"/>
    </w:rPr>
  </w:style>
  <w:style w:styleId="ListParagraph" w:type="paragraph">
    <w:name w:val="List Paragraph"/>
    <w:basedOn w:val="Normal"/>
    <w:uiPriority w:val="1"/>
    <w:qFormat/>
    <w:pPr>
      <w:ind w:left="389" w:firstLine="480"/>
    </w:pPr>
    <w:rPr>
      <w:rFonts w:ascii="SimSun" w:hAnsi="SimSun" w:eastAsia="SimSun" w:cs="SimSun"/>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creditchina.gov.cn/" TargetMode="External"/><Relationship Id="rId9" Type="http://schemas.openxmlformats.org/officeDocument/2006/relationships/hyperlink" Target="http://www.ccgp.gov.cn/" TargetMode="External"/><Relationship Id="rId10" Type="http://schemas.openxmlformats.org/officeDocument/2006/relationships/hyperlink" Target="http://ggzy.sqzwfw.gov.cn/"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2017-10-25T14:06:10Z</dcterms:created>
  <dcterms:modified xsi:type="dcterms:W3CDTF">2017-10-25T14:06:10Z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2017-10-25T00:00:00Z</vt:filetime>
  </property>
</Properties>
</file>