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/>
        <w:jc w:val="center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cs="宋体"/>
          <w:b/>
          <w:sz w:val="28"/>
          <w:szCs w:val="28"/>
          <w:highlight w:val="none"/>
          <w:lang w:eastAsia="zh-CN"/>
        </w:rPr>
        <w:t>天津大学PLC控制电缆等一批材料项目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竞争性磋商</w:t>
      </w: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公告</w:t>
      </w:r>
      <w:r>
        <w:rPr>
          <w:rFonts w:hint="eastAsia" w:ascii="宋体" w:hAnsi="宋体" w:eastAsia="宋体" w:cs="宋体"/>
          <w:b/>
          <w:sz w:val="28"/>
          <w:szCs w:val="24"/>
          <w:highlight w:val="none"/>
        </w:rPr>
        <w:t>(</w:t>
      </w:r>
      <w:r>
        <w:rPr>
          <w:rFonts w:hint="eastAsia" w:cs="宋体"/>
          <w:b/>
          <w:sz w:val="28"/>
          <w:szCs w:val="24"/>
          <w:highlight w:val="none"/>
          <w:lang w:eastAsia="zh-CN"/>
        </w:rPr>
        <w:t>TDZC2017W0010</w:t>
      </w:r>
      <w:r>
        <w:rPr>
          <w:rFonts w:hint="eastAsia" w:ascii="宋体" w:hAnsi="宋体" w:eastAsia="宋体" w:cs="宋体"/>
          <w:b/>
          <w:sz w:val="28"/>
          <w:szCs w:val="24"/>
          <w:highlight w:val="none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北京国金管理咨询有限公司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受天津大学委托，根据《中华人民共和国政府采购法》等有关规定，现对</w:t>
      </w:r>
      <w:r>
        <w:rPr>
          <w:rFonts w:hint="eastAsia" w:cs="宋体"/>
          <w:color w:val="000000"/>
          <w:sz w:val="24"/>
          <w:szCs w:val="24"/>
          <w:highlight w:val="none"/>
          <w:lang w:eastAsia="zh-CN"/>
        </w:rPr>
        <w:t>天津大学PLC控制电缆等一批材料项目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进行竞争性磋商招标，欢迎合格的供应商前来投标。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highlight w:val="none"/>
        </w:rPr>
        <w:t>项目名称：</w:t>
      </w:r>
      <w:r>
        <w:rPr>
          <w:rFonts w:hint="eastAsia" w:cs="宋体"/>
          <w:color w:val="000000"/>
          <w:sz w:val="24"/>
          <w:szCs w:val="24"/>
          <w:highlight w:val="none"/>
          <w:lang w:eastAsia="zh-CN"/>
        </w:rPr>
        <w:t>天津大学PLC控制电缆等一批材料项目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highlight w:val="none"/>
        </w:rPr>
        <w:t>项目编号：</w:t>
      </w:r>
      <w:r>
        <w:rPr>
          <w:rFonts w:hint="eastAsia" w:cs="宋体"/>
          <w:color w:val="000000"/>
          <w:sz w:val="24"/>
          <w:szCs w:val="24"/>
          <w:highlight w:val="none"/>
          <w:lang w:eastAsia="zh-CN"/>
        </w:rPr>
        <w:t>TDZC2017W0010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 w:right="0" w:rightChars="0"/>
        <w:textAlignment w:val="baseline"/>
        <w:outlineLvl w:val="9"/>
        <w:rPr>
          <w:rStyle w:val="4"/>
          <w:rFonts w:hint="eastAsia" w:ascii="宋体" w:hAnsi="宋体" w:eastAsia="宋体" w:cs="宋体"/>
          <w:bCs w:val="0"/>
          <w:color w:val="000000"/>
          <w:sz w:val="24"/>
          <w:szCs w:val="24"/>
          <w:highlight w:val="none"/>
        </w:rPr>
      </w:pPr>
      <w:r>
        <w:rPr>
          <w:rStyle w:val="4"/>
          <w:rFonts w:hint="eastAsia" w:ascii="宋体" w:hAnsi="宋体" w:eastAsia="宋体" w:cs="宋体"/>
          <w:bCs w:val="0"/>
          <w:color w:val="000000"/>
          <w:sz w:val="24"/>
          <w:szCs w:val="24"/>
          <w:highlight w:val="none"/>
        </w:rPr>
        <w:t>采购代理机构联系方式：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 w:right="0" w:rightChars="0"/>
        <w:textAlignment w:val="baseline"/>
        <w:outlineLvl w:val="9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采购代理机构：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北京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国金管理咨询有限公司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 w:right="0" w:rightChars="0"/>
        <w:textAlignment w:val="baseline"/>
        <w:outlineLvl w:val="9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采购代理机构地址：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天津市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河东区新开路冠幅大厦1408室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 w:right="0" w:rightChars="0"/>
        <w:textAlignment w:val="baseline"/>
        <w:outlineLvl w:val="9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采购代理机构联系人：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于工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 w:right="0" w:rightChars="0"/>
        <w:textAlignment w:val="baseline"/>
        <w:outlineLvl w:val="9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采购代理机构联系电话：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022-24414892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 w:right="0" w:rightChars="0"/>
        <w:textAlignment w:val="baseline"/>
        <w:outlineLvl w:val="9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highlight w:val="none"/>
        </w:rPr>
        <w:t>采购单位联系方式：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 w:right="0" w:rightChars="0"/>
        <w:textAlignment w:val="baseline"/>
        <w:outlineLvl w:val="9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采购单位：天津大学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 w:right="0" w:rightChars="0"/>
        <w:textAlignment w:val="baseline"/>
        <w:outlineLvl w:val="9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采购单位地址：天津市南开区卫津路92号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 w:right="0" w:rightChars="0"/>
        <w:textAlignment w:val="baseline"/>
        <w:outlineLvl w:val="9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采购单位联系人：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刘老师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（招标办）；孟老师（资产处）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 w:right="0" w:rightChars="0"/>
        <w:textAlignment w:val="baseline"/>
        <w:outlineLvl w:val="9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采购单位联系电话：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022-27407584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 xml:space="preserve">     022-27406282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highlight w:val="none"/>
        </w:rPr>
        <w:t>一、采购项目的名称、数量、简要规格描述或项目基本概况介绍：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cs="宋体"/>
          <w:color w:val="000000"/>
          <w:sz w:val="24"/>
          <w:szCs w:val="24"/>
          <w:highlight w:val="none"/>
          <w:lang w:eastAsia="zh-CN"/>
        </w:rPr>
        <w:t>PLC控制电缆，3000米；网络通讯缆，3000米；网络通讯接口，3件；PLC CPU、电源模块、存储卡，4套；PLC  IO卡件，50件；PLC AI/AO模块，20件；PLC 通讯组件，6件；电控系统整体安装调试、测试，3套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，采购需求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详见招标文件</w:t>
      </w:r>
      <w:r>
        <w:rPr>
          <w:rFonts w:hint="eastAsia" w:cs="宋体"/>
          <w:color w:val="000000"/>
          <w:sz w:val="24"/>
          <w:szCs w:val="24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highlight w:val="none"/>
        </w:rPr>
        <w:t>二、对供应商资格要求（供应商资格条件）: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1、具有独立承担民事责任的能力；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2、具有良好的商业信誉和健全的财务会计制度；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3、具有履行合同所必需的设备和专业技术能力；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4、具有依法缴纳税收和社会保障资金的良好记录；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5、参加此项采购活动前三年内，在经营活动中没有重大违约、违法记录；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6、本项目不接受联合体投标。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highlight w:val="none"/>
        </w:rPr>
        <w:t>三、磋商和响应文件时间及地点等: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预算金额：</w:t>
      </w:r>
      <w:r>
        <w:rPr>
          <w:rFonts w:hint="eastAsia" w:cs="宋体"/>
          <w:color w:val="000000"/>
          <w:sz w:val="24"/>
          <w:szCs w:val="24"/>
          <w:highlight w:val="none"/>
          <w:lang w:eastAsia="zh-CN"/>
        </w:rPr>
        <w:t>86.7603万元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（人民币）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磋商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时间：</w:t>
      </w:r>
      <w:r>
        <w:rPr>
          <w:rFonts w:hint="eastAsia" w:cs="宋体"/>
          <w:color w:val="000000"/>
          <w:sz w:val="24"/>
          <w:szCs w:val="24"/>
          <w:highlight w:val="none"/>
          <w:lang w:eastAsia="zh-CN"/>
        </w:rPr>
        <w:t>2017年11月16日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cs="宋体"/>
          <w:color w:val="000000"/>
          <w:sz w:val="24"/>
          <w:szCs w:val="24"/>
          <w:highlight w:val="non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:</w:t>
      </w:r>
      <w:r>
        <w:rPr>
          <w:rFonts w:hint="eastAsia" w:cs="宋体"/>
          <w:color w:val="00000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0时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获取磋商文件时间：</w:t>
      </w:r>
      <w:r>
        <w:rPr>
          <w:rFonts w:hint="eastAsia" w:cs="宋体"/>
          <w:color w:val="000000"/>
          <w:sz w:val="24"/>
          <w:szCs w:val="24"/>
          <w:highlight w:val="none"/>
          <w:lang w:eastAsia="zh-CN"/>
        </w:rPr>
        <w:t>2017年10月30日 09:30时至2017年11月3日 17:00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时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(双休日及法定节假日除外)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获取磋商文件地点：天津市河东区新开路冠福大厦1408室获取。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获取磋商文件方式：现场获取，报名时须携带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营业执照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副本原件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法定代表人证明书原件及法定代表人身份证或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法定代表人授权委托书原件及授权代表身份证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及以上材料的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复印件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加盖公章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磋商文件售价：</w:t>
      </w:r>
      <w:r>
        <w:rPr>
          <w:rFonts w:hint="eastAsia" w:cs="宋体"/>
          <w:color w:val="000000"/>
          <w:sz w:val="24"/>
          <w:szCs w:val="24"/>
          <w:highlight w:val="none"/>
          <w:lang w:val="en-US" w:eastAsia="zh-CN"/>
        </w:rPr>
        <w:t>500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元（人民币）</w:t>
      </w:r>
      <w:r>
        <w:rPr>
          <w:rFonts w:hint="eastAsia" w:cs="宋体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cs="宋体"/>
          <w:color w:val="000000"/>
          <w:sz w:val="24"/>
          <w:szCs w:val="24"/>
          <w:highlight w:val="none"/>
          <w:lang w:val="en-US" w:eastAsia="zh-CN"/>
        </w:rPr>
        <w:t>售后不退。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响应文件递交时间：</w:t>
      </w:r>
      <w:r>
        <w:rPr>
          <w:rFonts w:hint="eastAsia" w:cs="宋体"/>
          <w:color w:val="000000"/>
          <w:sz w:val="24"/>
          <w:szCs w:val="24"/>
          <w:highlight w:val="none"/>
          <w:lang w:eastAsia="zh-CN"/>
        </w:rPr>
        <w:t>2017年11月16日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cs="宋体"/>
          <w:color w:val="000000"/>
          <w:sz w:val="24"/>
          <w:szCs w:val="24"/>
          <w:highlight w:val="non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:</w:t>
      </w:r>
      <w:r>
        <w:rPr>
          <w:rFonts w:hint="eastAsia" w:cs="宋体"/>
          <w:color w:val="000000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0时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至</w:t>
      </w:r>
      <w:r>
        <w:rPr>
          <w:rFonts w:hint="eastAsia" w:cs="宋体"/>
          <w:color w:val="000000"/>
          <w:sz w:val="24"/>
          <w:szCs w:val="24"/>
          <w:highlight w:val="non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:</w:t>
      </w:r>
      <w:r>
        <w:rPr>
          <w:rFonts w:hint="eastAsia" w:cs="宋体"/>
          <w:color w:val="00000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0时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响应文件递交地点：</w:t>
      </w:r>
      <w:r>
        <w:rPr>
          <w:rFonts w:hint="eastAsia" w:cs="宋体"/>
          <w:color w:val="000000"/>
          <w:sz w:val="24"/>
          <w:szCs w:val="24"/>
          <w:highlight w:val="none"/>
          <w:lang w:eastAsia="zh-CN"/>
        </w:rPr>
        <w:t>天津大学北洋园校区行政服务中心A118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响应文件开启时间：</w:t>
      </w:r>
      <w:r>
        <w:rPr>
          <w:rFonts w:hint="eastAsia" w:cs="宋体"/>
          <w:color w:val="000000"/>
          <w:sz w:val="24"/>
          <w:szCs w:val="24"/>
          <w:highlight w:val="none"/>
          <w:lang w:eastAsia="zh-CN"/>
        </w:rPr>
        <w:t>2017年11月16日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cs="宋体"/>
          <w:color w:val="000000"/>
          <w:sz w:val="24"/>
          <w:szCs w:val="24"/>
          <w:highlight w:val="non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:</w:t>
      </w:r>
      <w:r>
        <w:rPr>
          <w:rFonts w:hint="eastAsia" w:cs="宋体"/>
          <w:color w:val="00000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0时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响应文件开启地点：</w:t>
      </w:r>
      <w:r>
        <w:rPr>
          <w:rFonts w:hint="eastAsia" w:cs="宋体"/>
          <w:color w:val="000000"/>
          <w:sz w:val="24"/>
          <w:szCs w:val="24"/>
          <w:highlight w:val="none"/>
          <w:lang w:eastAsia="zh-CN"/>
        </w:rPr>
        <w:t>天津大学北洋园校区行政服务中心A118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highlight w:val="none"/>
        </w:rPr>
        <w:t>四、其它补充事宜：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highlight w:val="none"/>
        </w:rPr>
        <w:t>五、项目联系方式：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项目联系人：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于工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项目联系电话：022-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24414892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highlight w:val="none"/>
        </w:rPr>
        <w:t>六、采购项目需要落实的政府采购政策：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1. 根据财政部发布的《政府采购促进中小企业发展暂行办法》规定，本项目对小型和微型企业产品的价格给予6%的扣除。小微企业以投标人填写的《中小企业声明函》及国家企业信用信息公示系统的公示内容为判定标准，否则不予</w:t>
      </w:r>
      <w:r>
        <w:rPr>
          <w:rFonts w:hint="eastAsia" w:ascii="宋体" w:hAnsi="宋体" w:eastAsia="宋体" w:cs="宋体"/>
          <w:kern w:val="0"/>
          <w:sz w:val="24"/>
          <w:szCs w:val="24"/>
        </w:rPr>
        <w:t>认定。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 根据财政部发布的《关于政府采购支持监狱企业发展有关问题的通知》规定，本项目对监狱企业产品的价格给予6%的扣除。监狱企业须投标人提供由省级以上监狱管理局、戒毒管理局（含新疆生产建设兵团）出具的属于监狱企业的证明文件，否则不予认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 按照现行《财政部、国家发展改革委关于调整节能产品政府采购清单的通知》文件要求，对政府采购清单中的节能产品采用优先采购和强制采购的评标方法。按照现行《财政部、环保部关于调整环境标志产品政府采购清单的通知》文件要求，对政府采购清单中的环境标志产品采用优先采购的评标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480" w:firstLineChars="200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 xml:space="preserve"> 根据财库〔2017〕141号文件，残疾人福利性单位视同小型、微型企业，享受预留份额、评审中价格扣除等促进中小企业发展的政府采购政策。本项目对残疾人福利性单位的价格给予6%的扣除。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残疾人福利性单位属于小型、微型企业的，不重复享受政策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60" w:lineRule="exact"/>
        <w:ind w:left="0" w:leftChars="0" w:right="0" w:rightChars="0" w:firstLine="480" w:firstLineChars="200"/>
        <w:jc w:val="left"/>
        <w:textAlignment w:val="baseline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5. 按照《财政部关于在政府采购活动中查询及使用信用记录有关问题的通知》</w:t>
      </w:r>
      <w:r>
        <w:rPr>
          <w:rFonts w:hint="eastAsia" w:ascii="宋体" w:hAnsi="宋体" w:eastAsia="宋体" w:cs="宋体"/>
          <w:kern w:val="0"/>
          <w:sz w:val="24"/>
          <w:szCs w:val="24"/>
        </w:rPr>
        <w:t>（财库〔2016〕125号）的要求，根据开标当日“信用中国”网站（www.creditchina.gov.cn）、中国政府采购网（www.ccgp.gov.cn）的信息，对列入失信被执行人、重大税收违法案件当事人名单、政府采购严重违法失信行为记录名单及其他不符合《中华人民共和国政府采购法》第二十二条规定条件的供应商，拒绝参与政府采购活动，同时对信用信息查询记录和证据进行打印存档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60" w:lineRule="exact"/>
        <w:ind w:left="0" w:leftChars="0" w:right="0" w:rightChars="0" w:firstLine="480" w:firstLineChars="200"/>
        <w:jc w:val="left"/>
        <w:textAlignment w:val="baseline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60" w:lineRule="exact"/>
        <w:ind w:left="0" w:leftChars="0" w:right="0" w:rightChars="0" w:firstLine="480" w:firstLineChars="200"/>
        <w:jc w:val="left"/>
        <w:textAlignment w:val="baseline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60" w:lineRule="exact"/>
        <w:ind w:left="0" w:leftChars="0" w:right="0" w:rightChars="0" w:firstLine="480" w:firstLineChars="200"/>
        <w:jc w:val="left"/>
        <w:textAlignment w:val="baseline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/>
        <w:jc w:val="righ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天津大学招投标管理办公室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/>
        <w:jc w:val="righ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北京国金管理咨询有限公司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/>
        <w:jc w:val="right"/>
        <w:rPr>
          <w:rFonts w:hint="eastAsia" w:ascii="宋体" w:hAnsi="宋体" w:eastAsia="宋体" w:cs="宋体"/>
          <w:kern w:val="0"/>
          <w:sz w:val="24"/>
          <w:szCs w:val="24"/>
          <w:highlight w:val="none"/>
          <w:lang w:eastAsia="zh-CN"/>
        </w:rPr>
      </w:pPr>
      <w:r>
        <w:rPr>
          <w:rFonts w:hint="eastAsia" w:cs="宋体"/>
          <w:kern w:val="0"/>
          <w:sz w:val="24"/>
          <w:szCs w:val="24"/>
          <w:lang w:eastAsia="zh-CN"/>
        </w:rPr>
        <w:t>2017年10月27日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leftChars="0"/>
        <w:textAlignment w:val="baseline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240"/>
        <w:jc w:val="both"/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..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im 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lotter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全真中明體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Garamond">
    <w:altName w:val="RomanS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¿¬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Optimum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ip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?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.......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宋体_壵.烩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44375"/>
    <w:rsid w:val="584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after="150"/>
      <w:jc w:val="left"/>
    </w:pPr>
    <w:rPr>
      <w:rFonts w:cs="宋体"/>
      <w:color w:val="auto"/>
      <w:kern w:val="0"/>
      <w:sz w:val="24"/>
      <w:szCs w:val="24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2017-10-27T06:49:00Z</dcterms:created>
  <dc:creator>Administrator</dc:creator>
  <cp:lastModifiedBy>Administrator</cp:lastModifiedBy>
  <dcterms:modified xsi:type="dcterms:W3CDTF">2017-10-27T06:49:17Z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