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97" w:rsidRDefault="00CD6597" w:rsidP="00CD6597">
      <w:pPr>
        <w:pStyle w:val="a5"/>
      </w:pPr>
      <w:bookmarkStart w:id="0" w:name="_Toc445795166"/>
      <w:bookmarkStart w:id="1" w:name="_Toc445795507"/>
      <w:bookmarkStart w:id="2" w:name="_Toc451431042"/>
      <w:bookmarkStart w:id="3" w:name="_Toc28050"/>
      <w:bookmarkStart w:id="4" w:name="_Toc441657614"/>
      <w:bookmarkStart w:id="5" w:name="_Toc445794992"/>
      <w:r>
        <w:rPr>
          <w:rFonts w:cs="宋体" w:hint="eastAsia"/>
        </w:rPr>
        <w:t>附表：</w:t>
      </w:r>
      <w:r>
        <w:rPr>
          <w:rFonts w:cs="宋体" w:hint="eastAsia"/>
        </w:rPr>
        <w:t xml:space="preserve">                                      </w:t>
      </w:r>
      <w:r>
        <w:rPr>
          <w:rFonts w:ascii="宋体" w:hAnsi="宋体" w:cs="宋体" w:hint="eastAsia"/>
          <w:b/>
          <w:sz w:val="30"/>
          <w:szCs w:val="30"/>
        </w:rPr>
        <w:t>包件划分情况表</w:t>
      </w:r>
      <w:bookmarkEnd w:id="0"/>
      <w:bookmarkEnd w:id="1"/>
      <w:bookmarkEnd w:id="2"/>
      <w:bookmarkEnd w:id="3"/>
      <w:bookmarkEnd w:id="4"/>
      <w:bookmarkEnd w:id="5"/>
    </w:p>
    <w:tbl>
      <w:tblPr>
        <w:tblW w:w="13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1282"/>
        <w:gridCol w:w="3132"/>
        <w:gridCol w:w="1567"/>
        <w:gridCol w:w="711"/>
        <w:gridCol w:w="997"/>
        <w:gridCol w:w="711"/>
        <w:gridCol w:w="997"/>
        <w:gridCol w:w="1139"/>
        <w:gridCol w:w="2135"/>
      </w:tblGrid>
      <w:tr w:rsidR="00CD6597" w:rsidTr="00CD6597">
        <w:trPr>
          <w:trHeight w:val="308"/>
        </w:trPr>
        <w:tc>
          <w:tcPr>
            <w:tcW w:w="929"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包件号</w:t>
            </w:r>
          </w:p>
        </w:tc>
        <w:tc>
          <w:tcPr>
            <w:tcW w:w="1282"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产品名称</w:t>
            </w:r>
          </w:p>
        </w:tc>
        <w:tc>
          <w:tcPr>
            <w:tcW w:w="3132"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规格型号</w:t>
            </w:r>
          </w:p>
        </w:tc>
        <w:tc>
          <w:tcPr>
            <w:tcW w:w="1567"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质量标准</w:t>
            </w:r>
          </w:p>
        </w:tc>
        <w:tc>
          <w:tcPr>
            <w:tcW w:w="711"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计量单位</w:t>
            </w:r>
          </w:p>
        </w:tc>
        <w:tc>
          <w:tcPr>
            <w:tcW w:w="997"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数量</w:t>
            </w:r>
          </w:p>
        </w:tc>
        <w:tc>
          <w:tcPr>
            <w:tcW w:w="711"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到站</w:t>
            </w:r>
          </w:p>
        </w:tc>
        <w:tc>
          <w:tcPr>
            <w:tcW w:w="997"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收货人</w:t>
            </w:r>
          </w:p>
        </w:tc>
        <w:tc>
          <w:tcPr>
            <w:tcW w:w="1139" w:type="dxa"/>
          </w:tcPr>
          <w:p w:rsidR="00CD6597" w:rsidRDefault="00CD6597" w:rsidP="009A03C7">
            <w:pPr>
              <w:jc w:val="center"/>
              <w:rPr>
                <w:rFonts w:ascii="宋体" w:hAnsi="宋体" w:cs="宋体"/>
                <w:color w:val="000000" w:themeColor="text1"/>
              </w:rPr>
            </w:pPr>
            <w:r>
              <w:rPr>
                <w:rFonts w:ascii="宋体" w:hAnsi="宋体" w:cs="宋体" w:hint="eastAsia"/>
                <w:color w:val="000000" w:themeColor="text1"/>
              </w:rPr>
              <w:t>包件售价</w:t>
            </w:r>
          </w:p>
          <w:p w:rsidR="00CD6597" w:rsidRDefault="00CD6597" w:rsidP="009A03C7">
            <w:pPr>
              <w:jc w:val="center"/>
              <w:rPr>
                <w:rFonts w:ascii="宋体"/>
                <w:color w:val="000000" w:themeColor="text1"/>
              </w:rPr>
            </w:pPr>
            <w:r>
              <w:rPr>
                <w:rFonts w:ascii="宋体" w:hAnsi="宋体" w:cs="宋体" w:hint="eastAsia"/>
                <w:color w:val="000000" w:themeColor="text1"/>
              </w:rPr>
              <w:t>（元）</w:t>
            </w:r>
          </w:p>
        </w:tc>
        <w:tc>
          <w:tcPr>
            <w:tcW w:w="2135" w:type="dxa"/>
            <w:vAlign w:val="center"/>
          </w:tcPr>
          <w:p w:rsidR="00CD6597" w:rsidRDefault="00CD6597" w:rsidP="009A03C7">
            <w:pPr>
              <w:jc w:val="center"/>
              <w:rPr>
                <w:rFonts w:ascii="宋体"/>
                <w:color w:val="000000" w:themeColor="text1"/>
              </w:rPr>
            </w:pPr>
            <w:r>
              <w:rPr>
                <w:rFonts w:ascii="宋体" w:hAnsi="宋体" w:cs="宋体" w:hint="eastAsia"/>
                <w:color w:val="000000" w:themeColor="text1"/>
              </w:rPr>
              <w:t>备注</w:t>
            </w:r>
          </w:p>
        </w:tc>
      </w:tr>
      <w:tr w:rsidR="00CD6597" w:rsidTr="00CD6597">
        <w:trPr>
          <w:trHeight w:val="308"/>
        </w:trPr>
        <w:tc>
          <w:tcPr>
            <w:tcW w:w="929"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DL-1</w:t>
            </w:r>
          </w:p>
        </w:tc>
        <w:tc>
          <w:tcPr>
            <w:tcW w:w="1282"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箱式电抗器</w:t>
            </w:r>
          </w:p>
        </w:tc>
        <w:tc>
          <w:tcPr>
            <w:tcW w:w="3132"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BKS-38/10</w:t>
            </w:r>
          </w:p>
        </w:tc>
        <w:tc>
          <w:tcPr>
            <w:tcW w:w="1567"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GB10229-88</w:t>
            </w:r>
          </w:p>
        </w:tc>
        <w:tc>
          <w:tcPr>
            <w:tcW w:w="711"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台</w:t>
            </w:r>
          </w:p>
        </w:tc>
        <w:tc>
          <w:tcPr>
            <w:tcW w:w="997"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12</w:t>
            </w:r>
          </w:p>
        </w:tc>
        <w:tc>
          <w:tcPr>
            <w:tcW w:w="711" w:type="dxa"/>
            <w:vMerge w:val="restart"/>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田师府施工现场</w:t>
            </w:r>
          </w:p>
        </w:tc>
        <w:tc>
          <w:tcPr>
            <w:tcW w:w="997" w:type="dxa"/>
            <w:vMerge w:val="restart"/>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中铁九局电务公司田桓项目部</w:t>
            </w:r>
          </w:p>
        </w:tc>
        <w:tc>
          <w:tcPr>
            <w:tcW w:w="1139" w:type="dxa"/>
            <w:vAlign w:val="center"/>
          </w:tcPr>
          <w:p w:rsidR="00CD6597" w:rsidRPr="00287DE2" w:rsidRDefault="00CD6597" w:rsidP="009A03C7">
            <w:pPr>
              <w:spacing w:line="440" w:lineRule="exact"/>
              <w:jc w:val="center"/>
              <w:rPr>
                <w:rFonts w:ascii="宋体" w:hAnsi="宋体" w:cs="宋体"/>
                <w:sz w:val="18"/>
                <w:szCs w:val="18"/>
              </w:rPr>
            </w:pPr>
            <w:r w:rsidRPr="00287DE2">
              <w:rPr>
                <w:rFonts w:ascii="宋体" w:hAnsi="宋体" w:cs="宋体" w:hint="eastAsia"/>
                <w:sz w:val="18"/>
                <w:szCs w:val="18"/>
              </w:rPr>
              <w:t>500.00</w:t>
            </w:r>
          </w:p>
        </w:tc>
        <w:tc>
          <w:tcPr>
            <w:tcW w:w="2135" w:type="dxa"/>
            <w:vAlign w:val="center"/>
          </w:tcPr>
          <w:p w:rsidR="00CD6597" w:rsidRDefault="00CD6597" w:rsidP="00CD6597">
            <w:pPr>
              <w:jc w:val="center"/>
              <w:rPr>
                <w:rFonts w:ascii="宋体" w:hAnsi="宋体" w:cs="宋体"/>
                <w:color w:val="000000" w:themeColor="text1"/>
              </w:rPr>
            </w:pPr>
            <w:r>
              <w:rPr>
                <w:rFonts w:ascii="宋体" w:hAnsi="宋体" w:cs="宋体" w:hint="eastAsia"/>
                <w:sz w:val="18"/>
                <w:szCs w:val="18"/>
              </w:rPr>
              <w:t>具体参数根据图纸,箱内采用普通电缆头接引</w:t>
            </w:r>
          </w:p>
        </w:tc>
      </w:tr>
      <w:tr w:rsidR="00CD6597" w:rsidTr="00CD6597">
        <w:trPr>
          <w:trHeight w:val="308"/>
        </w:trPr>
        <w:tc>
          <w:tcPr>
            <w:tcW w:w="929" w:type="dxa"/>
            <w:vMerge w:val="restart"/>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DL-</w:t>
            </w:r>
            <w:r>
              <w:rPr>
                <w:rFonts w:ascii="宋体" w:hAnsi="宋体" w:cs="宋体" w:hint="eastAsia"/>
                <w:sz w:val="18"/>
                <w:szCs w:val="18"/>
              </w:rPr>
              <w:t>2</w:t>
            </w: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VV22-0.6/1KV-3*240+1*120mm2</w:t>
            </w:r>
          </w:p>
        </w:tc>
        <w:tc>
          <w:tcPr>
            <w:tcW w:w="1567" w:type="dxa"/>
            <w:vMerge w:val="restart"/>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GB/T12706-2008</w:t>
            </w:r>
          </w:p>
        </w:tc>
        <w:tc>
          <w:tcPr>
            <w:tcW w:w="711" w:type="dxa"/>
            <w:vAlign w:val="center"/>
          </w:tcPr>
          <w:p w:rsidR="00CD6597" w:rsidRPr="00287DE2" w:rsidRDefault="00CD6597" w:rsidP="00CD6597">
            <w:pPr>
              <w:jc w:val="center"/>
              <w:rPr>
                <w:rFonts w:ascii="宋体" w:hAnsi="宋体" w:cs="宋体"/>
                <w:sz w:val="18"/>
                <w:szCs w:val="18"/>
              </w:rPr>
            </w:pPr>
            <w:r>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285</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restart"/>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500.00</w:t>
            </w: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VV22-0.6/1KV-3*185+1*95mm2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270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VV22-0.6/1KV-3*120+1*70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140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VV22-0.6/1KV-3*35+1*16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620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NH-VV22-0.6/1KV-3*35+1*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320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w:t>
            </w:r>
            <w:r>
              <w:rPr>
                <w:rFonts w:ascii="宋体" w:hAnsi="宋体" w:cs="宋体" w:hint="eastAsia"/>
                <w:sz w:val="18"/>
                <w:szCs w:val="18"/>
              </w:rPr>
              <w:t>-</w:t>
            </w:r>
            <w:r w:rsidRPr="00287DE2">
              <w:rPr>
                <w:rFonts w:ascii="宋体" w:hAnsi="宋体" w:cs="宋体" w:hint="eastAsia"/>
                <w:sz w:val="18"/>
                <w:szCs w:val="18"/>
              </w:rPr>
              <w:t>0.6/1KV--3*25+2*16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870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VV22-0.6/1KV-3*25+1*16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660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VV22-0.6/1KV-4*16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2780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VV22-0.6/1KV-3*16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190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VV22-0.6/1KV-4*6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190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VV22-0.6/1KV-3*6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230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VV22-0.6/1KV-2*10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50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低压电缆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VV22-0.6/1KV-2*6 mm2</w:t>
            </w:r>
          </w:p>
        </w:tc>
        <w:tc>
          <w:tcPr>
            <w:tcW w:w="1567" w:type="dxa"/>
            <w:vMerge/>
          </w:tcPr>
          <w:p w:rsidR="00CD6597" w:rsidRPr="001318A6" w:rsidRDefault="00CD6597" w:rsidP="00CD6597"/>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1000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r w:rsidR="00CD6597" w:rsidTr="00CD6597">
        <w:trPr>
          <w:trHeight w:val="308"/>
        </w:trPr>
        <w:tc>
          <w:tcPr>
            <w:tcW w:w="929" w:type="dxa"/>
            <w:vMerge/>
            <w:vAlign w:val="center"/>
          </w:tcPr>
          <w:p w:rsidR="00CD6597" w:rsidRPr="00287DE2" w:rsidRDefault="00CD6597" w:rsidP="00CD6597">
            <w:pPr>
              <w:jc w:val="center"/>
              <w:rPr>
                <w:rFonts w:ascii="宋体" w:hAnsi="宋体" w:cs="宋体"/>
                <w:sz w:val="18"/>
                <w:szCs w:val="18"/>
              </w:rPr>
            </w:pPr>
          </w:p>
        </w:tc>
        <w:tc>
          <w:tcPr>
            <w:tcW w:w="128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控制电缆</w:t>
            </w:r>
          </w:p>
        </w:tc>
        <w:tc>
          <w:tcPr>
            <w:tcW w:w="3132"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KVV22-450/750V-4*2.5 mm2</w:t>
            </w:r>
          </w:p>
        </w:tc>
        <w:tc>
          <w:tcPr>
            <w:tcW w:w="156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hint="eastAsia"/>
                <w:sz w:val="18"/>
                <w:szCs w:val="18"/>
              </w:rPr>
              <w:t>GB/T9330-2008</w:t>
            </w:r>
          </w:p>
        </w:tc>
        <w:tc>
          <w:tcPr>
            <w:tcW w:w="711" w:type="dxa"/>
            <w:vAlign w:val="center"/>
          </w:tcPr>
          <w:p w:rsidR="00CD6597" w:rsidRDefault="00CD6597" w:rsidP="00CD6597">
            <w:pPr>
              <w:jc w:val="center"/>
            </w:pPr>
            <w:r w:rsidRPr="003E30FA">
              <w:rPr>
                <w:rFonts w:ascii="宋体" w:hAnsi="宋体" w:cs="宋体" w:hint="eastAsia"/>
                <w:sz w:val="18"/>
                <w:szCs w:val="18"/>
              </w:rPr>
              <w:t>米</w:t>
            </w:r>
          </w:p>
        </w:tc>
        <w:tc>
          <w:tcPr>
            <w:tcW w:w="997" w:type="dxa"/>
            <w:vAlign w:val="center"/>
          </w:tcPr>
          <w:p w:rsidR="00CD6597" w:rsidRPr="00287DE2" w:rsidRDefault="00CD6597" w:rsidP="00CD6597">
            <w:pPr>
              <w:jc w:val="center"/>
              <w:rPr>
                <w:rFonts w:ascii="宋体" w:hAnsi="宋体" w:cs="宋体"/>
                <w:sz w:val="18"/>
                <w:szCs w:val="18"/>
              </w:rPr>
            </w:pPr>
            <w:r w:rsidRPr="00287DE2">
              <w:rPr>
                <w:rFonts w:ascii="宋体" w:hAnsi="宋体" w:cs="宋体"/>
                <w:sz w:val="18"/>
                <w:szCs w:val="18"/>
              </w:rPr>
              <w:t>3160</w:t>
            </w:r>
          </w:p>
        </w:tc>
        <w:tc>
          <w:tcPr>
            <w:tcW w:w="711" w:type="dxa"/>
            <w:vMerge/>
            <w:vAlign w:val="center"/>
          </w:tcPr>
          <w:p w:rsidR="00CD6597" w:rsidRPr="00287DE2" w:rsidRDefault="00CD6597" w:rsidP="00CD6597">
            <w:pPr>
              <w:jc w:val="center"/>
              <w:rPr>
                <w:rFonts w:ascii="宋体" w:hAnsi="宋体" w:cs="宋体"/>
                <w:sz w:val="18"/>
                <w:szCs w:val="18"/>
              </w:rPr>
            </w:pPr>
          </w:p>
        </w:tc>
        <w:tc>
          <w:tcPr>
            <w:tcW w:w="997" w:type="dxa"/>
            <w:vMerge/>
            <w:vAlign w:val="center"/>
          </w:tcPr>
          <w:p w:rsidR="00CD6597" w:rsidRPr="00287DE2" w:rsidRDefault="00CD6597" w:rsidP="00CD6597">
            <w:pPr>
              <w:jc w:val="center"/>
              <w:rPr>
                <w:rFonts w:ascii="宋体" w:hAnsi="宋体" w:cs="宋体"/>
                <w:sz w:val="18"/>
                <w:szCs w:val="18"/>
              </w:rPr>
            </w:pPr>
          </w:p>
        </w:tc>
        <w:tc>
          <w:tcPr>
            <w:tcW w:w="1139" w:type="dxa"/>
            <w:vMerge/>
            <w:vAlign w:val="center"/>
          </w:tcPr>
          <w:p w:rsidR="00CD6597" w:rsidRPr="00287DE2" w:rsidRDefault="00CD6597" w:rsidP="00CD6597">
            <w:pPr>
              <w:jc w:val="center"/>
              <w:rPr>
                <w:rFonts w:ascii="宋体" w:hAnsi="宋体" w:cs="宋体"/>
                <w:sz w:val="18"/>
                <w:szCs w:val="18"/>
              </w:rPr>
            </w:pPr>
          </w:p>
        </w:tc>
        <w:tc>
          <w:tcPr>
            <w:tcW w:w="2135" w:type="dxa"/>
            <w:vAlign w:val="center"/>
          </w:tcPr>
          <w:p w:rsidR="00CD6597" w:rsidRDefault="00CD6597" w:rsidP="00CD6597">
            <w:pPr>
              <w:jc w:val="center"/>
              <w:rPr>
                <w:rFonts w:ascii="宋体" w:hAnsi="宋体" w:cs="宋体"/>
                <w:color w:val="000000" w:themeColor="text1"/>
              </w:rPr>
            </w:pPr>
          </w:p>
        </w:tc>
      </w:tr>
    </w:tbl>
    <w:p w:rsidR="00F327BF" w:rsidRDefault="00F327BF" w:rsidP="00CD6597">
      <w:pPr>
        <w:jc w:val="center"/>
      </w:pPr>
    </w:p>
    <w:sectPr w:rsidR="00F327BF" w:rsidSect="00CD659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BF" w:rsidRDefault="00F327BF" w:rsidP="00CD6597">
      <w:r>
        <w:separator/>
      </w:r>
    </w:p>
  </w:endnote>
  <w:endnote w:type="continuationSeparator" w:id="1">
    <w:p w:rsidR="00F327BF" w:rsidRDefault="00F327BF" w:rsidP="00CD6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BF" w:rsidRDefault="00F327BF" w:rsidP="00CD6597">
      <w:r>
        <w:separator/>
      </w:r>
    </w:p>
  </w:footnote>
  <w:footnote w:type="continuationSeparator" w:id="1">
    <w:p w:rsidR="00F327BF" w:rsidRDefault="00F327BF" w:rsidP="00CD6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597"/>
    <w:rsid w:val="00CD6597"/>
    <w:rsid w:val="00F32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9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5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6597"/>
    <w:rPr>
      <w:sz w:val="18"/>
      <w:szCs w:val="18"/>
    </w:rPr>
  </w:style>
  <w:style w:type="paragraph" w:styleId="a4">
    <w:name w:val="footer"/>
    <w:basedOn w:val="a"/>
    <w:link w:val="Char0"/>
    <w:uiPriority w:val="99"/>
    <w:semiHidden/>
    <w:unhideWhenUsed/>
    <w:rsid w:val="00CD65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D6597"/>
    <w:rPr>
      <w:sz w:val="18"/>
      <w:szCs w:val="18"/>
    </w:rPr>
  </w:style>
  <w:style w:type="paragraph" w:styleId="a5">
    <w:name w:val="Body Text"/>
    <w:aliases w:val="Corps de texte Car1 Car1,Corps de texte Car Car Car1,Corps de texte Car1 Car Car Car1,Corps de texte Car Car Car Car Car,Corps de texte Car1 Car Car Car Car Car,Corps de texte Car Car2 Car Car Car Car Car,bt"/>
    <w:basedOn w:val="a"/>
    <w:link w:val="Char1"/>
    <w:qFormat/>
    <w:rsid w:val="00CD6597"/>
    <w:pPr>
      <w:spacing w:after="120"/>
    </w:pPr>
    <w:rPr>
      <w:sz w:val="24"/>
      <w:szCs w:val="24"/>
    </w:rPr>
  </w:style>
  <w:style w:type="character" w:customStyle="1" w:styleId="Char1">
    <w:name w:val="正文文本 Char"/>
    <w:aliases w:val="Corps de texte Car1 Car1 Char,Corps de texte Car Car Car1 Char,Corps de texte Car1 Car Car Car1 Char,Corps de texte Car Car Car Car Car Char,Corps de texte Car1 Car Car Car Car Car Char,Corps de texte Car Car2 Car Car Car Car Car Char,bt Char"/>
    <w:basedOn w:val="a0"/>
    <w:link w:val="a5"/>
    <w:qFormat/>
    <w:rsid w:val="00CD659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Company>Sky123.Org</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2017-11-14T23:49:00Z</dcterms:created>
  <dcterms:modified xsi:type="dcterms:W3CDTF">2017-11-14T23:51:00Z</dcterms:modified>
</cp:coreProperties>
</file>