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640" w:lineRule="exact"/>
        <w:ind w:left="210" w:leftChars="100" w:firstLine="402" w:firstLineChars="200"/>
        <w:rPr>
          <w:rFonts w:hint="eastAsia" w:eastAsia="宋体" w:cs="宋体"/>
          <w:b/>
          <w:kern w:val="2"/>
          <w:sz w:val="28"/>
          <w:lang w:val="en-US" w:eastAsia="zh-CN"/>
        </w:rPr>
      </w:pPr>
      <w:bookmarkStart w:id="0" w:name="_Toc450287120"/>
      <w:bookmarkStart w:id="1" w:name="_Toc13630"/>
      <w:r>
        <w:rPr>
          <w:b/>
          <w:color w:val="000000"/>
        </w:rPr>
        <w:t xml:space="preserve">附件1    </w:t>
      </w:r>
      <w:bookmarkEnd w:id="0"/>
      <w:r>
        <w:rPr>
          <w:b/>
          <w:color w:val="000000"/>
        </w:rPr>
        <w:t xml:space="preserve">                </w:t>
      </w:r>
      <w:bookmarkEnd w:id="1"/>
      <w:r>
        <w:rPr>
          <w:rFonts w:hint="eastAsia" w:cs="宋体"/>
          <w:b/>
          <w:color w:val="FF0000"/>
          <w:kern w:val="2"/>
          <w:sz w:val="28"/>
        </w:rPr>
        <w:t xml:space="preserve"> </w:t>
      </w:r>
    </w:p>
    <w:p>
      <w:pPr>
        <w:widowControl/>
        <w:spacing w:line="480" w:lineRule="atLeast"/>
        <w:ind w:firstLine="602" w:firstLineChars="300"/>
        <w:jc w:val="left"/>
        <w:rPr>
          <w:rFonts w:hint="eastAsia" w:ascii="宋体" w:hAnsi="宋体" w:eastAsia="宋体" w:cs="宋体"/>
          <w:b/>
          <w:bCs/>
          <w:color w:val="000000"/>
          <w:kern w:val="0"/>
          <w:szCs w:val="21"/>
          <w:lang w:val="en-US" w:eastAsia="zh-CN" w:bidi="ar"/>
        </w:rPr>
      </w:pPr>
      <w:r>
        <w:rPr>
          <w:rFonts w:hint="eastAsia" w:ascii="宋体" w:hAnsi="宋体" w:cs="宋体"/>
          <w:b/>
          <w:color w:val="000000"/>
          <w:kern w:val="0"/>
          <w:sz w:val="20"/>
          <w:szCs w:val="20"/>
          <w:lang w:bidi="ar"/>
        </w:rPr>
        <w:t xml:space="preserve"> 武广客运专线浏阳河隧道水害整治工程物资</w:t>
      </w:r>
      <w:r>
        <w:rPr>
          <w:rFonts w:hint="eastAsia" w:ascii="宋体" w:hAnsi="宋体" w:cs="宋体"/>
          <w:b/>
          <w:color w:val="000000"/>
          <w:kern w:val="0"/>
          <w:sz w:val="20"/>
          <w:szCs w:val="20"/>
          <w:lang w:val="en-US" w:eastAsia="zh-CN" w:bidi="ar"/>
        </w:rPr>
        <w:t>低压电缆</w:t>
      </w:r>
      <w:r>
        <w:rPr>
          <w:rFonts w:hint="eastAsia" w:ascii="宋体" w:hAnsi="宋体" w:cs="宋体"/>
          <w:b/>
          <w:color w:val="000000"/>
          <w:kern w:val="0"/>
          <w:sz w:val="20"/>
          <w:szCs w:val="20"/>
          <w:lang w:eastAsia="zh-CN" w:bidi="ar"/>
        </w:rPr>
        <w:t>（</w:t>
      </w:r>
      <w:r>
        <w:rPr>
          <w:rFonts w:hint="eastAsia" w:ascii="宋体" w:hAnsi="宋体" w:cs="宋体"/>
          <w:b/>
          <w:color w:val="000000"/>
          <w:kern w:val="0"/>
          <w:sz w:val="20"/>
          <w:szCs w:val="20"/>
          <w:lang w:val="en-US" w:eastAsia="zh-CN" w:bidi="ar"/>
        </w:rPr>
        <w:t>二次）</w:t>
      </w:r>
      <w:r>
        <w:rPr>
          <w:rFonts w:hint="eastAsia" w:ascii="宋体" w:hAnsi="宋体" w:cs="宋体"/>
          <w:b/>
          <w:color w:val="000000"/>
          <w:kern w:val="0"/>
          <w:sz w:val="20"/>
          <w:szCs w:val="20"/>
          <w:lang w:bidi="ar"/>
        </w:rPr>
        <w:t xml:space="preserve">采购计划一览表   </w:t>
      </w:r>
      <w:r>
        <w:rPr>
          <w:rFonts w:hint="eastAsia" w:ascii="宋体" w:hAnsi="宋体" w:cs="宋体"/>
          <w:color w:val="000000"/>
          <w:kern w:val="0"/>
          <w:sz w:val="20"/>
          <w:szCs w:val="20"/>
          <w:lang w:bidi="ar"/>
        </w:rPr>
        <w:t xml:space="preserve">      </w:t>
      </w:r>
      <w:r>
        <w:rPr>
          <w:rFonts w:hint="eastAsia" w:ascii="宋体" w:hAnsi="宋体" w:cs="宋体"/>
          <w:b/>
          <w:bCs/>
          <w:color w:val="000000"/>
          <w:kern w:val="0"/>
          <w:sz w:val="20"/>
          <w:szCs w:val="20"/>
          <w:lang w:bidi="ar"/>
        </w:rPr>
        <w:t xml:space="preserve">                         </w:t>
      </w:r>
      <w:bookmarkStart w:id="2" w:name="_GoBack"/>
      <w:bookmarkEnd w:id="2"/>
      <w:r>
        <w:rPr>
          <w:rFonts w:hint="eastAsia" w:ascii="宋体" w:hAnsi="宋体" w:cs="宋体"/>
          <w:b/>
          <w:bCs/>
          <w:color w:val="000000"/>
          <w:kern w:val="0"/>
          <w:sz w:val="20"/>
          <w:szCs w:val="20"/>
          <w:lang w:bidi="ar"/>
        </w:rPr>
        <w:t xml:space="preserve">    </w:t>
      </w:r>
      <w:r>
        <w:rPr>
          <w:rFonts w:hint="eastAsia" w:ascii="宋体" w:hAnsi="宋体" w:cs="宋体"/>
          <w:b/>
          <w:bCs/>
          <w:color w:val="000000"/>
          <w:kern w:val="0"/>
          <w:szCs w:val="21"/>
          <w:lang w:bidi="ar"/>
        </w:rPr>
        <w:t>招标编码：EEBW2018-</w:t>
      </w:r>
      <w:r>
        <w:rPr>
          <w:rFonts w:hint="eastAsia" w:ascii="宋体" w:hAnsi="宋体" w:cs="宋体"/>
          <w:b/>
          <w:bCs/>
          <w:color w:val="000000"/>
          <w:kern w:val="0"/>
          <w:szCs w:val="21"/>
          <w:lang w:val="en-US" w:eastAsia="zh-CN" w:bidi="ar"/>
        </w:rPr>
        <w:t>104</w:t>
      </w:r>
    </w:p>
    <w:p>
      <w:pPr>
        <w:widowControl/>
        <w:spacing w:line="480" w:lineRule="atLeast"/>
        <w:jc w:val="left"/>
        <w:rPr>
          <w:rFonts w:hint="eastAsia" w:ascii="宋体" w:hAnsi="宋体" w:cs="宋体"/>
          <w:b/>
          <w:bCs/>
          <w:color w:val="000000"/>
          <w:kern w:val="0"/>
          <w:szCs w:val="21"/>
          <w:lang w:bidi="ar"/>
        </w:rPr>
      </w:pPr>
      <w:r>
        <w:rPr>
          <w:rFonts w:hint="eastAsia" w:ascii="宋体" w:hAnsi="宋体" w:cs="宋体"/>
          <w:b/>
          <w:bCs/>
          <w:color w:val="000000"/>
          <w:kern w:val="0"/>
          <w:szCs w:val="21"/>
          <w:lang w:bidi="ar"/>
        </w:rPr>
        <w:t xml:space="preserve">  </w:t>
      </w:r>
    </w:p>
    <w:tbl>
      <w:tblPr>
        <w:tblStyle w:val="5"/>
        <w:tblW w:w="13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44"/>
        <w:gridCol w:w="1229"/>
        <w:gridCol w:w="1259"/>
        <w:gridCol w:w="3060"/>
        <w:gridCol w:w="812"/>
        <w:gridCol w:w="941"/>
        <w:gridCol w:w="941"/>
        <w:gridCol w:w="813"/>
        <w:gridCol w:w="2424"/>
        <w:gridCol w:w="624"/>
        <w:gridCol w:w="8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1"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序号</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包件号</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物资名称</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型号规格</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计量单位</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需求数量</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交货时间</w:t>
            </w:r>
          </w:p>
        </w:tc>
        <w:tc>
          <w:tcPr>
            <w:tcW w:w="813"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交货地点</w:t>
            </w:r>
          </w:p>
        </w:tc>
        <w:tc>
          <w:tcPr>
            <w:tcW w:w="2424"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资格条件设置</w:t>
            </w:r>
          </w:p>
        </w:tc>
        <w:tc>
          <w:tcPr>
            <w:tcW w:w="6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标书售价</w:t>
            </w:r>
          </w:p>
        </w:tc>
        <w:tc>
          <w:tcPr>
            <w:tcW w:w="8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2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DL-02</w:t>
            </w: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3×4</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0.14</w:t>
            </w:r>
          </w:p>
        </w:tc>
        <w:tc>
          <w:tcPr>
            <w:tcW w:w="941" w:type="dxa"/>
            <w:vMerge w:val="restart"/>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2018年11月-2018年12月分批到货</w:t>
            </w: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湖南省长沙市芙蓉区东岸街道，具体地点另行通知</w:t>
            </w:r>
          </w:p>
        </w:tc>
        <w:tc>
          <w:tcPr>
            <w:tcW w:w="24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1. 生产企业注册资金不少于1亿元人民币；2.投标物资须具有CMA或CNAS标志的省部级及以上国家权威机构出具的产品型式试验报告和近三年产品检验报告；3.投标物资须具有设计时速300km/h高速铁路供货业绩，须提供供货合同（含供货清单）和相对应的铁路局（公司）运营主管部门出具的开通运营一年及以上的安全运行证明（满足原铁道部运供设备电〔2012〕32号文要求）；4.投标生产企业必须在中国中铁股份有限公司的《中国中铁电线电缆供应商准入名录》内</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5.不接受代理商和联合体投标</w:t>
            </w:r>
          </w:p>
        </w:tc>
        <w:tc>
          <w:tcPr>
            <w:tcW w:w="624" w:type="dxa"/>
            <w:vMerge w:val="restart"/>
            <w:tcBorders>
              <w:top w:val="single" w:color="000000" w:sz="4" w:space="0"/>
              <w:left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500元</w:t>
            </w: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3×10</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3</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5×4</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0.18</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4</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5×16</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5</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4×35+1×16</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6</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4×70+1×35</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0.03</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7</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4×95+1×50</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vMerge w:val="restart"/>
            <w:tcBorders>
              <w:top w:val="single" w:color="000000" w:sz="4" w:space="0"/>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4×120+1×70</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0.07</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vMerge w:val="continue"/>
            <w:tcBorders>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4×150+1×70</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vMerge w:val="continue"/>
            <w:tcBorders>
              <w:left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10</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4×185+1×95</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2.76</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11</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WDZAN-YJY23-0.6/1kV 4×240+1×120</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6.02</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12</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2×6</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13</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2×10</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14</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2×16</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0.1</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3" w:hRule="atLeast"/>
        </w:trPr>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15</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4×16</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1"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9" w:hRule="atLeast"/>
        </w:trPr>
        <w:tc>
          <w:tcPr>
            <w:tcW w:w="844"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16</w:t>
            </w:r>
          </w:p>
        </w:tc>
        <w:tc>
          <w:tcPr>
            <w:tcW w:w="1229" w:type="dxa"/>
            <w:vMerge w:val="continue"/>
            <w:tcBorders>
              <w:left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NH-VV22-0.6/1kV 3×70+1×35</w:t>
            </w:r>
          </w:p>
        </w:tc>
        <w:tc>
          <w:tcPr>
            <w:tcW w:w="81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1" w:type="dxa"/>
            <w:vMerge w:val="continue"/>
            <w:tcBorders>
              <w:top w:val="single" w:color="000000"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left w:val="single" w:color="auto"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0" w:hRule="atLeast"/>
        </w:trPr>
        <w:tc>
          <w:tcPr>
            <w:tcW w:w="844"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17</w:t>
            </w:r>
          </w:p>
        </w:tc>
        <w:tc>
          <w:tcPr>
            <w:tcW w:w="1229" w:type="dxa"/>
            <w:vMerge w:val="continue"/>
            <w:tcBorders>
              <w:left w:val="single" w:color="000000"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259"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低压电力电缆</w:t>
            </w:r>
          </w:p>
        </w:tc>
        <w:tc>
          <w:tcPr>
            <w:tcW w:w="306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VV22-0.6/1kV 3×185+1×95</w:t>
            </w:r>
          </w:p>
        </w:tc>
        <w:tc>
          <w:tcPr>
            <w:tcW w:w="812"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km</w:t>
            </w:r>
          </w:p>
        </w:tc>
        <w:tc>
          <w:tcPr>
            <w:tcW w:w="941" w:type="dxa"/>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0.08</w:t>
            </w:r>
          </w:p>
        </w:tc>
        <w:tc>
          <w:tcPr>
            <w:tcW w:w="941" w:type="dxa"/>
            <w:vMerge w:val="continue"/>
            <w:tcBorders>
              <w:top w:val="single" w:color="auto" w:sz="4" w:space="0"/>
              <w:left w:val="single" w:color="000000"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18"/>
                <w:szCs w:val="18"/>
                <w:u w:val="none"/>
              </w:rPr>
            </w:pPr>
          </w:p>
        </w:tc>
        <w:tc>
          <w:tcPr>
            <w:tcW w:w="242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i w:val="0"/>
                <w:color w:val="000000"/>
                <w:sz w:val="22"/>
                <w:szCs w:val="22"/>
                <w:u w:val="none"/>
              </w:rPr>
            </w:pPr>
          </w:p>
        </w:tc>
        <w:tc>
          <w:tcPr>
            <w:tcW w:w="624" w:type="dxa"/>
            <w:vMerge w:val="continue"/>
            <w:tcBorders>
              <w:top w:val="single" w:color="auto" w:sz="4" w:space="0"/>
              <w:left w:val="single" w:color="auto" w:sz="4" w:space="0"/>
              <w:bottom w:val="single" w:color="auto"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93" w:type="dxa"/>
            <w:tcBorders>
              <w:top w:val="single" w:color="auto" w:sz="4" w:space="0"/>
              <w:left w:val="single" w:color="000000" w:sz="4" w:space="0"/>
              <w:bottom w:val="single" w:color="auto" w:sz="4" w:space="0"/>
              <w:right w:val="single" w:color="auto" w:sz="4" w:space="0"/>
            </w:tcBorders>
            <w:vAlign w:val="center"/>
          </w:tcPr>
          <w:p>
            <w:pPr>
              <w:rPr>
                <w:rFonts w:hint="eastAsia" w:ascii="宋体" w:hAnsi="宋体" w:eastAsia="宋体" w:cs="宋体"/>
                <w:i w:val="0"/>
                <w:color w:val="000000"/>
                <w:sz w:val="18"/>
                <w:szCs w:val="18"/>
                <w:u w:val="none"/>
              </w:rPr>
            </w:pPr>
          </w:p>
        </w:tc>
      </w:tr>
    </w:tbl>
    <w:p>
      <w:pPr>
        <w:widowControl/>
        <w:spacing w:line="480" w:lineRule="atLeast"/>
        <w:jc w:val="left"/>
      </w:pPr>
      <w:r>
        <w:rPr>
          <w:rFonts w:hint="eastAsia" w:ascii="宋体" w:hAnsi="宋体" w:cs="宋体"/>
          <w:b/>
          <w:color w:val="000000"/>
          <w:sz w:val="24"/>
        </w:rPr>
        <w:t>说明：以上规格型号数量是施工图数量，最终供货规格型号数量以现场进料确认单为准。</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C5493"/>
    <w:rsid w:val="50DC5493"/>
    <w:rsid w:val="6D535020"/>
    <w:rsid w:val="79863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List"/>
    <w:basedOn w:val="1"/>
    <w:qFormat/>
    <w:uiPriority w:val="0"/>
    <w:pPr>
      <w:autoSpaceDE w:val="0"/>
      <w:autoSpaceDN w:val="0"/>
      <w:adjustRightInd w:val="0"/>
      <w:ind w:left="360" w:hanging="360"/>
      <w:jc w:val="left"/>
      <w:textAlignment w:val="baseline"/>
    </w:pPr>
    <w:rPr>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2\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2018-10-19T02:55:00Z</dcterms:created>
  <dc:creator>86152</dc:creator>
  <cp:lastModifiedBy>86152</cp:lastModifiedBy>
  <dcterms:modified xsi:type="dcterms:W3CDTF">2018-10-19T02:59:35Z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