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宋体" w:hAnsi="宋体" w:eastAsia="宋体"/>
          <w:bCs/>
          <w:szCs w:val="28"/>
        </w:rPr>
      </w:pPr>
      <w:bookmarkStart w:id="0" w:name="_Toc489167410"/>
      <w:bookmarkStart w:id="1" w:name="_Toc410207416"/>
      <w:bookmarkStart w:id="2" w:name="_Toc445215517"/>
      <w:r>
        <w:rPr>
          <w:rFonts w:hint="eastAsia" w:ascii="宋体" w:hAnsi="宋体" w:eastAsia="宋体"/>
          <w:szCs w:val="28"/>
        </w:rPr>
        <w:t>附件一</w:t>
      </w:r>
      <w:bookmarkEnd w:id="0"/>
    </w:p>
    <w:p>
      <w:pPr>
        <w:adjustRightInd w:val="0"/>
        <w:snapToGrid w:val="0"/>
        <w:spacing w:line="240" w:lineRule="atLeast"/>
        <w:jc w:val="center"/>
        <w:outlineLvl w:val="0"/>
        <w:rPr>
          <w:rFonts w:ascii="宋体" w:hAnsi="宋体" w:cs="宋体"/>
          <w:kern w:val="0"/>
          <w:sz w:val="24"/>
          <w:szCs w:val="21"/>
        </w:rPr>
      </w:pPr>
      <w:bookmarkStart w:id="3" w:name="_Toc489521956"/>
      <w:bookmarkStart w:id="4" w:name="_Toc488396745"/>
      <w:bookmarkStart w:id="5" w:name="_Toc488217407"/>
      <w:bookmarkStart w:id="6" w:name="_Toc489167411"/>
      <w:r>
        <w:rPr>
          <w:rFonts w:hint="eastAsia" w:ascii="宋体" w:hAnsi="宋体" w:cs="宋体"/>
          <w:kern w:val="0"/>
          <w:sz w:val="24"/>
          <w:szCs w:val="21"/>
        </w:rPr>
        <w:t>项目概况</w:t>
      </w:r>
      <w:bookmarkEnd w:id="3"/>
      <w:bookmarkEnd w:id="4"/>
      <w:bookmarkEnd w:id="5"/>
      <w:bookmarkEnd w:id="6"/>
    </w:p>
    <w:tbl>
      <w:tblPr>
        <w:tblStyle w:val="5"/>
        <w:tblW w:w="153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984"/>
        <w:gridCol w:w="9639"/>
        <w:gridCol w:w="19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710"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984"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项目全称</w:t>
            </w:r>
          </w:p>
        </w:tc>
        <w:tc>
          <w:tcPr>
            <w:tcW w:w="9639"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项目概况（详细）</w:t>
            </w:r>
          </w:p>
        </w:tc>
        <w:tc>
          <w:tcPr>
            <w:tcW w:w="1985"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项目通讯地址</w:t>
            </w:r>
          </w:p>
        </w:tc>
        <w:tc>
          <w:tcPr>
            <w:tcW w:w="992"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90" w:hRule="atLeast"/>
          <w:jc w:val="center"/>
        </w:trPr>
        <w:tc>
          <w:tcPr>
            <w:tcW w:w="7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1</w:t>
            </w:r>
          </w:p>
        </w:tc>
        <w:tc>
          <w:tcPr>
            <w:tcW w:w="19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sz w:val="18"/>
                <w:szCs w:val="18"/>
              </w:rPr>
            </w:pPr>
            <w:r>
              <w:rPr>
                <w:rFonts w:hint="eastAsia" w:ascii="宋体" w:hAnsi="宋体" w:cs="宋体"/>
                <w:color w:val="000000"/>
                <w:kern w:val="0"/>
                <w:sz w:val="20"/>
                <w:szCs w:val="20"/>
                <w:lang w:bidi="ar"/>
              </w:rPr>
              <w:t>鲁能城三期二次结构及粗装修项目经理部</w:t>
            </w:r>
          </w:p>
        </w:tc>
        <w:tc>
          <w:tcPr>
            <w:tcW w:w="96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sz w:val="18"/>
                <w:szCs w:val="18"/>
              </w:rPr>
            </w:pPr>
            <w:r>
              <w:rPr>
                <w:rFonts w:hint="eastAsia" w:ascii="宋体" w:hAnsi="宋体" w:cs="宋体"/>
                <w:color w:val="000000"/>
                <w:kern w:val="0"/>
                <w:sz w:val="20"/>
                <w:szCs w:val="20"/>
                <w:lang w:bidi="ar"/>
              </w:rPr>
              <w:t xml:space="preserve">工程地点：成都市成华区槐树店路26号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建设单位 ：成都鲁能置业有限公司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设计单位 ：成都惟尚建筑设计有限公司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施工单位 ：中铁二局集团建筑有限公司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监理单位 ：四川省城市建设工程监理有限公司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勘察单位 ：核工业西南勘察设计研究院有限公司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开工日期:2018.4.16</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合同竣工日期:2018.12.31</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合同工期:260天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四川省成都市成华区</w:t>
            </w:r>
          </w:p>
        </w:tc>
        <w:tc>
          <w:tcPr>
            <w:tcW w:w="19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sz w:val="18"/>
                <w:szCs w:val="18"/>
              </w:rPr>
            </w:pPr>
            <w:r>
              <w:rPr>
                <w:rFonts w:hint="eastAsia" w:ascii="宋体" w:hAnsi="宋体" w:cs="宋体"/>
                <w:color w:val="000000"/>
                <w:kern w:val="0"/>
                <w:sz w:val="20"/>
                <w:szCs w:val="20"/>
                <w:lang w:bidi="ar"/>
              </w:rPr>
              <w:t>成都市成华区槐树店路26号</w:t>
            </w:r>
          </w:p>
        </w:tc>
        <w:tc>
          <w:tcPr>
            <w:tcW w:w="9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p>
        </w:tc>
      </w:tr>
    </w:tbl>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pStyle w:val="6"/>
        <w:rPr>
          <w:rFonts w:ascii="宋体" w:hAnsi="宋体" w:eastAsia="宋体"/>
          <w:bCs/>
          <w:szCs w:val="28"/>
        </w:rPr>
      </w:pPr>
      <w:bookmarkStart w:id="7" w:name="_Toc489167412"/>
      <w:r>
        <w:rPr>
          <w:rFonts w:hint="eastAsia" w:ascii="宋体" w:hAnsi="宋体" w:eastAsia="宋体"/>
          <w:szCs w:val="28"/>
        </w:rPr>
        <w:t>附件</w:t>
      </w:r>
      <w:bookmarkEnd w:id="1"/>
      <w:bookmarkEnd w:id="2"/>
      <w:r>
        <w:rPr>
          <w:rFonts w:hint="eastAsia" w:ascii="宋体" w:hAnsi="宋体" w:eastAsia="宋体"/>
          <w:szCs w:val="28"/>
        </w:rPr>
        <w:t>二</w:t>
      </w:r>
      <w:bookmarkEnd w:id="7"/>
    </w:p>
    <w:p>
      <w:pPr>
        <w:widowControl/>
        <w:shd w:val="clear" w:color="auto" w:fill="FFFFFF"/>
        <w:spacing w:line="330" w:lineRule="atLeast"/>
        <w:jc w:val="center"/>
        <w:rPr>
          <w:rFonts w:ascii="宋体" w:hAnsi="宋体" w:cs="宋体"/>
          <w:kern w:val="0"/>
          <w:sz w:val="24"/>
          <w:szCs w:val="21"/>
        </w:rPr>
      </w:pPr>
      <w:r>
        <w:rPr>
          <w:rFonts w:ascii="宋体" w:hAnsi="宋体" w:cs="宋体"/>
          <w:kern w:val="0"/>
          <w:sz w:val="24"/>
          <w:szCs w:val="21"/>
        </w:rPr>
        <w:t>物资品种、包件划分、竞争性谈判文件售价、</w:t>
      </w:r>
      <w:r>
        <w:rPr>
          <w:rFonts w:hint="eastAsia" w:ascii="宋体" w:hAnsi="宋体" w:cs="宋体"/>
          <w:kern w:val="0"/>
          <w:sz w:val="24"/>
          <w:szCs w:val="21"/>
        </w:rPr>
        <w:t>报价保证金、</w:t>
      </w:r>
      <w:r>
        <w:rPr>
          <w:rFonts w:ascii="宋体" w:hAnsi="宋体" w:cs="宋体"/>
          <w:kern w:val="0"/>
          <w:sz w:val="24"/>
          <w:szCs w:val="21"/>
        </w:rPr>
        <w:t>报价人资格要求</w:t>
      </w:r>
    </w:p>
    <w:tbl>
      <w:tblPr>
        <w:tblStyle w:val="5"/>
        <w:tblW w:w="14542" w:type="dxa"/>
        <w:jc w:val="center"/>
        <w:tblInd w:w="0" w:type="dxa"/>
        <w:tblLayout w:type="fixed"/>
        <w:tblCellMar>
          <w:top w:w="0" w:type="dxa"/>
          <w:left w:w="108" w:type="dxa"/>
          <w:bottom w:w="0" w:type="dxa"/>
          <w:right w:w="108" w:type="dxa"/>
        </w:tblCellMar>
      </w:tblPr>
      <w:tblGrid>
        <w:gridCol w:w="965"/>
        <w:gridCol w:w="975"/>
        <w:gridCol w:w="846"/>
        <w:gridCol w:w="983"/>
        <w:gridCol w:w="1027"/>
        <w:gridCol w:w="5670"/>
        <w:gridCol w:w="1144"/>
        <w:gridCol w:w="992"/>
        <w:gridCol w:w="1940"/>
      </w:tblGrid>
      <w:tr>
        <w:tblPrEx>
          <w:tblLayout w:type="fixed"/>
          <w:tblCellMar>
            <w:top w:w="0" w:type="dxa"/>
            <w:left w:w="108" w:type="dxa"/>
            <w:bottom w:w="0" w:type="dxa"/>
            <w:right w:w="108" w:type="dxa"/>
          </w:tblCellMar>
        </w:tblPrEx>
        <w:trPr>
          <w:cantSplit/>
          <w:trHeight w:val="584"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序号</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物资名称</w:t>
            </w:r>
          </w:p>
        </w:tc>
        <w:tc>
          <w:tcPr>
            <w:tcW w:w="8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包件号</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计量单位</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包件数量</w:t>
            </w:r>
          </w:p>
        </w:tc>
        <w:tc>
          <w:tcPr>
            <w:tcW w:w="567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项目名称</w:t>
            </w:r>
          </w:p>
        </w:tc>
        <w:tc>
          <w:tcPr>
            <w:tcW w:w="1144"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包件售价（元）</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签约担保（万元）</w:t>
            </w:r>
          </w:p>
        </w:tc>
        <w:tc>
          <w:tcPr>
            <w:tcW w:w="194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ascii="宋体" w:hAnsi="宋体" w:cs="Arial"/>
                <w:kern w:val="0"/>
                <w:sz w:val="18"/>
                <w:szCs w:val="18"/>
              </w:rPr>
              <w:t>最高限价</w:t>
            </w:r>
            <w:r>
              <w:rPr>
                <w:rFonts w:hint="eastAsia" w:ascii="宋体" w:hAnsi="宋体" w:cs="Arial"/>
                <w:kern w:val="0"/>
                <w:sz w:val="18"/>
                <w:szCs w:val="18"/>
              </w:rPr>
              <w:t>（万元）</w:t>
            </w:r>
          </w:p>
        </w:tc>
      </w:tr>
      <w:tr>
        <w:tblPrEx>
          <w:tblLayout w:type="fixed"/>
          <w:tblCellMar>
            <w:top w:w="0" w:type="dxa"/>
            <w:left w:w="108" w:type="dxa"/>
            <w:bottom w:w="0" w:type="dxa"/>
            <w:right w:w="108" w:type="dxa"/>
          </w:tblCellMar>
        </w:tblPrEx>
        <w:trPr>
          <w:cantSplit/>
          <w:trHeight w:val="477" w:hRule="atLeast"/>
          <w:jc w:val="center"/>
        </w:trPr>
        <w:tc>
          <w:tcPr>
            <w:tcW w:w="96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01</w:t>
            </w:r>
          </w:p>
        </w:tc>
        <w:tc>
          <w:tcPr>
            <w:tcW w:w="975"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电力电缆</w:t>
            </w:r>
          </w:p>
        </w:tc>
        <w:tc>
          <w:tcPr>
            <w:tcW w:w="846" w:type="dxa"/>
            <w:tcBorders>
              <w:top w:val="nil"/>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sz w:val="18"/>
                <w:szCs w:val="18"/>
              </w:rPr>
              <w:t>DL-01</w:t>
            </w:r>
          </w:p>
        </w:tc>
        <w:tc>
          <w:tcPr>
            <w:tcW w:w="983"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米</w:t>
            </w: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585410.85</w:t>
            </w:r>
          </w:p>
        </w:tc>
        <w:tc>
          <w:tcPr>
            <w:tcW w:w="5670" w:type="dxa"/>
            <w:tcBorders>
              <w:top w:val="nil"/>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宋体"/>
                <w:color w:val="000000"/>
                <w:kern w:val="0"/>
                <w:sz w:val="20"/>
                <w:szCs w:val="20"/>
                <w:lang w:bidi="ar"/>
              </w:rPr>
              <w:t>鲁能城三期二次结构及粗装修项目</w:t>
            </w:r>
          </w:p>
        </w:tc>
        <w:tc>
          <w:tcPr>
            <w:tcW w:w="1144"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500</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1</w:t>
            </w:r>
          </w:p>
        </w:tc>
        <w:tc>
          <w:tcPr>
            <w:tcW w:w="1940"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开标时宣布</w:t>
            </w:r>
          </w:p>
        </w:tc>
      </w:tr>
      <w:tr>
        <w:tblPrEx>
          <w:tblLayout w:type="fixed"/>
          <w:tblCellMar>
            <w:top w:w="0" w:type="dxa"/>
            <w:left w:w="108" w:type="dxa"/>
            <w:bottom w:w="0" w:type="dxa"/>
            <w:right w:w="108" w:type="dxa"/>
          </w:tblCellMar>
        </w:tblPrEx>
        <w:trPr>
          <w:cantSplit/>
          <w:trHeight w:val="1972" w:hRule="atLeast"/>
          <w:jc w:val="center"/>
        </w:trPr>
        <w:tc>
          <w:tcPr>
            <w:tcW w:w="14542" w:type="dxa"/>
            <w:gridSpan w:val="9"/>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18"/>
                <w:szCs w:val="18"/>
              </w:rPr>
            </w:pPr>
            <w:r>
              <w:rPr>
                <w:rFonts w:hint="eastAsia" w:ascii="宋体" w:hAnsi="宋体"/>
                <w:sz w:val="18"/>
                <w:szCs w:val="18"/>
              </w:rPr>
              <w:t>1通用要求</w:t>
            </w:r>
          </w:p>
          <w:p>
            <w:pPr>
              <w:spacing w:line="0" w:lineRule="atLeast"/>
              <w:rPr>
                <w:rFonts w:hint="eastAsia" w:ascii="宋体" w:hAnsi="宋体"/>
                <w:sz w:val="18"/>
                <w:szCs w:val="18"/>
              </w:rPr>
            </w:pPr>
            <w:r>
              <w:rPr>
                <w:rFonts w:hint="eastAsia" w:ascii="宋体" w:hAnsi="宋体"/>
                <w:sz w:val="18"/>
                <w:szCs w:val="18"/>
              </w:rPr>
              <w:t>1.1投标人必须是经中华人民共和国境内依法注册、具有独立法人资格、并符合投标项目经营范围，能独立承担民事责任的法人组织；</w:t>
            </w:r>
          </w:p>
          <w:p>
            <w:pPr>
              <w:spacing w:line="0" w:lineRule="atLeast"/>
              <w:rPr>
                <w:rFonts w:hint="eastAsia" w:ascii="宋体" w:hAnsi="宋体"/>
                <w:sz w:val="18"/>
                <w:szCs w:val="18"/>
              </w:rPr>
            </w:pPr>
            <w:r>
              <w:rPr>
                <w:rFonts w:hint="eastAsia" w:ascii="宋体" w:hAnsi="宋体"/>
                <w:sz w:val="18"/>
                <w:szCs w:val="18"/>
              </w:rPr>
              <w:t>1.2生产厂家拥有主管部门颁发的资质证书。</w:t>
            </w:r>
          </w:p>
          <w:p>
            <w:pPr>
              <w:spacing w:line="0" w:lineRule="atLeast"/>
              <w:rPr>
                <w:rFonts w:hint="eastAsia" w:ascii="宋体" w:hAnsi="宋体"/>
                <w:sz w:val="18"/>
                <w:szCs w:val="18"/>
              </w:rPr>
            </w:pPr>
            <w:r>
              <w:rPr>
                <w:rFonts w:hint="eastAsia" w:ascii="宋体" w:hAnsi="宋体"/>
                <w:sz w:val="18"/>
                <w:szCs w:val="18"/>
              </w:rPr>
              <w:t>1.3具有相应的财务能力和相关的技术能力，并且投标人在近2年经注册会计事务所审计具有一定规模和良好的资金财务状况；</w:t>
            </w:r>
          </w:p>
          <w:p>
            <w:pPr>
              <w:widowControl/>
              <w:jc w:val="left"/>
              <w:rPr>
                <w:rFonts w:hint="eastAsia" w:ascii="宋体" w:hAnsi="宋体"/>
                <w:sz w:val="18"/>
                <w:szCs w:val="18"/>
              </w:rPr>
            </w:pPr>
            <w:r>
              <w:rPr>
                <w:rFonts w:hint="eastAsia" w:ascii="宋体" w:hAnsi="宋体"/>
                <w:sz w:val="18"/>
                <w:szCs w:val="18"/>
              </w:rPr>
              <w:t>1.4具有良好的社会信誉，最近三年内没有与骗取合同有关的犯罪或严重违法行为而引起的诉讼和仲裁；近三年不曾在任何合同中违约或被逐；财产未被接管或冻结，企业未处于禁止或取消投标状态；具有履行合同的能力和良好的履约记录。</w:t>
            </w:r>
          </w:p>
          <w:p>
            <w:pPr>
              <w:spacing w:line="0" w:lineRule="atLeast"/>
              <w:rPr>
                <w:rFonts w:hint="eastAsia" w:ascii="宋体" w:hAnsi="宋体"/>
                <w:sz w:val="18"/>
                <w:szCs w:val="18"/>
              </w:rPr>
            </w:pPr>
            <w:r>
              <w:rPr>
                <w:rFonts w:hint="eastAsia" w:ascii="宋体" w:hAnsi="宋体"/>
                <w:sz w:val="18"/>
                <w:szCs w:val="18"/>
              </w:rPr>
              <w:t xml:space="preserve">2专用要求 </w:t>
            </w:r>
          </w:p>
          <w:p>
            <w:pPr>
              <w:spacing w:line="0" w:lineRule="atLeast"/>
              <w:rPr>
                <w:rFonts w:hint="eastAsia" w:ascii="宋体" w:hAnsi="宋体"/>
                <w:sz w:val="18"/>
                <w:szCs w:val="18"/>
              </w:rPr>
            </w:pPr>
            <w:r>
              <w:rPr>
                <w:rFonts w:hint="eastAsia" w:ascii="宋体" w:hAnsi="宋体"/>
                <w:sz w:val="18"/>
                <w:szCs w:val="18"/>
              </w:rPr>
              <w:t>2.1生产厂家至少具有两条以上的生产线；</w:t>
            </w:r>
          </w:p>
          <w:p>
            <w:pPr>
              <w:spacing w:line="0" w:lineRule="atLeast"/>
              <w:rPr>
                <w:rFonts w:hint="eastAsia" w:ascii="宋体" w:hAnsi="宋体"/>
                <w:sz w:val="18"/>
                <w:szCs w:val="18"/>
              </w:rPr>
            </w:pPr>
            <w:r>
              <w:rPr>
                <w:rFonts w:hint="eastAsia" w:ascii="宋体" w:hAnsi="宋体"/>
                <w:sz w:val="18"/>
                <w:szCs w:val="18"/>
              </w:rPr>
              <w:t>2.2本次招标投标人必须为生产厂家、代理商；</w:t>
            </w:r>
          </w:p>
          <w:p>
            <w:pPr>
              <w:widowControl/>
              <w:jc w:val="left"/>
              <w:rPr>
                <w:rFonts w:hint="eastAsia" w:ascii="宋体" w:hAnsi="宋体"/>
                <w:sz w:val="18"/>
                <w:szCs w:val="18"/>
              </w:rPr>
            </w:pPr>
            <w:r>
              <w:rPr>
                <w:rFonts w:hint="eastAsia" w:ascii="宋体" w:hAnsi="宋体"/>
                <w:sz w:val="18"/>
                <w:szCs w:val="18"/>
              </w:rPr>
              <w:t>2.3具有近两年内为大中型或同类建设项目提供同类产品的供货业绩（新产品除外），必须提供供货合同复印件。</w:t>
            </w:r>
          </w:p>
          <w:p>
            <w:pPr>
              <w:widowControl/>
              <w:jc w:val="left"/>
              <w:rPr>
                <w:rFonts w:ascii="宋体" w:hAnsi="宋体" w:cs="Arial"/>
                <w:kern w:val="0"/>
                <w:sz w:val="18"/>
                <w:szCs w:val="18"/>
              </w:rPr>
            </w:pPr>
          </w:p>
        </w:tc>
      </w:tr>
    </w:tbl>
    <w:p>
      <w:pPr>
        <w:adjustRightInd w:val="0"/>
        <w:spacing w:line="360" w:lineRule="auto"/>
        <w:jc w:val="center"/>
        <w:rPr>
          <w:rFonts w:ascii="宋体" w:hAnsi="宋体" w:cs="宋体"/>
          <w:sz w:val="24"/>
        </w:rPr>
      </w:pPr>
    </w:p>
    <w:p>
      <w:pPr>
        <w:adjustRightInd w:val="0"/>
        <w:spacing w:line="360" w:lineRule="auto"/>
        <w:jc w:val="center"/>
        <w:rPr>
          <w:rFonts w:ascii="宋体" w:hAnsi="宋体" w:cs="宋体"/>
          <w:sz w:val="24"/>
        </w:rPr>
      </w:pPr>
    </w:p>
    <w:p>
      <w:pPr>
        <w:adjustRightInd w:val="0"/>
        <w:spacing w:line="360" w:lineRule="auto"/>
        <w:jc w:val="center"/>
        <w:rPr>
          <w:rFonts w:ascii="宋体" w:hAnsi="宋体" w:cs="宋体"/>
          <w:sz w:val="24"/>
        </w:rPr>
      </w:pPr>
    </w:p>
    <w:p>
      <w:pPr>
        <w:adjustRightInd w:val="0"/>
        <w:spacing w:line="360" w:lineRule="auto"/>
        <w:jc w:val="center"/>
        <w:rPr>
          <w:rFonts w:ascii="宋体" w:hAnsi="宋体" w:cs="宋体"/>
          <w:sz w:val="24"/>
        </w:rPr>
      </w:pPr>
    </w:p>
    <w:p>
      <w:pPr>
        <w:adjustRightInd w:val="0"/>
        <w:spacing w:line="360" w:lineRule="auto"/>
        <w:jc w:val="center"/>
        <w:rPr>
          <w:rFonts w:ascii="宋体" w:hAnsi="宋体" w:cs="宋体"/>
          <w:sz w:val="24"/>
        </w:rPr>
      </w:pPr>
    </w:p>
    <w:p>
      <w:pPr>
        <w:adjustRightInd w:val="0"/>
        <w:spacing w:line="360" w:lineRule="auto"/>
        <w:jc w:val="center"/>
        <w:rPr>
          <w:rFonts w:ascii="宋体" w:hAnsi="宋体" w:cs="宋体"/>
          <w:sz w:val="24"/>
        </w:rPr>
      </w:pPr>
    </w:p>
    <w:p>
      <w:pPr>
        <w:adjustRightInd w:val="0"/>
        <w:spacing w:line="360" w:lineRule="auto"/>
        <w:jc w:val="center"/>
        <w:rPr>
          <w:rFonts w:ascii="宋体" w:hAnsi="宋体" w:cs="宋体"/>
          <w:sz w:val="24"/>
        </w:rPr>
      </w:pPr>
    </w:p>
    <w:p>
      <w:pPr>
        <w:adjustRightInd w:val="0"/>
        <w:spacing w:line="360" w:lineRule="auto"/>
        <w:jc w:val="center"/>
        <w:rPr>
          <w:rFonts w:ascii="宋体" w:hAnsi="宋体" w:cs="宋体"/>
          <w:sz w:val="24"/>
        </w:rPr>
      </w:pPr>
    </w:p>
    <w:p>
      <w:pPr>
        <w:adjustRightInd w:val="0"/>
        <w:spacing w:line="360" w:lineRule="auto"/>
        <w:jc w:val="center"/>
        <w:rPr>
          <w:rFonts w:ascii="宋体" w:hAnsi="宋体" w:cs="宋体"/>
          <w:sz w:val="24"/>
        </w:rPr>
      </w:pPr>
    </w:p>
    <w:p>
      <w:pPr>
        <w:adjustRightInd w:val="0"/>
        <w:spacing w:line="360" w:lineRule="auto"/>
        <w:jc w:val="center"/>
        <w:rPr>
          <w:rFonts w:ascii="宋体" w:hAnsi="宋体" w:cs="宋体"/>
          <w:sz w:val="24"/>
        </w:rPr>
      </w:pPr>
    </w:p>
    <w:p>
      <w:pPr>
        <w:adjustRightInd w:val="0"/>
        <w:spacing w:line="360" w:lineRule="auto"/>
        <w:jc w:val="left"/>
        <w:rPr>
          <w:rFonts w:hint="eastAsia" w:ascii="宋体" w:hAnsi="宋体" w:cs="宋体"/>
          <w:sz w:val="24"/>
        </w:rPr>
      </w:pPr>
      <w:r>
        <w:rPr>
          <w:rFonts w:hint="eastAsia" w:ascii="宋体" w:hAnsi="宋体" w:cs="宋体"/>
          <w:sz w:val="24"/>
        </w:rPr>
        <w:t>附件三：</w:t>
      </w:r>
    </w:p>
    <w:p>
      <w:pPr>
        <w:adjustRightInd w:val="0"/>
        <w:spacing w:line="360" w:lineRule="auto"/>
        <w:jc w:val="center"/>
        <w:rPr>
          <w:rFonts w:ascii="宋体" w:hAnsi="宋体" w:cs="宋体"/>
          <w:sz w:val="24"/>
        </w:rPr>
      </w:pPr>
      <w:r>
        <w:rPr>
          <w:rFonts w:hint="eastAsia" w:ascii="宋体" w:hAnsi="宋体" w:cs="宋体"/>
          <w:sz w:val="24"/>
        </w:rPr>
        <w:t>物资需求明细表</w:t>
      </w:r>
    </w:p>
    <w:p>
      <w:pPr>
        <w:pStyle w:val="3"/>
        <w:shd w:val="clear" w:color="auto" w:fill="FFFFFF"/>
        <w:spacing w:line="400" w:lineRule="exact"/>
        <w:jc w:val="left"/>
        <w:rPr>
          <w:sz w:val="18"/>
          <w:szCs w:val="18"/>
        </w:rPr>
      </w:pPr>
      <w:r>
        <w:rPr>
          <w:rFonts w:hint="eastAsia"/>
          <w:sz w:val="18"/>
          <w:szCs w:val="18"/>
        </w:rPr>
        <w:t>招标人名称：中铁二局集团建筑有限公司                                         招标编号:ZTEJJZ-竞-2018010                                   包件号：</w:t>
      </w:r>
      <w:r>
        <w:rPr>
          <w:rFonts w:hint="eastAsia"/>
          <w:sz w:val="18"/>
          <w:szCs w:val="18"/>
          <w:lang w:val="en-US" w:eastAsia="zh-CN"/>
        </w:rPr>
        <w:t>DL</w:t>
      </w:r>
      <w:r>
        <w:rPr>
          <w:rFonts w:hint="eastAsia"/>
          <w:sz w:val="18"/>
          <w:szCs w:val="18"/>
        </w:rPr>
        <w:t xml:space="preserve">-01 </w:t>
      </w:r>
    </w:p>
    <w:tbl>
      <w:tblPr>
        <w:tblStyle w:val="5"/>
        <w:tblW w:w="14595" w:type="dxa"/>
        <w:jc w:val="center"/>
        <w:tblInd w:w="0" w:type="dxa"/>
        <w:tblLayout w:type="fixed"/>
        <w:tblCellMar>
          <w:top w:w="15" w:type="dxa"/>
          <w:left w:w="15" w:type="dxa"/>
          <w:bottom w:w="15" w:type="dxa"/>
          <w:right w:w="15" w:type="dxa"/>
        </w:tblCellMar>
      </w:tblPr>
      <w:tblGrid>
        <w:gridCol w:w="901"/>
        <w:gridCol w:w="1365"/>
        <w:gridCol w:w="2745"/>
        <w:gridCol w:w="1200"/>
        <w:gridCol w:w="1215"/>
        <w:gridCol w:w="1200"/>
        <w:gridCol w:w="1755"/>
        <w:gridCol w:w="1455"/>
        <w:gridCol w:w="1290"/>
        <w:gridCol w:w="1469"/>
      </w:tblGrid>
      <w:tr>
        <w:tblPrEx>
          <w:tblLayout w:type="fixed"/>
          <w:tblCellMar>
            <w:top w:w="15" w:type="dxa"/>
            <w:left w:w="15" w:type="dxa"/>
            <w:bottom w:w="15" w:type="dxa"/>
            <w:right w:w="15" w:type="dxa"/>
          </w:tblCellMar>
        </w:tblPrEx>
        <w:trPr>
          <w:trHeight w:val="495" w:hRule="atLeast"/>
          <w:jc w:val="center"/>
        </w:trPr>
        <w:tc>
          <w:tcPr>
            <w:tcW w:w="9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工程项目</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标的名称</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规格型号</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采购主数量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计量单位</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定货要求</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质量标准技术要求</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详细地址</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交货期</w:t>
            </w:r>
          </w:p>
        </w:tc>
        <w:tc>
          <w:tcPr>
            <w:tcW w:w="14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备注</w:t>
            </w:r>
          </w:p>
        </w:tc>
      </w:tr>
      <w:tr>
        <w:tblPrEx>
          <w:tblLayout w:type="fixed"/>
          <w:tblCellMar>
            <w:top w:w="15" w:type="dxa"/>
            <w:left w:w="15" w:type="dxa"/>
            <w:bottom w:w="15" w:type="dxa"/>
            <w:right w:w="15" w:type="dxa"/>
          </w:tblCellMar>
        </w:tblPrEx>
        <w:trPr>
          <w:trHeight w:val="286" w:hRule="atLeast"/>
          <w:jc w:val="center"/>
        </w:trPr>
        <w:tc>
          <w:tcPr>
            <w:tcW w:w="901"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r>
              <w:rPr>
                <w:rFonts w:hint="eastAsia" w:ascii="宋体" w:hAnsi="宋体" w:cs="宋体"/>
                <w:color w:val="000000"/>
                <w:kern w:val="0"/>
                <w:sz w:val="20"/>
                <w:szCs w:val="20"/>
                <w:lang w:bidi="ar"/>
              </w:rPr>
              <w:t>鲁能城三期二次结构及粗装修项目</w:t>
            </w: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配线 BV-4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502303.75</w:t>
            </w:r>
          </w:p>
        </w:tc>
        <w:tc>
          <w:tcPr>
            <w:tcW w:w="121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米</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送货到需方工地指定地点卸车</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GB/T 12706-2008</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成都市成华区槐树店路26号中铁二局工地</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按照需方通知要求</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指定品牌为四川鑫电电缆、特电电工、成都利康线缆、成都康达电缆</w:t>
            </w: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配线 WDZA-BYJ-10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30350.43</w:t>
            </w:r>
          </w:p>
        </w:tc>
        <w:tc>
          <w:tcPr>
            <w:tcW w:w="121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配线 WDZA-BYJ-16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20681.54</w:t>
            </w:r>
          </w:p>
        </w:tc>
        <w:tc>
          <w:tcPr>
            <w:tcW w:w="121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WDZA-YJY-(5x2.5)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5819.54</w:t>
            </w:r>
          </w:p>
        </w:tc>
        <w:tc>
          <w:tcPr>
            <w:tcW w:w="121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WDZA-YJY-3*6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2328.8</w:t>
            </w:r>
          </w:p>
        </w:tc>
        <w:tc>
          <w:tcPr>
            <w:tcW w:w="121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WDZN-YJY-(5x6)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2338.83</w:t>
            </w:r>
          </w:p>
        </w:tc>
        <w:tc>
          <w:tcPr>
            <w:tcW w:w="121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NG-A（BTLY）-（3*10）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3120.01</w:t>
            </w:r>
          </w:p>
        </w:tc>
        <w:tc>
          <w:tcPr>
            <w:tcW w:w="121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WDZN-YJY-(5x16)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997.52</w:t>
            </w:r>
          </w:p>
        </w:tc>
        <w:tc>
          <w:tcPr>
            <w:tcW w:w="121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WDZA-YJY-5*16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577.9</w:t>
            </w:r>
          </w:p>
        </w:tc>
        <w:tc>
          <w:tcPr>
            <w:tcW w:w="121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NG-A（BTLY）-（5*10）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1560.13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WDZA-YJY-(4x35+1x16)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33.4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NG-A(BTLY)-(5x16)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2281.27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NG-A（BTLY）-(2*25+1*16）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785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NG-A(BTLY)-(4x25+1x16)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151.86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WDZA-YJY-4*50+1*25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1313.66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NG-A(BTLY)-(4x35+1x16)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1204.35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WDZA-YJY-(4x70+1x35)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2067.15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WDZA-YJY-(4x95+1x50)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2277.58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WDZA-YJY-(4x120+1x70)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862.43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NG-A(BTLY)-(4*70+1*35)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11.6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WDZN-YJY-(4x150+1x70)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939.05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NG-A(BTLY)-(4x95+1x50)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1070.55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WDZA-YJY-(4x185+1x95)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777.55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电力电缆 NG-A(BTLY)-(4x150+1x70)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135.42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密集型母线槽 XLC-2000A/5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365.3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16"/>
                <w:szCs w:val="16"/>
              </w:rPr>
            </w:pPr>
            <w:r>
              <w:rPr>
                <w:rFonts w:ascii="方正书宋简体" w:hAnsi="方正书宋简体" w:eastAsia="方正书宋简体" w:cs="方正书宋简体"/>
                <w:color w:val="000000"/>
                <w:kern w:val="0"/>
                <w:sz w:val="16"/>
                <w:szCs w:val="16"/>
                <w:lang w:bidi="ar"/>
              </w:rPr>
              <w:t>防火母线槽 XLC-1250/4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762.23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b/>
                <w:color w:val="000000"/>
                <w:sz w:val="18"/>
                <w:szCs w:val="18"/>
              </w:rPr>
            </w:pP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方正书宋简体" w:hAnsi="方正书宋简体" w:eastAsia="方正书宋简体" w:cs="方正书宋简体"/>
                <w:color w:val="000000"/>
                <w:sz w:val="20"/>
                <w:szCs w:val="20"/>
              </w:rPr>
            </w:pPr>
            <w:r>
              <w:rPr>
                <w:rFonts w:ascii="方正书宋简体" w:hAnsi="方正书宋简体" w:eastAsia="方正书宋简体" w:cs="方正书宋简体"/>
                <w:color w:val="000000"/>
                <w:kern w:val="0"/>
                <w:sz w:val="20"/>
                <w:szCs w:val="20"/>
                <w:lang w:bidi="ar"/>
              </w:rPr>
              <w:t>电力电缆</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防火母线槽 XLC-1600/4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294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小计</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sum(D2:D28)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585410.85</w:t>
            </w:r>
            <w:r>
              <w:rPr>
                <w:rFonts w:hint="eastAsia" w:ascii="宋体" w:hAnsi="宋体" w:cs="宋体"/>
                <w:color w:val="000000"/>
                <w:sz w:val="18"/>
                <w:szCs w:val="18"/>
              </w:rPr>
              <w:fldChar w:fldCharType="end"/>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18"/>
                <w:szCs w:val="18"/>
              </w:rPr>
            </w:pPr>
          </w:p>
        </w:tc>
        <w:tc>
          <w:tcPr>
            <w:tcW w:w="14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bl>
    <w:p>
      <w:pPr>
        <w:adjustRightInd w:val="0"/>
        <w:snapToGrid w:val="0"/>
        <w:rPr>
          <w:rFonts w:hint="eastAsia" w:ascii="宋体" w:hAnsi="宋体"/>
          <w:sz w:val="18"/>
          <w:szCs w:val="18"/>
        </w:rPr>
      </w:pPr>
      <w:r>
        <w:rPr>
          <w:rFonts w:hint="eastAsia" w:ascii="宋体" w:hAnsi="宋体"/>
          <w:sz w:val="18"/>
          <w:szCs w:val="18"/>
        </w:rPr>
        <w:t xml:space="preserve">注： </w:t>
      </w:r>
    </w:p>
    <w:p>
      <w:pPr>
        <w:adjustRightInd w:val="0"/>
        <w:snapToGrid w:val="0"/>
        <w:rPr>
          <w:rFonts w:hint="eastAsia" w:ascii="宋体" w:hAnsi="宋体"/>
          <w:sz w:val="18"/>
          <w:szCs w:val="18"/>
        </w:rPr>
      </w:pPr>
      <w:r>
        <w:rPr>
          <w:rFonts w:hint="eastAsia" w:ascii="宋体" w:hAnsi="宋体"/>
          <w:sz w:val="18"/>
          <w:szCs w:val="18"/>
        </w:rPr>
        <w:t>1、表中为初步设计规格数量，最终规格数量以施工图为准，使用单位可根据施工图对以上规格数量进行调整。</w:t>
      </w:r>
    </w:p>
    <w:p>
      <w:pPr>
        <w:adjustRightInd w:val="0"/>
        <w:snapToGrid w:val="0"/>
        <w:rPr>
          <w:rFonts w:hint="eastAsia" w:ascii="宋体" w:hAnsi="宋体"/>
          <w:sz w:val="18"/>
          <w:szCs w:val="18"/>
        </w:rPr>
      </w:pPr>
      <w:r>
        <w:rPr>
          <w:rFonts w:hint="eastAsia" w:ascii="宋体" w:hAnsi="宋体"/>
          <w:sz w:val="18"/>
          <w:szCs w:val="18"/>
        </w:rPr>
        <w:t>2、交货时间及地点具体以使用单位的书面传真通知为准。</w:t>
      </w:r>
    </w:p>
    <w:p>
      <w:pPr>
        <w:adjustRightInd w:val="0"/>
        <w:snapToGrid w:val="0"/>
        <w:rPr>
          <w:rFonts w:hint="eastAsia" w:ascii="宋体" w:hAnsi="宋体"/>
          <w:sz w:val="18"/>
          <w:szCs w:val="18"/>
        </w:rPr>
      </w:pPr>
      <w:r>
        <w:rPr>
          <w:rFonts w:hint="eastAsia" w:ascii="宋体" w:hAnsi="宋体"/>
          <w:sz w:val="18"/>
          <w:szCs w:val="18"/>
        </w:rPr>
        <w:t>3、具体规格型号与电商平台不一致的，以标书文件为准。</w:t>
      </w:r>
    </w:p>
    <w:p>
      <w:pPr>
        <w:adjustRightInd w:val="0"/>
        <w:snapToGrid w:val="0"/>
        <w:rPr>
          <w:rFonts w:hint="eastAsia" w:ascii="宋体" w:hAnsi="宋体"/>
          <w:sz w:val="18"/>
          <w:szCs w:val="18"/>
        </w:rPr>
      </w:pPr>
      <w:r>
        <w:rPr>
          <w:rFonts w:hint="eastAsia" w:ascii="宋体" w:hAnsi="宋体"/>
          <w:sz w:val="18"/>
          <w:szCs w:val="18"/>
        </w:rPr>
        <w:t>4、本包件结算、付款方式：结算完成后，第二个月后甲方在收到乙方开具的正式的增值税专用发票后，次月20日前支付该批物资计价金额的65%，第3个月后按支付至97 %，剩余 3%在全部材料供应完毕后 3个月内无息支付，如发生纠纷，则延后至纠纷最终解决后30天内付清。质量保证金的支付并不免除乙方对交付货物质量的保证责任。</w:t>
      </w:r>
    </w:p>
    <w:p>
      <w:pPr>
        <w:adjustRightInd w:val="0"/>
        <w:snapToGrid w:val="0"/>
        <w:rPr>
          <w:rFonts w:hint="eastAsia" w:ascii="宋体" w:hAnsi="宋体"/>
          <w:sz w:val="18"/>
          <w:szCs w:val="18"/>
        </w:rPr>
      </w:pPr>
      <w:r>
        <w:rPr>
          <w:rFonts w:hint="eastAsia" w:ascii="宋体" w:hAnsi="宋体"/>
          <w:sz w:val="18"/>
          <w:szCs w:val="18"/>
        </w:rPr>
        <w:t>货款支付方式：甲方向乙方支付当期应付款30%的一年期无息商业承兑汇票，超过30%的应付款项，甲方采用现金转账或商业承兑汇票方式支付，若采用商票支付时乙方须在甲方指定的银行开户办理商票贴现业务，包括但不限于中国工商银行草市支行、中国兴业银行武侯祠支行、中国银行青羊支行、中国交通银行人南支行，甲方承担相应补偿费用；如不配合开户，导致资金拨付不到位的，与甲方无关。若乙方持有到期或未在甲方指定的金融机构办理商票贴现业务，甲方承担年化6%的补偿费用。</w:t>
      </w:r>
    </w:p>
    <w:p>
      <w:pPr>
        <w:adjustRightInd w:val="0"/>
        <w:snapToGrid w:val="0"/>
        <w:rPr>
          <w:rFonts w:hint="eastAsia" w:ascii="宋体" w:hAnsi="宋体"/>
          <w:sz w:val="18"/>
          <w:szCs w:val="18"/>
        </w:rPr>
      </w:pPr>
      <w:r>
        <w:rPr>
          <w:rFonts w:hint="eastAsia" w:ascii="宋体" w:hAnsi="宋体"/>
          <w:sz w:val="18"/>
          <w:szCs w:val="18"/>
        </w:rPr>
        <w:t>5、调价方式：不调价</w:t>
      </w:r>
    </w:p>
    <w:p>
      <w:pPr>
        <w:adjustRightInd w:val="0"/>
        <w:snapToGrid w:val="0"/>
        <w:rPr>
          <w:rFonts w:hint="eastAsia" w:ascii="宋体" w:hAnsi="宋体" w:eastAsia="宋体" w:cs="宋体"/>
          <w:sz w:val="24"/>
          <w:lang w:eastAsia="zh-CN"/>
        </w:rPr>
        <w:sectPr>
          <w:pgSz w:w="16838" w:h="11906" w:orient="landscape"/>
          <w:pgMar w:top="1474" w:right="1134" w:bottom="1191" w:left="1134" w:header="851" w:footer="992" w:gutter="0"/>
          <w:cols w:space="720" w:num="1"/>
        </w:sectPr>
      </w:pPr>
      <w:r>
        <w:rPr>
          <w:rFonts w:hint="eastAsia" w:ascii="宋体" w:hAnsi="宋体"/>
          <w:sz w:val="18"/>
          <w:szCs w:val="18"/>
        </w:rPr>
        <w:t>6、发票要求：一票制增值税专用发票，税率为16%</w:t>
      </w:r>
      <w:r>
        <w:rPr>
          <w:rFonts w:hint="eastAsia" w:ascii="宋体" w:hAnsi="宋体"/>
          <w:sz w:val="18"/>
          <w:szCs w:val="18"/>
          <w:lang w:eastAsia="zh-CN"/>
        </w:rPr>
        <w:t>。</w:t>
      </w:r>
      <w:bookmarkStart w:id="8" w:name="_GoBack"/>
      <w:bookmarkEnd w:id="8"/>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书宋简体">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84F95"/>
    <w:rsid w:val="2888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Cambria" w:hAnsi="Cambria"/>
      <w:b/>
      <w:bCs/>
      <w:kern w:val="0"/>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3"/>
    <w:basedOn w:val="1"/>
    <w:unhideWhenUsed/>
    <w:qFormat/>
    <w:uiPriority w:val="0"/>
    <w:rPr>
      <w:rFonts w:ascii="宋体"/>
      <w:kern w:val="0"/>
      <w:sz w:val="24"/>
      <w:szCs w:val="20"/>
    </w:rPr>
  </w:style>
  <w:style w:type="paragraph" w:customStyle="1" w:styleId="6">
    <w:name w:val="样式 标题 2 + Times New Roman 四号 非加粗 段前: 5 磅 段后: 0 磅 行距: 固定值 20..."/>
    <w:basedOn w:val="2"/>
    <w:next w:val="1"/>
    <w:qFormat/>
    <w:uiPriority w:val="0"/>
    <w:pPr>
      <w:spacing w:before="100" w:after="0" w:line="400" w:lineRule="exact"/>
    </w:pPr>
    <w:rPr>
      <w:rFonts w:ascii="Times New Roman" w:hAnsi="Times New Roman" w:eastAsia="黑体" w:cs="宋体"/>
      <w:b w:val="0"/>
      <w:bCs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2018-10-29T07:59:00Z</dcterms:created>
  <dc:creator>余建</dc:creator>
  <cp:lastModifiedBy>余建</cp:lastModifiedBy>
  <dcterms:modified xsi:type="dcterms:W3CDTF">2018-10-29T08:00:21Z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