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jc w:val="left"/>
        <w:outlineLvl w:val="1"/>
        <w:rPr>
          <w:rFonts w:hint="eastAsia" w:ascii="宋体" w:hAnsi="宋体" w:eastAsia="宋体" w:cs="宋体"/>
          <w:b/>
          <w:sz w:val="24"/>
          <w:lang w:val="en-US" w:eastAsia="zh-CN"/>
        </w:rPr>
      </w:pPr>
      <w:bookmarkStart w:id="0" w:name="_Toc450287120"/>
      <w:bookmarkStart w:id="1" w:name="_Toc13630"/>
      <w:bookmarkStart w:id="2" w:name="_Toc358145696"/>
      <w:bookmarkStart w:id="3" w:name="_Toc6844"/>
      <w:bookmarkStart w:id="4" w:name="_Toc328997670"/>
      <w:bookmarkStart w:id="5" w:name="_Toc29000"/>
      <w:bookmarkStart w:id="6" w:name="_Toc452445887"/>
      <w:bookmarkStart w:id="7" w:name="_Toc346545116"/>
      <w:bookmarkStart w:id="8" w:name="_Toc86"/>
      <w:r>
        <w:rPr>
          <w:rFonts w:ascii="宋体" w:hAnsi="宋体" w:eastAsia="宋体" w:cs="宋体"/>
          <w:b/>
          <w:sz w:val="24"/>
        </w:rPr>
        <w:t xml:space="preserve">附件1    </w:t>
      </w:r>
      <w:bookmarkEnd w:id="0"/>
      <w:r>
        <w:rPr>
          <w:rFonts w:ascii="宋体" w:hAnsi="宋体" w:eastAsia="宋体" w:cs="宋体"/>
          <w:b/>
          <w:sz w:val="24"/>
        </w:rPr>
        <w:t xml:space="preserve">                </w:t>
      </w:r>
      <w:bookmarkEnd w:id="1"/>
      <w:r>
        <w:rPr>
          <w:rFonts w:hint="eastAsia" w:ascii="宋体" w:hAnsi="宋体" w:eastAsia="宋体" w:cs="宋体"/>
          <w:b/>
          <w:sz w:val="24"/>
        </w:rPr>
        <w:t xml:space="preserve"> </w:t>
      </w:r>
      <w:bookmarkStart w:id="9" w:name="_GoBack"/>
      <w:bookmarkEnd w:id="9"/>
    </w:p>
    <w:p>
      <w:pPr>
        <w:pStyle w:val="5"/>
        <w:ind w:firstLine="0"/>
        <w:jc w:val="left"/>
        <w:outlineLvl w:val="1"/>
        <w:rPr>
          <w:rFonts w:ascii="宋体" w:hAnsi="宋体" w:eastAsia="宋体" w:cs="宋体"/>
          <w:b/>
          <w:sz w:val="24"/>
        </w:rPr>
      </w:pPr>
      <w:r>
        <w:rPr>
          <w:rFonts w:hint="eastAsia" w:ascii="宋体" w:hAnsi="宋体" w:eastAsia="宋体" w:cs="宋体"/>
          <w:b/>
          <w:sz w:val="24"/>
        </w:rPr>
        <w:t>武广客运专线浏阳河隧道水害整治工程物资采购计划一览表                                 招标编码：EEBW</w:t>
      </w:r>
      <w:r>
        <w:rPr>
          <w:rFonts w:hint="eastAsia" w:ascii="宋体" w:hAnsi="宋体" w:eastAsia="宋体" w:cs="宋体"/>
          <w:b/>
          <w:sz w:val="24"/>
          <w:lang w:val="en-US" w:eastAsia="zh-CN"/>
        </w:rPr>
        <w:t>TP</w:t>
      </w:r>
      <w:r>
        <w:rPr>
          <w:rFonts w:hint="eastAsia" w:ascii="宋体" w:hAnsi="宋体" w:eastAsia="宋体" w:cs="宋体"/>
          <w:b/>
          <w:sz w:val="24"/>
        </w:rPr>
        <w:t>2018-</w:t>
      </w:r>
      <w:r>
        <w:rPr>
          <w:rFonts w:hint="eastAsia" w:ascii="宋体" w:hAnsi="宋体" w:eastAsia="宋体" w:cs="宋体"/>
          <w:b/>
          <w:sz w:val="24"/>
          <w:lang w:val="en-US" w:eastAsia="zh-CN"/>
        </w:rPr>
        <w:t>104</w:t>
      </w:r>
    </w:p>
    <w:bookmarkEnd w:id="2"/>
    <w:bookmarkEnd w:id="3"/>
    <w:bookmarkEnd w:id="4"/>
    <w:bookmarkEnd w:id="5"/>
    <w:bookmarkEnd w:id="6"/>
    <w:bookmarkEnd w:id="7"/>
    <w:bookmarkEnd w:id="8"/>
    <w:tbl>
      <w:tblPr>
        <w:tblStyle w:val="4"/>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6"/>
        <w:gridCol w:w="1231"/>
        <w:gridCol w:w="1262"/>
        <w:gridCol w:w="3065"/>
        <w:gridCol w:w="814"/>
        <w:gridCol w:w="943"/>
        <w:gridCol w:w="943"/>
        <w:gridCol w:w="814"/>
        <w:gridCol w:w="2429"/>
        <w:gridCol w:w="624"/>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6"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序号</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包件号</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物资名称</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型号规格</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计量单位</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需求数量</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交货时间</w:t>
            </w:r>
          </w:p>
        </w:tc>
        <w:tc>
          <w:tcPr>
            <w:tcW w:w="81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交货地点</w:t>
            </w:r>
          </w:p>
        </w:tc>
        <w:tc>
          <w:tcPr>
            <w:tcW w:w="242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资格条件设置</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标书售价</w:t>
            </w:r>
          </w:p>
        </w:tc>
        <w:tc>
          <w:tcPr>
            <w:tcW w:w="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1"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DL-02</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3×4</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943"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2018年11月-2018年12月分批到货</w:t>
            </w: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湖南省长沙市芙蓉区东岸街道，具体地点另行通知</w:t>
            </w:r>
          </w:p>
        </w:tc>
        <w:tc>
          <w:tcPr>
            <w:tcW w:w="24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1. 生产企业注册资金不少于1亿元人民币；2.投标物资须具有CMA或CNAS标志的省部级及以上国家权威机构出具的产品型式试验报告和近三年产品检验报告；3.投标物资须具有设计时速300km/h</w:t>
            </w:r>
            <w:r>
              <w:rPr>
                <w:rFonts w:hint="eastAsia" w:ascii="宋体" w:hAnsi="宋体" w:cs="宋体"/>
                <w:i w:val="0"/>
                <w:color w:val="000000"/>
                <w:kern w:val="0"/>
                <w:sz w:val="20"/>
                <w:szCs w:val="20"/>
                <w:u w:val="none"/>
                <w:lang w:val="en-US" w:eastAsia="zh-CN" w:bidi="ar"/>
              </w:rPr>
              <w:t>及以上</w:t>
            </w:r>
            <w:r>
              <w:rPr>
                <w:rFonts w:hint="eastAsia" w:ascii="宋体" w:hAnsi="宋体" w:eastAsia="宋体" w:cs="宋体"/>
                <w:i w:val="0"/>
                <w:color w:val="000000"/>
                <w:kern w:val="0"/>
                <w:sz w:val="20"/>
                <w:szCs w:val="20"/>
                <w:u w:val="none"/>
                <w:lang w:val="en-US" w:eastAsia="zh-CN" w:bidi="ar"/>
              </w:rPr>
              <w:t>高速铁路供货业绩，须提供供货合同（含供货清单）和相对应的铁路局（公司）运营主管部门出具的开通运营一年及以上的安全运行证明；4.投标生产企业必须在中国中铁股份有限公司的《中国中铁电线电缆供应商准入名录》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5.不接受代理商和联合体投标</w:t>
            </w:r>
          </w:p>
        </w:tc>
        <w:tc>
          <w:tcPr>
            <w:tcW w:w="624" w:type="dxa"/>
            <w:vMerge w:val="restart"/>
            <w:tcBorders>
              <w:top w:val="single" w:color="000000" w:sz="4" w:space="0"/>
              <w:left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500元</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3×10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5×4</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4</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5×16</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4×35+1×16</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4×70+1×35</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4×95+1×50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4×120+1×70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4×150+1×70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vMerge w:val="continue"/>
            <w:tcBorders>
              <w:left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4×185+1×95</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4×240+1×120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6.02</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2×6</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2×10</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2×16</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4×16</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3"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7" w:hRule="atLeast"/>
        </w:trPr>
        <w:tc>
          <w:tcPr>
            <w:tcW w:w="84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231"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NH-VV22-0.6/1kV 3×70+1×35</w:t>
            </w:r>
          </w:p>
        </w:tc>
        <w:tc>
          <w:tcPr>
            <w:tcW w:w="8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3" w:type="dxa"/>
            <w:vMerge w:val="continue"/>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846"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231"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62"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3×185+1×95</w:t>
            </w:r>
          </w:p>
        </w:tc>
        <w:tc>
          <w:tcPr>
            <w:tcW w:w="81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3"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3"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09" w:type="dxa"/>
            <w:tcBorders>
              <w:top w:val="single" w:color="auto" w:sz="4" w:space="0"/>
              <w:left w:val="single" w:color="000000" w:sz="4" w:space="0"/>
              <w:bottom w:val="single" w:color="auto" w:sz="4" w:space="0"/>
              <w:right w:val="single" w:color="auto" w:sz="4" w:space="0"/>
            </w:tcBorders>
            <w:vAlign w:val="center"/>
          </w:tcPr>
          <w:p>
            <w:pPr>
              <w:rPr>
                <w:rFonts w:hint="eastAsia" w:ascii="宋体" w:hAnsi="宋体" w:eastAsia="宋体" w:cs="宋体"/>
                <w:i w:val="0"/>
                <w:color w:val="000000"/>
                <w:sz w:val="18"/>
                <w:szCs w:val="18"/>
                <w:u w:val="none"/>
              </w:rPr>
            </w:pPr>
          </w:p>
        </w:tc>
      </w:tr>
    </w:tbl>
    <w:p>
      <w:pPr>
        <w:rPr>
          <w:rFonts w:ascii="宋体" w:hAnsi="宋体" w:cs="宋体"/>
          <w:b/>
          <w:szCs w:val="21"/>
        </w:rPr>
      </w:pPr>
      <w:r>
        <w:rPr>
          <w:rFonts w:hint="eastAsia" w:ascii="宋体" w:hAnsi="宋体" w:cs="宋体"/>
          <w:sz w:val="20"/>
          <w:szCs w:val="21"/>
        </w:rPr>
        <w:t xml:space="preserve"> </w:t>
      </w:r>
      <w:r>
        <w:rPr>
          <w:rFonts w:hint="eastAsia" w:ascii="宋体" w:hAnsi="宋体" w:cs="宋体"/>
          <w:b/>
          <w:szCs w:val="21"/>
        </w:rPr>
        <w:t xml:space="preserve"> </w:t>
      </w:r>
      <w:r>
        <w:rPr>
          <w:rFonts w:hint="eastAsia" w:ascii="宋体" w:hAnsi="宋体" w:cs="宋体"/>
          <w:b/>
          <w:sz w:val="24"/>
        </w:rPr>
        <w:t>注：以上规格型号数量是施工图数量，最终供货规格型号数量以现场实际确认单为准。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mSun+1">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53C01"/>
    <w:rsid w:val="2E253C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kern w:val="0"/>
      <w:sz w:val="20"/>
    </w:rPr>
  </w:style>
  <w:style w:type="paragraph" w:customStyle="1" w:styleId="5">
    <w:name w:val="样式10"/>
    <w:basedOn w:val="2"/>
    <w:qFormat/>
    <w:uiPriority w:val="0"/>
    <w:pPr>
      <w:keepNext/>
      <w:keepLines/>
      <w:suppressLineNumbers/>
      <w:tabs>
        <w:tab w:val="left" w:pos="960"/>
        <w:tab w:val="left" w:pos="1134"/>
      </w:tabs>
      <w:suppressAutoHyphens/>
      <w:autoSpaceDE w:val="0"/>
      <w:autoSpaceDN w:val="0"/>
      <w:adjustRightInd w:val="0"/>
      <w:spacing w:after="0"/>
      <w:ind w:left="0" w:leftChars="0" w:firstLine="560"/>
      <w:outlineLvl w:val="0"/>
    </w:pPr>
    <w:rPr>
      <w:rFonts w:ascii="SimSun+1" w:eastAsia="SimSun+1"/>
      <w:color w:val="000000"/>
      <w:kern w:val="28"/>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2018-11-01T08:55:00Z</dcterms:created>
  <dc:creator>86152</dc:creator>
  <cp:lastModifiedBy>86152</cp:lastModifiedBy>
  <dcterms:modified xsi:type="dcterms:W3CDTF">2018-11-01T08:57:22Z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