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5" w:lineRule="auto"/>
        <w:rPr>
          <w:sz w:val="28"/>
          <w:szCs w:val="28"/>
        </w:rPr>
      </w:pPr>
      <w:bookmarkStart w:id="0" w:name="_Toc20643"/>
      <w:bookmarkStart w:id="1" w:name="_Toc24059"/>
      <w:r>
        <w:rPr>
          <w:rFonts w:hint="eastAsia" w:eastAsia="宋体"/>
          <w:sz w:val="28"/>
          <w:szCs w:val="28"/>
        </w:rPr>
        <w:t>附件一：</w:t>
      </w:r>
      <w:r>
        <w:rPr>
          <w:rFonts w:hint="eastAsia"/>
          <w:sz w:val="28"/>
          <w:szCs w:val="28"/>
        </w:rPr>
        <w:t>招标</w:t>
      </w:r>
      <w:r>
        <w:rPr>
          <w:rFonts w:hint="eastAsia"/>
          <w:sz w:val="28"/>
          <w:szCs w:val="28"/>
          <w:lang w:eastAsia="zh-CN"/>
        </w:rPr>
        <w:t>材料</w:t>
      </w:r>
      <w:r>
        <w:rPr>
          <w:rFonts w:hint="eastAsia"/>
          <w:sz w:val="28"/>
          <w:szCs w:val="28"/>
        </w:rPr>
        <w:t>包件划分一览表</w:t>
      </w:r>
      <w:bookmarkEnd w:id="0"/>
      <w:bookmarkEnd w:id="1"/>
    </w:p>
    <w:tbl>
      <w:tblPr>
        <w:tblStyle w:val="6"/>
        <w:tblW w:w="1463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41"/>
        <w:gridCol w:w="786"/>
        <w:gridCol w:w="1395"/>
        <w:gridCol w:w="1637"/>
        <w:gridCol w:w="1"/>
        <w:gridCol w:w="948"/>
        <w:gridCol w:w="1"/>
        <w:gridCol w:w="1339"/>
        <w:gridCol w:w="1274"/>
        <w:gridCol w:w="1333"/>
        <w:gridCol w:w="1333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7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交货地点</w:t>
            </w:r>
          </w:p>
        </w:tc>
        <w:tc>
          <w:tcPr>
            <w:tcW w:w="7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预估数量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投标人资格要求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投标保证金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交货期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01</w:t>
            </w:r>
          </w:p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中铁建工集团有限公司中铁大厦、中铁佳苑建设项目工地（云南省昆明市呈贡区联大街与彩云南路交界地铁站附近）</w:t>
            </w:r>
          </w:p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 xml:space="preserve">　   </w:t>
            </w:r>
          </w:p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控制电缆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KVV-4*1.5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详见招标公告</w:t>
            </w:r>
          </w:p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ahoma" w:hAnsi="Tahoma" w:cs="Tahom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1万元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合同签订之日起至工程结束</w:t>
            </w:r>
          </w:p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按第四章合同条款及格式第二节专用合同条款第3.2条“合同价款的支付”。</w:t>
            </w:r>
          </w:p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YJV-3*4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控制电缆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WDZN-KYJY-5*1.5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NH-YJV-4*2.5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NH-YJV-5*2.5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YJV-3*6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NH-YJV-4*4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NH-YJV-5*4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YCW-4*2.5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2400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NH-YJV-5*6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6700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NH-YJV-4*10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YJV-5*10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YJV-3*16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BTLY-4*6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YJV-5*6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7000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BTLY-4*10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4500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NH-YJV-5*16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YJV-3*25+2*16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BTLY-4*16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YJV-4*25+1*16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2600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YJV-5*16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6100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YJV-2*35+1*16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NH-YJV-4*25+1*16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2300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NH-YJV-3*35+1*16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YJV-2*50+1*25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YJV-4*35+1*16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NH-YJV-4*35+1*16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2400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YJV-2*70+1*35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YJV-3*50+2*25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YJV-4*50+1*25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BTLY-4*25+1*16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YJV-4*70+1*35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NH-YJV-4*50+1*25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NH-YJV-3*95+1*50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YJV-4*120+1*70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YJV-4*150+1*70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u w:val="none"/>
                <w:lang w:eastAsia="zh-CN"/>
              </w:rPr>
              <w:t>电力电缆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YJV-4*240+1*120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合计</w:t>
            </w:r>
          </w:p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79730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</w:tbl>
    <w:p/>
    <w:p>
      <w:pPr>
        <w:shd w:val="clear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注： </w:t>
      </w:r>
    </w:p>
    <w:p>
      <w:pPr>
        <w:shd w:val="clear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1、表中为初步设计规格数量，最终规格数量以施工图为准，使用单位可根据施工图对以上规格数量进行调整。</w:t>
      </w:r>
    </w:p>
    <w:p>
      <w:pPr>
        <w:shd w:val="clear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2、交货时间及地点具体以使用单位的书面传真通知为准。</w:t>
      </w:r>
    </w:p>
    <w:p>
      <w:pPr>
        <w:shd w:val="clear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3、具体规格型号与电商平台不一致的，以标书文件为准。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  <w:highlight w:val="none"/>
        </w:rPr>
        <w:sectPr>
          <w:pgSz w:w="16840" w:h="11907" w:orient="landscape"/>
          <w:pgMar w:top="1418" w:right="1134" w:bottom="1418" w:left="1134" w:header="340" w:footer="1361" w:gutter="0"/>
          <w:pgNumType w:fmt="decimal"/>
          <w:cols w:space="425" w:num="1"/>
          <w:docGrid w:linePitch="312" w:charSpace="0"/>
        </w:sect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4、本包件结算、付款方式：货款分期支付。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每月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15日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结算完成后，甲方在收到乙方开具的正式增值税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专用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发票后30日内，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甲方向乙方支付当月应付货物款的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70%，最后一批进场后次月的30日之前付到货物款的95%，剩余5%作为质保金。在质保期满后一个月内无息支付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。质量保证金的支付并不免除乙方对交付物资质量的保证责任。如发生纠纷，则延后至纠纷最终解决后30天内付清。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7D6C"/>
    <w:rsid w:val="2B881233"/>
    <w:rsid w:val="47A17D6C"/>
    <w:rsid w:val="4E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2018-12-29T06:40:00Z</dcterms:created>
  <dc:creator>久伴一生i</dc:creator>
  <cp:lastModifiedBy>久伴一生i</cp:lastModifiedBy>
  <dcterms:modified xsi:type="dcterms:W3CDTF">2018-12-29T07:14:11Z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