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25" w:rsidRDefault="003D5298" w:rsidP="00D06D48">
      <w:pPr>
        <w:spacing w:beforeLines="50" w:before="156" w:afterLines="50" w:after="156" w:line="360" w:lineRule="exact"/>
        <w:ind w:firstLineChars="1151" w:firstLine="3687"/>
        <w:outlineLvl w:val="2"/>
        <w:rPr>
          <w:rFonts w:ascii="华文中宋" w:eastAsia="华文中宋" w:hAnsi="华文中宋"/>
          <w:b/>
          <w:bCs/>
          <w:kern w:val="44"/>
          <w:sz w:val="32"/>
          <w:szCs w:val="32"/>
        </w:rPr>
      </w:pPr>
      <w:bookmarkStart w:id="0" w:name="_Toc7298"/>
      <w:bookmarkStart w:id="1" w:name="_Toc27430"/>
      <w:bookmarkStart w:id="2" w:name="_Toc2826"/>
      <w:r>
        <w:rPr>
          <w:rFonts w:ascii="华文中宋" w:eastAsia="华文中宋" w:hAnsi="华文中宋" w:hint="eastAsia"/>
          <w:b/>
          <w:bCs/>
          <w:kern w:val="44"/>
          <w:sz w:val="32"/>
          <w:szCs w:val="32"/>
        </w:rPr>
        <w:t>一、</w:t>
      </w:r>
      <w:bookmarkEnd w:id="0"/>
      <w:bookmarkEnd w:id="1"/>
      <w:bookmarkEnd w:id="2"/>
      <w:r>
        <w:rPr>
          <w:rFonts w:ascii="华文中宋" w:eastAsia="华文中宋" w:hAnsi="华文中宋" w:hint="eastAsia"/>
          <w:b/>
          <w:bCs/>
          <w:kern w:val="44"/>
          <w:sz w:val="32"/>
          <w:szCs w:val="32"/>
        </w:rPr>
        <w:t>招标公告</w:t>
      </w:r>
    </w:p>
    <w:p w:rsidR="00B71625" w:rsidRDefault="003D5298">
      <w:pPr>
        <w:tabs>
          <w:tab w:val="left" w:pos="992"/>
        </w:tabs>
        <w:wordWrap w:val="0"/>
        <w:ind w:right="720"/>
        <w:jc w:val="right"/>
        <w:rPr>
          <w:rFonts w:ascii="仿宋_GB2312"/>
          <w:sz w:val="24"/>
        </w:rPr>
      </w:pPr>
      <w:r>
        <w:rPr>
          <w:rFonts w:ascii="仿宋_GB2312" w:hint="eastAsia"/>
          <w:sz w:val="24"/>
        </w:rPr>
        <w:t xml:space="preserve">   No.</w:t>
      </w:r>
    </w:p>
    <w:p w:rsidR="00B71625" w:rsidRDefault="003D5298">
      <w:pPr>
        <w:spacing w:line="360" w:lineRule="auto"/>
        <w:ind w:firstLineChars="1300" w:firstLine="3120"/>
        <w:jc w:val="left"/>
        <w:rPr>
          <w:rFonts w:ascii="仿宋_GB2312" w:eastAsia="仿宋_GB2312" w:hAnsi="仿宋_GB2312" w:cs="仿宋_GB2312"/>
          <w:sz w:val="24"/>
        </w:rPr>
      </w:pPr>
      <w:r>
        <w:rPr>
          <w:rFonts w:ascii="仿宋_GB2312" w:eastAsia="仿宋_GB2312" w:hAnsi="仿宋_GB2312" w:cs="仿宋_GB2312" w:hint="eastAsia"/>
          <w:sz w:val="24"/>
        </w:rPr>
        <w:t>公司：</w:t>
      </w:r>
    </w:p>
    <w:p w:rsidR="00B71625" w:rsidRDefault="003D5298">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我公司拟对承建</w:t>
      </w:r>
      <w:r>
        <w:rPr>
          <w:rFonts w:ascii="仿宋_GB2312" w:eastAsia="仿宋_GB2312" w:hAnsi="仿宋_GB2312" w:cs="仿宋_GB2312" w:hint="eastAsia"/>
          <w:sz w:val="24"/>
          <w:u w:val="single"/>
        </w:rPr>
        <w:t>福建食品检验检测实验楼</w:t>
      </w:r>
      <w:r>
        <w:rPr>
          <w:rFonts w:ascii="仿宋_GB2312" w:eastAsia="仿宋_GB2312" w:hAnsi="仿宋_GB2312" w:cs="仿宋_GB2312" w:hint="eastAsia"/>
          <w:sz w:val="24"/>
        </w:rPr>
        <w:t>的</w:t>
      </w:r>
      <w:r w:rsidR="00D06D48">
        <w:rPr>
          <w:rFonts w:ascii="仿宋" w:eastAsia="仿宋" w:hAnsi="仿宋" w:cs="仿宋" w:hint="eastAsia"/>
          <w:sz w:val="24"/>
          <w:u w:val="single"/>
        </w:rPr>
        <w:t>电线电缆</w:t>
      </w:r>
      <w:r>
        <w:rPr>
          <w:rFonts w:ascii="仿宋_GB2312" w:eastAsia="仿宋_GB2312" w:hAnsi="仿宋_GB2312" w:cs="仿宋_GB2312" w:hint="eastAsia"/>
          <w:sz w:val="24"/>
        </w:rPr>
        <w:t xml:space="preserve">进行招标，诚邀符合资格要求、 能提供优质服务的国内供应商参加投标，具体事宜如下 </w:t>
      </w:r>
    </w:p>
    <w:tbl>
      <w:tblPr>
        <w:tblW w:w="92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61"/>
        <w:gridCol w:w="1785"/>
        <w:gridCol w:w="6654"/>
      </w:tblGrid>
      <w:tr w:rsidR="00B71625">
        <w:trPr>
          <w:trHeight w:val="513"/>
        </w:trPr>
        <w:tc>
          <w:tcPr>
            <w:tcW w:w="761" w:type="dxa"/>
            <w:vAlign w:val="center"/>
          </w:tcPr>
          <w:p w:rsidR="00B71625" w:rsidRDefault="003D5298">
            <w:pP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6654"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内容</w:t>
            </w:r>
          </w:p>
        </w:tc>
      </w:tr>
      <w:tr w:rsidR="00B71625">
        <w:trPr>
          <w:trHeight w:val="514"/>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招标编号</w:t>
            </w:r>
          </w:p>
        </w:tc>
        <w:tc>
          <w:tcPr>
            <w:tcW w:w="6654" w:type="dxa"/>
            <w:vAlign w:val="center"/>
          </w:tcPr>
          <w:p w:rsidR="00B71625" w:rsidRDefault="00BD5ED1">
            <w:pPr>
              <w:jc w:val="left"/>
              <w:rPr>
                <w:rFonts w:ascii="仿宋_GB2312" w:eastAsia="仿宋_GB2312" w:hAnsi="仿宋_GB2312" w:cs="仿宋_GB2312"/>
                <w:sz w:val="24"/>
              </w:rPr>
            </w:pPr>
            <w:r>
              <w:rPr>
                <w:rFonts w:ascii="仿宋_GB2312" w:eastAsia="仿宋_GB2312" w:hAnsi="仿宋_GB2312" w:cs="仿宋_GB2312" w:hint="eastAsia"/>
                <w:sz w:val="24"/>
              </w:rPr>
              <w:t>cscec19052400498</w:t>
            </w:r>
          </w:p>
        </w:tc>
      </w:tr>
      <w:tr w:rsidR="00B71625">
        <w:trPr>
          <w:trHeight w:val="631"/>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招 标 方</w:t>
            </w:r>
          </w:p>
        </w:tc>
        <w:tc>
          <w:tcPr>
            <w:tcW w:w="6654" w:type="dxa"/>
            <w:vAlign w:val="center"/>
          </w:tcPr>
          <w:p w:rsidR="00B71625" w:rsidRDefault="003D5298">
            <w:pPr>
              <w:jc w:val="left"/>
              <w:rPr>
                <w:rFonts w:ascii="仿宋_GB2312" w:eastAsia="仿宋_GB2312" w:hAnsi="仿宋_GB2312" w:cs="仿宋_GB2312"/>
                <w:sz w:val="24"/>
              </w:rPr>
            </w:pPr>
            <w:r>
              <w:rPr>
                <w:rFonts w:ascii="仿宋_GB2312" w:eastAsia="仿宋_GB2312" w:hAnsi="仿宋_GB2312" w:cs="仿宋_GB2312" w:hint="eastAsia"/>
                <w:sz w:val="24"/>
              </w:rPr>
              <w:t>中建海峡建设发展有限公司机电安装工程公司</w:t>
            </w:r>
          </w:p>
        </w:tc>
      </w:tr>
      <w:tr w:rsidR="00B71625">
        <w:trPr>
          <w:trHeight w:val="432"/>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招标方式</w:t>
            </w:r>
          </w:p>
        </w:tc>
        <w:tc>
          <w:tcPr>
            <w:tcW w:w="6654" w:type="dxa"/>
            <w:vAlign w:val="center"/>
          </w:tcPr>
          <w:p w:rsidR="00B71625" w:rsidRDefault="003D5298">
            <w:pPr>
              <w:rPr>
                <w:rFonts w:ascii="仿宋" w:eastAsia="仿宋" w:hAnsi="仿宋" w:cs="仿宋"/>
                <w:bCs/>
                <w:color w:val="000000"/>
                <w:sz w:val="24"/>
              </w:rPr>
            </w:pPr>
            <w:r>
              <w:rPr>
                <w:rFonts w:ascii="仿宋" w:eastAsia="仿宋" w:hAnsi="仿宋" w:cs="仿宋" w:hint="eastAsia"/>
                <w:bCs/>
                <w:color w:val="000000"/>
                <w:sz w:val="24"/>
              </w:rPr>
              <w:t>公开招标</w:t>
            </w:r>
          </w:p>
        </w:tc>
      </w:tr>
      <w:tr w:rsidR="00B71625">
        <w:trPr>
          <w:trHeight w:val="1176"/>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招标内容</w:t>
            </w:r>
          </w:p>
        </w:tc>
        <w:tc>
          <w:tcPr>
            <w:tcW w:w="6654" w:type="dxa"/>
            <w:vAlign w:val="center"/>
          </w:tcPr>
          <w:p w:rsidR="00B71625" w:rsidRDefault="003D5298">
            <w:pPr>
              <w:rPr>
                <w:rFonts w:ascii="仿宋" w:eastAsia="仿宋" w:hAnsi="仿宋" w:cs="仿宋"/>
                <w:bCs/>
                <w:color w:val="000000"/>
                <w:sz w:val="24"/>
              </w:rPr>
            </w:pPr>
            <w:r>
              <w:rPr>
                <w:rFonts w:ascii="仿宋" w:eastAsia="仿宋" w:hAnsi="仿宋" w:cs="仿宋" w:hint="eastAsia"/>
                <w:bCs/>
                <w:color w:val="000000"/>
                <w:sz w:val="24"/>
              </w:rPr>
              <w:t>1、采购标的物名称/数量：</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 xml:space="preserve">   采购标的物：</w:t>
            </w:r>
            <w:r w:rsidR="00D06D48">
              <w:rPr>
                <w:rFonts w:ascii="仿宋" w:eastAsia="仿宋" w:hAnsi="仿宋" w:cs="仿宋" w:hint="eastAsia"/>
                <w:sz w:val="24"/>
              </w:rPr>
              <w:t>电线电缆</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 xml:space="preserve">   数量、型号等详见招标清单</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2、进场的物资必须符合国家标准及甲方提出的要求。</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3、投标人资质要求：在“云筑网”合格供应商，且通过公司招标工作小组资格预审的供应商。</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4、招标文件获取方式：在“云筑网”上（网址为：http://www.yzw.cn）下载。</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5、投标方式：本次投标采用采用网上投标和纸质投标相结合的方式，未完成线上投标的单位，本次投标作废。</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6、投标文件有效期：提交投标文件截止日后60天内有效。</w:t>
            </w:r>
          </w:p>
          <w:p w:rsidR="00B71625" w:rsidRDefault="003D5298">
            <w:pPr>
              <w:spacing w:line="320" w:lineRule="exact"/>
              <w:rPr>
                <w:rFonts w:ascii="仿宋" w:eastAsia="仿宋" w:hAnsi="仿宋" w:cs="楷体_GB2312"/>
                <w:sz w:val="24"/>
              </w:rPr>
            </w:pPr>
            <w:r>
              <w:rPr>
                <w:rFonts w:ascii="仿宋" w:eastAsia="仿宋" w:hAnsi="仿宋" w:cs="仿宋" w:hint="eastAsia"/>
                <w:bCs/>
                <w:color w:val="000000"/>
                <w:sz w:val="24"/>
              </w:rPr>
              <w:t>7、结算及支付：</w:t>
            </w:r>
            <w:r>
              <w:rPr>
                <w:rFonts w:ascii="仿宋" w:eastAsia="仿宋" w:hAnsi="仿宋" w:cs="仿宋" w:hint="eastAsia"/>
                <w:sz w:val="24"/>
              </w:rPr>
              <w:t>自合同签订之日乙方开始备货，乙方根据甲方要求时间供货，以供货通知书为准。</w:t>
            </w:r>
            <w:r>
              <w:rPr>
                <w:rFonts w:ascii="仿宋" w:eastAsia="仿宋" w:hAnsi="仿宋" w:hint="eastAsia"/>
                <w:sz w:val="24"/>
              </w:rPr>
              <w:t>无预付款，以现场验收计量为准，办理当月结算，待工程业主批复计量款到位后，次月支付上月已对账货款的100%。</w:t>
            </w:r>
            <w:r>
              <w:rPr>
                <w:rFonts w:ascii="仿宋" w:eastAsia="仿宋" w:hAnsi="仿宋" w:cs="楷体_GB2312" w:hint="eastAsia"/>
                <w:sz w:val="24"/>
              </w:rPr>
              <w:t>付款方式：通过银行转账方式。</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8、每批次货款支付前，乙方必须向需方出具等额合法有效且与实际供货内容一致的13%材料增值税专用发票，否则甲方有权拒绝结清货款。</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9、报价包含物资款、运输费、装（卸）车费、管理费、利润、风险、13%材料增值税专用发票税费以及乙方因出售该物资应缴纳的一切税费等全部费用。</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10、技术要求：符合国家标准。</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对供应商的要求：</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1、要求供应商为厂商或代理商</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2、为中建海峡建设发展有限公司合格名录内</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3、有相似工程业绩</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4、品牌要求：</w:t>
            </w:r>
            <w:r w:rsidR="00956263" w:rsidRPr="008E7D23">
              <w:rPr>
                <w:rFonts w:ascii="Calibri" w:eastAsia="仿宋_GB2312" w:hint="eastAsia"/>
                <w:sz w:val="24"/>
                <w:szCs w:val="22"/>
              </w:rPr>
              <w:t>电线电缆</w:t>
            </w:r>
            <w:r w:rsidR="00956263" w:rsidRPr="008E7D23">
              <w:rPr>
                <w:rFonts w:eastAsia="仿宋_GB2312" w:hint="eastAsia"/>
                <w:sz w:val="24"/>
                <w:szCs w:val="22"/>
              </w:rPr>
              <w:t>——太阳、瑞鑫、上上</w:t>
            </w:r>
            <w:r w:rsidR="00956263" w:rsidRPr="008E7D23">
              <w:rPr>
                <w:rFonts w:eastAsia="仿宋_GB2312" w:hint="eastAsia"/>
                <w:sz w:val="24"/>
                <w:szCs w:val="22"/>
              </w:rPr>
              <w:t xml:space="preserve"> </w:t>
            </w:r>
            <w:r w:rsidR="00956263" w:rsidRPr="008E7D23">
              <w:rPr>
                <w:rFonts w:eastAsia="仿宋_GB2312" w:hint="eastAsia"/>
                <w:sz w:val="24"/>
                <w:szCs w:val="22"/>
              </w:rPr>
              <w:t>矿物电缆——太阳、瑞鑫、辉阳</w:t>
            </w:r>
            <w:r w:rsidR="00956263" w:rsidRPr="008E7D23">
              <w:rPr>
                <w:rFonts w:eastAsia="仿宋_GB2312" w:hint="eastAsia"/>
                <w:sz w:val="24"/>
                <w:szCs w:val="22"/>
              </w:rPr>
              <w:t xml:space="preserve"> </w:t>
            </w:r>
            <w:r w:rsidR="00956263" w:rsidRPr="008E7D23">
              <w:rPr>
                <w:rFonts w:eastAsia="仿宋_GB2312" w:hint="eastAsia"/>
                <w:sz w:val="24"/>
                <w:szCs w:val="22"/>
              </w:rPr>
              <w:t>母线槽——太阳、瑞鑫、超阳</w:t>
            </w:r>
          </w:p>
          <w:p w:rsidR="00B71625" w:rsidRDefault="003D5298">
            <w:pPr>
              <w:rPr>
                <w:rFonts w:ascii="仿宋" w:eastAsia="仿宋" w:hAnsi="仿宋" w:cs="仿宋"/>
                <w:bCs/>
                <w:color w:val="000000"/>
                <w:sz w:val="24"/>
              </w:rPr>
            </w:pPr>
            <w:r>
              <w:rPr>
                <w:rFonts w:ascii="仿宋" w:eastAsia="仿宋" w:hAnsi="仿宋" w:cs="仿宋" w:hint="eastAsia"/>
                <w:bCs/>
                <w:color w:val="000000"/>
                <w:sz w:val="24"/>
              </w:rPr>
              <w:t>5、投标保证金壹万元，以转账形式交纳至招标单位，交纸质投标文件时须单独提交投标保证金缴款凭证复印件。</w:t>
            </w:r>
          </w:p>
        </w:tc>
      </w:tr>
      <w:tr w:rsidR="00B71625">
        <w:trPr>
          <w:trHeight w:hRule="exact" w:val="651"/>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color w:val="000000"/>
                <w:sz w:val="24"/>
              </w:rPr>
              <w:t>报名开始时间</w:t>
            </w:r>
          </w:p>
        </w:tc>
        <w:tc>
          <w:tcPr>
            <w:tcW w:w="6654" w:type="dxa"/>
            <w:vAlign w:val="center"/>
          </w:tcPr>
          <w:p w:rsidR="00B71625" w:rsidRDefault="003D5298">
            <w:pPr>
              <w:rPr>
                <w:rFonts w:ascii="仿宋" w:eastAsia="仿宋" w:hAnsi="仿宋" w:cs="仿宋"/>
                <w:bCs/>
                <w:color w:val="000000"/>
                <w:sz w:val="24"/>
              </w:rPr>
            </w:pPr>
            <w:r>
              <w:rPr>
                <w:rFonts w:ascii="仿宋_GB2312" w:eastAsia="仿宋_GB2312" w:hAnsi="仿宋_GB2312" w:cs="仿宋_GB2312" w:hint="eastAsia"/>
                <w:sz w:val="24"/>
              </w:rPr>
              <w:t>201</w:t>
            </w:r>
            <w:r w:rsidR="00624B0B">
              <w:rPr>
                <w:rFonts w:ascii="仿宋_GB2312" w:eastAsia="仿宋_GB2312" w:hAnsi="仿宋_GB2312" w:cs="仿宋_GB2312" w:hint="eastAsia"/>
                <w:sz w:val="24"/>
              </w:rPr>
              <w:t>9</w:t>
            </w:r>
            <w:r>
              <w:rPr>
                <w:rFonts w:ascii="仿宋_GB2312" w:eastAsia="仿宋_GB2312" w:hAnsi="仿宋_GB2312" w:cs="仿宋_GB2312" w:hint="eastAsia"/>
                <w:sz w:val="24"/>
              </w:rPr>
              <w:t>年</w:t>
            </w:r>
            <w:r w:rsidR="00624B0B">
              <w:rPr>
                <w:rFonts w:ascii="仿宋_GB2312" w:eastAsia="仿宋_GB2312" w:hAnsi="仿宋_GB2312" w:cs="仿宋_GB2312" w:hint="eastAsia"/>
                <w:sz w:val="24"/>
              </w:rPr>
              <w:t>5</w:t>
            </w:r>
            <w:r>
              <w:rPr>
                <w:rFonts w:ascii="仿宋_GB2312" w:eastAsia="仿宋_GB2312" w:hAnsi="仿宋_GB2312" w:cs="仿宋_GB2312" w:hint="eastAsia"/>
                <w:sz w:val="24"/>
              </w:rPr>
              <w:t>月2</w:t>
            </w:r>
            <w:r w:rsidR="00624B0B">
              <w:rPr>
                <w:rFonts w:ascii="仿宋_GB2312" w:eastAsia="仿宋_GB2312" w:hAnsi="仿宋_GB2312" w:cs="仿宋_GB2312" w:hint="eastAsia"/>
                <w:sz w:val="24"/>
              </w:rPr>
              <w:t>4</w:t>
            </w:r>
            <w:r>
              <w:rPr>
                <w:rFonts w:ascii="仿宋_GB2312" w:eastAsia="仿宋_GB2312" w:hAnsi="仿宋_GB2312" w:cs="仿宋_GB2312" w:hint="eastAsia"/>
                <w:sz w:val="24"/>
              </w:rPr>
              <w:t>日 1</w:t>
            </w:r>
            <w:r w:rsidR="00624B0B">
              <w:rPr>
                <w:rFonts w:ascii="仿宋_GB2312" w:eastAsia="仿宋_GB2312" w:hAnsi="仿宋_GB2312" w:cs="仿宋_GB2312" w:hint="eastAsia"/>
                <w:sz w:val="24"/>
              </w:rPr>
              <w:t>5</w:t>
            </w:r>
            <w:r>
              <w:rPr>
                <w:rFonts w:ascii="仿宋_GB2312" w:eastAsia="仿宋_GB2312" w:hAnsi="仿宋_GB2312" w:cs="仿宋_GB2312" w:hint="eastAsia"/>
                <w:sz w:val="24"/>
              </w:rPr>
              <w:t>:00</w:t>
            </w:r>
          </w:p>
        </w:tc>
      </w:tr>
      <w:tr w:rsidR="00B71625">
        <w:trPr>
          <w:trHeight w:hRule="exact" w:val="706"/>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color w:val="000000"/>
                <w:sz w:val="24"/>
              </w:rPr>
              <w:t>报名截止时间</w:t>
            </w:r>
          </w:p>
        </w:tc>
        <w:tc>
          <w:tcPr>
            <w:tcW w:w="6654" w:type="dxa"/>
            <w:vAlign w:val="center"/>
          </w:tcPr>
          <w:p w:rsidR="00B71625" w:rsidRDefault="003D5298">
            <w:pPr>
              <w:rPr>
                <w:rFonts w:ascii="仿宋" w:eastAsia="仿宋" w:hAnsi="仿宋" w:cs="仿宋"/>
                <w:bCs/>
                <w:color w:val="000000"/>
                <w:sz w:val="24"/>
              </w:rPr>
            </w:pPr>
            <w:r>
              <w:rPr>
                <w:rFonts w:ascii="仿宋_GB2312" w:eastAsia="仿宋_GB2312" w:hAnsi="仿宋_GB2312" w:cs="仿宋_GB2312" w:hint="eastAsia"/>
                <w:sz w:val="24"/>
              </w:rPr>
              <w:t>201</w:t>
            </w:r>
            <w:r w:rsidR="00624B0B">
              <w:rPr>
                <w:rFonts w:ascii="仿宋_GB2312" w:eastAsia="仿宋_GB2312" w:hAnsi="仿宋_GB2312" w:cs="仿宋_GB2312" w:hint="eastAsia"/>
                <w:sz w:val="24"/>
              </w:rPr>
              <w:t>9</w:t>
            </w:r>
            <w:r>
              <w:rPr>
                <w:rFonts w:ascii="仿宋_GB2312" w:eastAsia="仿宋_GB2312" w:hAnsi="仿宋_GB2312" w:cs="仿宋_GB2312" w:hint="eastAsia"/>
                <w:sz w:val="24"/>
              </w:rPr>
              <w:t>年</w:t>
            </w:r>
            <w:r w:rsidR="00624B0B">
              <w:rPr>
                <w:rFonts w:ascii="仿宋_GB2312" w:eastAsia="仿宋_GB2312" w:hAnsi="仿宋_GB2312" w:cs="仿宋_GB2312" w:hint="eastAsia"/>
                <w:sz w:val="24"/>
              </w:rPr>
              <w:t>5</w:t>
            </w:r>
            <w:r>
              <w:rPr>
                <w:rFonts w:ascii="仿宋_GB2312" w:eastAsia="仿宋_GB2312" w:hAnsi="仿宋_GB2312" w:cs="仿宋_GB2312" w:hint="eastAsia"/>
                <w:sz w:val="24"/>
              </w:rPr>
              <w:t>月2</w:t>
            </w:r>
            <w:r w:rsidR="00624B0B">
              <w:rPr>
                <w:rFonts w:ascii="仿宋_GB2312" w:eastAsia="仿宋_GB2312" w:hAnsi="仿宋_GB2312" w:cs="仿宋_GB2312" w:hint="eastAsia"/>
                <w:sz w:val="24"/>
              </w:rPr>
              <w:t>7</w:t>
            </w:r>
            <w:r>
              <w:rPr>
                <w:rFonts w:ascii="仿宋_GB2312" w:eastAsia="仿宋_GB2312" w:hAnsi="仿宋_GB2312" w:cs="仿宋_GB2312" w:hint="eastAsia"/>
                <w:sz w:val="24"/>
              </w:rPr>
              <w:t>日 1</w:t>
            </w:r>
            <w:r w:rsidR="00624B0B">
              <w:rPr>
                <w:rFonts w:ascii="仿宋_GB2312" w:eastAsia="仿宋_GB2312" w:hAnsi="仿宋_GB2312" w:cs="仿宋_GB2312" w:hint="eastAsia"/>
                <w:sz w:val="24"/>
              </w:rPr>
              <w:t>5</w:t>
            </w:r>
            <w:bookmarkStart w:id="3" w:name="_GoBack"/>
            <w:bookmarkEnd w:id="3"/>
            <w:r>
              <w:rPr>
                <w:rFonts w:ascii="仿宋_GB2312" w:eastAsia="仿宋_GB2312" w:hAnsi="仿宋_GB2312" w:cs="仿宋_GB2312" w:hint="eastAsia"/>
                <w:sz w:val="24"/>
              </w:rPr>
              <w:t>:00</w:t>
            </w:r>
          </w:p>
        </w:tc>
      </w:tr>
      <w:tr w:rsidR="00B71625">
        <w:trPr>
          <w:trHeight w:hRule="exact" w:val="795"/>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联系地址/邮编</w:t>
            </w:r>
          </w:p>
        </w:tc>
        <w:tc>
          <w:tcPr>
            <w:tcW w:w="6654" w:type="dxa"/>
            <w:vAlign w:val="center"/>
          </w:tcPr>
          <w:p w:rsidR="00B71625" w:rsidRDefault="003D5298">
            <w:pPr>
              <w:rPr>
                <w:rFonts w:ascii="仿宋" w:eastAsia="仿宋" w:hAnsi="仿宋" w:cs="仿宋"/>
                <w:bCs/>
                <w:color w:val="000000"/>
                <w:sz w:val="24"/>
              </w:rPr>
            </w:pPr>
            <w:r>
              <w:rPr>
                <w:rFonts w:ascii="仿宋" w:eastAsia="仿宋" w:hAnsi="仿宋" w:cs="仿宋" w:hint="eastAsia"/>
                <w:bCs/>
                <w:color w:val="000000"/>
                <w:sz w:val="24"/>
              </w:rPr>
              <w:t>福州市马尾区儒江西路60号   邮编：350000</w:t>
            </w:r>
          </w:p>
        </w:tc>
      </w:tr>
      <w:tr w:rsidR="00B71625">
        <w:trPr>
          <w:trHeight w:hRule="exact" w:val="739"/>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6654" w:type="dxa"/>
            <w:vAlign w:val="center"/>
          </w:tcPr>
          <w:p w:rsidR="00B71625" w:rsidRDefault="003D5298">
            <w:pPr>
              <w:rPr>
                <w:rFonts w:ascii="仿宋" w:eastAsia="仿宋" w:hAnsi="仿宋" w:cs="仿宋"/>
                <w:bCs/>
                <w:color w:val="000000"/>
                <w:sz w:val="24"/>
              </w:rPr>
            </w:pPr>
            <w:r>
              <w:rPr>
                <w:rFonts w:ascii="仿宋" w:eastAsia="仿宋" w:hAnsi="仿宋" w:cs="仿宋" w:hint="eastAsia"/>
                <w:bCs/>
                <w:color w:val="000000"/>
                <w:sz w:val="24"/>
              </w:rPr>
              <w:t>黄燕</w:t>
            </w:r>
          </w:p>
        </w:tc>
      </w:tr>
      <w:tr w:rsidR="00B71625">
        <w:trPr>
          <w:trHeight w:hRule="exact" w:val="902"/>
        </w:trPr>
        <w:tc>
          <w:tcPr>
            <w:tcW w:w="761"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785" w:type="dxa"/>
            <w:vAlign w:val="center"/>
          </w:tcPr>
          <w:p w:rsidR="00B71625" w:rsidRDefault="003D5298">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6654" w:type="dxa"/>
            <w:vAlign w:val="center"/>
          </w:tcPr>
          <w:p w:rsidR="00B71625" w:rsidRDefault="003D5298">
            <w:pPr>
              <w:rPr>
                <w:rFonts w:ascii="仿宋" w:eastAsia="仿宋" w:hAnsi="仿宋" w:cs="仿宋"/>
                <w:bCs/>
                <w:color w:val="000000"/>
                <w:sz w:val="24"/>
              </w:rPr>
            </w:pPr>
            <w:r>
              <w:rPr>
                <w:rFonts w:ascii="仿宋" w:eastAsia="仿宋" w:hAnsi="仿宋" w:cs="仿宋" w:hint="eastAsia"/>
                <w:bCs/>
                <w:color w:val="000000"/>
                <w:sz w:val="24"/>
              </w:rPr>
              <w:t>13489194546</w:t>
            </w:r>
          </w:p>
        </w:tc>
      </w:tr>
    </w:tbl>
    <w:p w:rsidR="00B71625" w:rsidRDefault="00B71625"/>
    <w:sectPr w:rsidR="00B71625" w:rsidSect="00B7162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91" w:rsidRDefault="00FB2991" w:rsidP="00B71625">
      <w:r>
        <w:separator/>
      </w:r>
    </w:p>
  </w:endnote>
  <w:endnote w:type="continuationSeparator" w:id="0">
    <w:p w:rsidR="00FB2991" w:rsidRDefault="00FB2991" w:rsidP="00B7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98" w:rsidRDefault="00FB2991">
    <w:pPr>
      <w:pStyle w:val="a4"/>
    </w:pPr>
    <w:r>
      <w:pict>
        <v:shapetype id="_x0000_t202" coordsize="21600,21600" o:spt="202" path="m,l,21600r21600,l21600,xe">
          <v:stroke joinstyle="miter"/>
          <v:path gradientshapeok="t" o:connecttype="rect"/>
        </v:shapetype>
        <v:shape id="_x0000_s2050" type="#_x0000_t202" style="position:absolute;margin-left:0;margin-top:0;width:5.3pt;height:12.05pt;z-index:251660288;mso-wrap-style:none;mso-position-horizontal:center;mso-position-horizontal-relative:margin"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r&#10;NUXQAAAAAwEAAA8AAAAAAAAAAQAgAAAAIgAAAGRycy9kb3ducmV2LnhtbFBLAQIUABQAAAAIAIdO&#10;4kD/vLRp8gEAAMEDAAAOAAAAAAAAAAEAIAAAAB8BAABkcnMvZTJvRG9jLnhtbFBLBQYAAAAABgAG&#10;AFkBAACDBQAAAAA=&#10;" filled="f" stroked="f">
          <v:textbox style="mso-fit-shape-to-text:t" inset="0,0,0,0">
            <w:txbxContent>
              <w:p w:rsidR="003D5298" w:rsidRDefault="003D529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24B0B" w:rsidRPr="00624B0B">
                  <w:rPr>
                    <w:noProof/>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91" w:rsidRDefault="00FB2991" w:rsidP="00B71625">
      <w:r>
        <w:separator/>
      </w:r>
    </w:p>
  </w:footnote>
  <w:footnote w:type="continuationSeparator" w:id="0">
    <w:p w:rsidR="00FB2991" w:rsidRDefault="00FB2991" w:rsidP="00B71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98" w:rsidRDefault="00FB2991">
    <w:pPr>
      <w:pStyle w:val="a5"/>
    </w:pPr>
    <w:r>
      <w:rPr>
        <w:rFonts w:ascii="宋体"/>
        <w:sz w:val="24"/>
        <w:szCs w:val="21"/>
      </w:rPr>
      <w:pict>
        <v:group id="_x0000_s4097" style="position:absolute;left:0;text-align:left;margin-left:11.1pt;margin-top:-23.2pt;width:170.5pt;height:26.4pt;z-index:128344064" coordsize="2041,274203" wrapcoords="2664 -617 285 -617 95 7406 666 9257 -95 15429 -95 20366 16081 20366 16462 20366 18174 20366 21695 19749 21695 617 20173 -617 8469 -617 2664 -61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WordArt 11" o:spid="_x0000_s4098" type="#_x0000_t172" style="position:absolute;left:24;width:1996;height:138" o:preferrelative="t" adj="0" fillcolor="black">
            <v:stroke miterlimit="2"/>
            <v:textpath style="font-family:&quot;黑体&quot;;font-size:18pt" trim="t" fitpath="t" string="中建海峡建设发展有限公司&#10;"/>
            <o:lock v:ext="edit" text="f"/>
          </v:shape>
          <v:shape id="WordArt 12" o:spid="_x0000_s4099" type="#_x0000_t172" style="position:absolute;top:174;width:2041;height:100" o:preferrelative="t" adj="2884" fillcolor="black">
            <v:stroke miterlimit="2"/>
            <v:textpath style="font-family:&quot;黑体&quot;;font-size:9pt" trim="t" fitpath="t" string="CSCEC Strait Construction and Developent Co.,Ltd&#10;"/>
            <o:lock v:ext="edit" text="f"/>
          </v:shape>
          <w10:wrap type="tight"/>
        </v:group>
      </w:pict>
    </w:r>
    <w:r w:rsidR="003D5298">
      <w:rPr>
        <w:rFonts w:ascii="宋体"/>
        <w:noProof/>
        <w:sz w:val="24"/>
        <w:szCs w:val="21"/>
      </w:rPr>
      <w:drawing>
        <wp:anchor distT="0" distB="0" distL="114300" distR="114300" simplePos="0" relativeHeight="441617408" behindDoc="1" locked="0" layoutInCell="1" allowOverlap="1">
          <wp:simplePos x="0" y="0"/>
          <wp:positionH relativeFrom="column">
            <wp:posOffset>-457200</wp:posOffset>
          </wp:positionH>
          <wp:positionV relativeFrom="paragraph">
            <wp:posOffset>-311150</wp:posOffset>
          </wp:positionV>
          <wp:extent cx="462280" cy="421005"/>
          <wp:effectExtent l="0" t="0" r="13970" b="17145"/>
          <wp:wrapTight wrapText="bothSides">
            <wp:wrapPolygon edited="0">
              <wp:start x="0" y="0"/>
              <wp:lineTo x="0" y="20525"/>
              <wp:lineTo x="20473" y="20525"/>
              <wp:lineTo x="20473" y="0"/>
              <wp:lineTo x="0" y="0"/>
            </wp:wrapPolygon>
          </wp:wrapTight>
          <wp:docPr id="4"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image001"/>
                  <pic:cNvPicPr>
                    <a:picLocks noChangeAspect="1" noChangeArrowheads="1"/>
                  </pic:cNvPicPr>
                </pic:nvPicPr>
                <pic:blipFill>
                  <a:blip r:embed="rId1"/>
                  <a:srcRect/>
                  <a:stretch>
                    <a:fillRect/>
                  </a:stretch>
                </pic:blipFill>
                <pic:spPr>
                  <a:xfrm>
                    <a:off x="0" y="0"/>
                    <a:ext cx="462280" cy="4210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efaultTabStop w:val="420"/>
  <w:drawingGridVerticalSpacing w:val="156"/>
  <w:displayHorizontalDrawingGridEvery w:val="0"/>
  <w:displayVerticalDrawingGridEvery w:val="2"/>
  <w:characterSpacingControl w:val="compressPunctuation"/>
  <w:hdrShapeDefaults>
    <o:shapedefaults v:ext="edit" spidmax="4100"/>
    <o:shapelayout v:ext="edit">
      <o:idmap v:ext="edit" data="2,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67B2EFD"/>
    <w:rsid w:val="003D5298"/>
    <w:rsid w:val="00624B0B"/>
    <w:rsid w:val="006C0701"/>
    <w:rsid w:val="00956263"/>
    <w:rsid w:val="00B71625"/>
    <w:rsid w:val="00BD5ED1"/>
    <w:rsid w:val="00BE762F"/>
    <w:rsid w:val="00C4089D"/>
    <w:rsid w:val="00D06D48"/>
    <w:rsid w:val="00FB2991"/>
    <w:rsid w:val="00FC6831"/>
    <w:rsid w:val="03AF70A9"/>
    <w:rsid w:val="0A200F82"/>
    <w:rsid w:val="0B4E4CB1"/>
    <w:rsid w:val="0E4E58A0"/>
    <w:rsid w:val="141C22A1"/>
    <w:rsid w:val="16CF604C"/>
    <w:rsid w:val="1EFB4646"/>
    <w:rsid w:val="20570F1A"/>
    <w:rsid w:val="2D6C0DC5"/>
    <w:rsid w:val="386A3C09"/>
    <w:rsid w:val="3B75720C"/>
    <w:rsid w:val="476B28E6"/>
    <w:rsid w:val="485300F7"/>
    <w:rsid w:val="4B4A015F"/>
    <w:rsid w:val="53E96610"/>
    <w:rsid w:val="54745EBA"/>
    <w:rsid w:val="63F2274A"/>
    <w:rsid w:val="667B2EFD"/>
    <w:rsid w:val="69106D3B"/>
    <w:rsid w:val="6D535020"/>
    <w:rsid w:val="75BD1375"/>
    <w:rsid w:val="7C6E2C42"/>
    <w:rsid w:val="7D6469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254F5F03"/>
  <w15:docId w15:val="{1CF5788C-72D1-472F-870E-94F537F0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6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71625"/>
    <w:rPr>
      <w:rFonts w:ascii="宋体" w:hAnsi="Courier New"/>
      <w:kern w:val="0"/>
      <w:szCs w:val="20"/>
    </w:rPr>
  </w:style>
  <w:style w:type="paragraph" w:styleId="a4">
    <w:name w:val="footer"/>
    <w:basedOn w:val="a"/>
    <w:qFormat/>
    <w:rsid w:val="00B71625"/>
    <w:pPr>
      <w:tabs>
        <w:tab w:val="center" w:pos="4153"/>
        <w:tab w:val="right" w:pos="8306"/>
      </w:tabs>
      <w:snapToGrid w:val="0"/>
      <w:jc w:val="left"/>
    </w:pPr>
    <w:rPr>
      <w:sz w:val="18"/>
      <w:szCs w:val="18"/>
    </w:rPr>
  </w:style>
  <w:style w:type="paragraph" w:styleId="a5">
    <w:name w:val="header"/>
    <w:basedOn w:val="a"/>
    <w:rsid w:val="00B716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80320SE\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seabird1392705415</dc:creator>
  <cp:lastModifiedBy>张统霖</cp:lastModifiedBy>
  <cp:revision>6</cp:revision>
  <dcterms:created xsi:type="dcterms:W3CDTF">2018-06-21T00:52:00Z</dcterms:created>
  <dcterms:modified xsi:type="dcterms:W3CDTF">2019-05-24T05:27:00Z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