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  <w:bookmarkStart w:id="0" w:name="_Toc520984963"/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华能南京热电有限公司</w:t>
      </w:r>
    </w:p>
    <w:p>
      <w:pPr>
        <w:tabs>
          <w:tab w:val="center" w:pos="4592"/>
          <w:tab w:val="left" w:pos="7245"/>
        </w:tabs>
        <w:adjustRightInd w:val="0"/>
        <w:snapToGrid w:val="0"/>
        <w:jc w:val="left"/>
        <w:rPr>
          <w:rFonts w:hint="eastAsia"/>
          <w:b/>
          <w:bCs/>
          <w:sz w:val="44"/>
          <w:szCs w:val="44"/>
        </w:rPr>
      </w:pPr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变频电动执行机构采购</w:t>
      </w:r>
    </w:p>
    <w:p>
      <w:pPr>
        <w:tabs>
          <w:tab w:val="center" w:pos="4592"/>
          <w:tab w:val="left" w:pos="7245"/>
        </w:tabs>
        <w:adjustRightInd w:val="0"/>
        <w:snapToGrid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技术规范书</w:t>
      </w:r>
    </w:p>
    <w:p>
      <w:pPr>
        <w:adjustRightInd w:val="0"/>
        <w:snapToGrid w:val="0"/>
        <w:spacing w:line="360" w:lineRule="auto"/>
        <w:jc w:val="center"/>
        <w:rPr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sz w:val="36"/>
          <w:szCs w:val="36"/>
          <w:u w:val="single"/>
        </w:rPr>
      </w:pPr>
    </w:p>
    <w:p>
      <w:pPr>
        <w:adjustRightInd w:val="0"/>
        <w:snapToGrid w:val="0"/>
        <w:spacing w:line="360" w:lineRule="auto"/>
        <w:rPr>
          <w:sz w:val="36"/>
          <w:szCs w:val="36"/>
          <w:u w:val="single"/>
        </w:rPr>
      </w:pPr>
    </w:p>
    <w:tbl>
      <w:tblPr>
        <w:tblStyle w:val="24"/>
        <w:tblW w:w="6744" w:type="dxa"/>
        <w:jc w:val="center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3"/>
        <w:gridCol w:w="3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编制：</w:t>
            </w:r>
          </w:p>
        </w:tc>
        <w:tc>
          <w:tcPr>
            <w:tcW w:w="3371" w:type="dxa"/>
            <w:vAlign w:val="center"/>
          </w:tcPr>
          <w:p>
            <w:pPr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热电检修部专工：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i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热电检修部负责人：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热电安生部负责人：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分管厂领导：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7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color w:val="000000"/>
                <w:kern w:val="0"/>
                <w:sz w:val="36"/>
                <w:szCs w:val="36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36"/>
          <w:szCs w:val="36"/>
          <w:u w:val="single"/>
        </w:rPr>
      </w:pPr>
    </w:p>
    <w:p>
      <w:pPr>
        <w:adjustRightInd w:val="0"/>
        <w:snapToGrid w:val="0"/>
        <w:spacing w:line="360" w:lineRule="auto"/>
        <w:rPr>
          <w:sz w:val="36"/>
          <w:szCs w:val="36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>9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05</w:t>
      </w:r>
      <w:r>
        <w:rPr>
          <w:rFonts w:hint="eastAsia"/>
          <w:sz w:val="36"/>
          <w:szCs w:val="36"/>
        </w:rPr>
        <w:t>月</w:t>
      </w:r>
    </w:p>
    <w:p>
      <w:pPr>
        <w:jc w:val="center"/>
        <w:rPr>
          <w:rFonts w:hint="eastAsia" w:ascii="Calibri" w:hAnsi="Calibri"/>
          <w:b/>
          <w:sz w:val="28"/>
        </w:rPr>
      </w:pPr>
      <w:r>
        <w:rPr>
          <w:rFonts w:hint="eastAsia" w:ascii="Calibri" w:hAnsi="Calibri"/>
          <w:b/>
          <w:sz w:val="28"/>
        </w:rPr>
        <w:br w:type="page"/>
      </w:r>
    </w:p>
    <w:p>
      <w:pPr>
        <w:pStyle w:val="18"/>
        <w:widowControl w:val="0"/>
        <w:tabs>
          <w:tab w:val="right" w:leader="dot" w:pos="9746"/>
        </w:tabs>
        <w:adjustRightInd w:val="0"/>
        <w:snapToGrid w:val="0"/>
        <w:spacing w:after="0" w:line="240" w:lineRule="auto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华能南京热电有限公司</w:t>
      </w:r>
    </w:p>
    <w:p>
      <w:pPr>
        <w:pStyle w:val="18"/>
        <w:widowControl w:val="0"/>
        <w:tabs>
          <w:tab w:val="right" w:leader="dot" w:pos="9746"/>
        </w:tabs>
        <w:adjustRightInd w:val="0"/>
        <w:snapToGrid w:val="0"/>
        <w:spacing w:after="0" w:line="240" w:lineRule="auto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/>
        </w:rPr>
        <w:t>变频电动执行机构</w:t>
      </w:r>
      <w:r>
        <w:rPr>
          <w:rFonts w:hint="eastAsia" w:ascii="方正小标宋简体" w:hAnsi="宋体" w:eastAsia="方正小标宋简体" w:cs="Times New Roman"/>
          <w:kern w:val="2"/>
          <w:sz w:val="44"/>
          <w:szCs w:val="44"/>
        </w:rPr>
        <w:t>采购技术规范书</w:t>
      </w:r>
    </w:p>
    <w:bookmarkEnd w:id="0"/>
    <w:p>
      <w:pPr>
        <w:spacing w:line="360" w:lineRule="auto"/>
        <w:ind w:right="567" w:rightChars="270"/>
        <w:rPr>
          <w:rFonts w:ascii="宋体" w:hAnsi="宋体"/>
          <w:b/>
          <w:color w:val="000000"/>
          <w:sz w:val="24"/>
        </w:rPr>
      </w:pPr>
      <w:bookmarkStart w:id="1" w:name="_Toc205689909"/>
      <w:bookmarkStart w:id="2" w:name="_Toc132452267"/>
      <w:bookmarkStart w:id="3" w:name="_Toc205954850"/>
      <w:bookmarkStart w:id="4" w:name="_Toc205612246"/>
      <w:bookmarkStart w:id="5" w:name="_Toc206294014"/>
      <w:bookmarkStart w:id="6" w:name="_Toc205195679"/>
      <w:bookmarkStart w:id="7" w:name="_Toc205612165"/>
      <w:bookmarkStart w:id="8" w:name="_Toc205627939"/>
      <w:bookmarkStart w:id="9" w:name="_Toc205698749"/>
      <w:bookmarkStart w:id="10" w:name="_Toc396553389"/>
      <w:bookmarkStart w:id="11" w:name="_Toc206294162"/>
      <w:bookmarkStart w:id="12" w:name="_Toc205611968"/>
      <w:bookmarkStart w:id="13" w:name="_Toc205793593"/>
      <w:bookmarkStart w:id="14" w:name="_Toc205693624"/>
      <w:bookmarkStart w:id="15" w:name="_Toc205956073"/>
      <w:bookmarkStart w:id="16" w:name="_Toc206213409"/>
      <w:bookmarkStart w:id="17" w:name="_Toc205794827"/>
      <w:bookmarkStart w:id="18" w:name="_Toc205798540"/>
      <w:bookmarkStart w:id="19" w:name="_Toc520984978"/>
      <w:bookmarkStart w:id="20" w:name="_Toc218917464"/>
      <w:bookmarkStart w:id="21" w:name="_Toc205794725"/>
      <w:bookmarkStart w:id="22" w:name="_Toc500144161"/>
      <w:bookmarkStart w:id="23" w:name="_Toc496269571"/>
      <w:bookmarkStart w:id="24" w:name="_Toc35676991"/>
      <w:bookmarkStart w:id="25" w:name="_Toc23174014"/>
      <w:bookmarkStart w:id="26" w:name="_Toc87441646"/>
      <w:bookmarkStart w:id="27" w:name="_Toc23173969"/>
      <w:bookmarkStart w:id="28" w:name="_Toc492697269"/>
      <w:r>
        <w:rPr>
          <w:rFonts w:hint="eastAsia" w:ascii="宋体" w:hAnsi="宋体"/>
          <w:b/>
          <w:sz w:val="24"/>
        </w:rPr>
        <w:t>一、总则</w:t>
      </w:r>
    </w:p>
    <w:p>
      <w:pPr>
        <w:spacing w:line="360" w:lineRule="auto"/>
        <w:ind w:right="567" w:rightChars="270"/>
        <w:rPr>
          <w:rFonts w:ascii="宋体" w:hAnsi="宋体"/>
          <w:kern w:val="24"/>
          <w:sz w:val="24"/>
        </w:rPr>
      </w:pPr>
      <w:r>
        <w:rPr>
          <w:rFonts w:hint="eastAsia" w:ascii="宋体" w:hAnsi="宋体"/>
          <w:kern w:val="24"/>
          <w:sz w:val="24"/>
        </w:rPr>
        <w:t>1、本技术规范书适用于华能南京热电有限公司（</w:t>
      </w:r>
      <w:r>
        <w:rPr>
          <w:rFonts w:hint="eastAsia" w:ascii="宋体" w:hAnsi="宋体"/>
          <w:kern w:val="24"/>
          <w:sz w:val="24"/>
          <w:lang w:eastAsia="zh-CN"/>
        </w:rPr>
        <w:t>招标方</w:t>
      </w:r>
      <w:r>
        <w:rPr>
          <w:rFonts w:hint="eastAsia" w:ascii="宋体" w:hAnsi="宋体"/>
          <w:kern w:val="24"/>
          <w:sz w:val="24"/>
        </w:rPr>
        <w:t>）</w:t>
      </w:r>
      <w:r>
        <w:rPr>
          <w:rFonts w:hint="eastAsia" w:ascii="宋体" w:hAnsi="宋体"/>
          <w:kern w:val="24"/>
          <w:sz w:val="24"/>
          <w:lang w:eastAsia="zh-CN"/>
        </w:rPr>
        <w:t>变频电动</w:t>
      </w:r>
      <w:r>
        <w:rPr>
          <w:rFonts w:hint="eastAsia" w:ascii="宋体" w:hAnsi="宋体"/>
          <w:kern w:val="24"/>
          <w:sz w:val="24"/>
        </w:rPr>
        <w:t>执行机构采购项目，提出了相关的制造供货、规范与标准、技术要求、质量保证及服务项目等方面的技术规范与要求。</w:t>
      </w:r>
    </w:p>
    <w:p>
      <w:pPr>
        <w:spacing w:line="360" w:lineRule="auto"/>
        <w:ind w:right="567" w:rightChars="270"/>
        <w:rPr>
          <w:rFonts w:ascii="宋体" w:hAnsi="宋体"/>
          <w:kern w:val="24"/>
          <w:sz w:val="24"/>
        </w:rPr>
      </w:pPr>
      <w:r>
        <w:rPr>
          <w:rFonts w:hint="eastAsia" w:ascii="宋体" w:hAnsi="宋体"/>
          <w:kern w:val="24"/>
          <w:sz w:val="24"/>
        </w:rPr>
        <w:t>2、本技术规范书中提出了最低限度的技术要求，并未规定所有的技术要求和适用的标准，</w:t>
      </w:r>
      <w:r>
        <w:rPr>
          <w:rFonts w:hint="eastAsia" w:ascii="宋体" w:hAnsi="宋体"/>
          <w:kern w:val="24"/>
          <w:sz w:val="24"/>
          <w:lang w:eastAsia="zh-CN"/>
        </w:rPr>
        <w:t>投标方</w:t>
      </w:r>
      <w:r>
        <w:rPr>
          <w:rFonts w:hint="eastAsia" w:ascii="宋体" w:hAnsi="宋体"/>
          <w:kern w:val="24"/>
          <w:sz w:val="24"/>
        </w:rPr>
        <w:t>保证提供符合本技术规范书和相关的国际、国内工业标准的优质产品及相应服务。对国家有关安全、环保等强制性标准必须满足其要求。</w:t>
      </w:r>
    </w:p>
    <w:p>
      <w:pPr>
        <w:spacing w:line="360" w:lineRule="auto"/>
        <w:ind w:right="567" w:rightChars="270"/>
        <w:rPr>
          <w:rFonts w:ascii="Arial" w:hAnsi="Arial" w:cs="Arial"/>
          <w:b/>
          <w:sz w:val="24"/>
          <w:szCs w:val="24"/>
        </w:rPr>
      </w:pPr>
      <w:r>
        <w:rPr>
          <w:rFonts w:hint="eastAsia" w:ascii="宋体" w:hAnsi="宋体"/>
          <w:b/>
          <w:sz w:val="24"/>
        </w:rPr>
        <w:t>二、供货清单</w:t>
      </w:r>
    </w:p>
    <w:tbl>
      <w:tblPr>
        <w:tblStyle w:val="24"/>
        <w:tblW w:w="948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270"/>
        <w:gridCol w:w="709"/>
        <w:gridCol w:w="709"/>
        <w:gridCol w:w="2835"/>
        <w:gridCol w:w="2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变频电动执行机构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2SA5510-5CE00-4DB4-Z-B58(配减速箱)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原装进口智能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总线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调节型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执行机构预制电缆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2SX7300-4GA72(10米)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执行机构预制电缆</w:t>
            </w:r>
          </w:p>
        </w:tc>
      </w:tr>
    </w:tbl>
    <w:p>
      <w:pPr>
        <w:spacing w:line="360" w:lineRule="auto"/>
        <w:ind w:right="567" w:rightChars="2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  规范和标准</w:t>
      </w:r>
    </w:p>
    <w:p>
      <w:pPr>
        <w:spacing w:line="360" w:lineRule="auto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   执行机构的设计、制造、安装、验收应遵照生产商所在国以及中国的有关国家标准及规范，并应按其中较高的标准执行。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</w:t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>7</w:t>
      </w:r>
      <w:r>
        <w:rPr>
          <w:rFonts w:hint="eastAsia" w:ascii="宋体" w:hAnsi="宋体" w:cs="Arial"/>
          <w:sz w:val="24"/>
        </w:rPr>
        <w:t>55</w:t>
      </w:r>
      <w:r>
        <w:rPr>
          <w:rFonts w:ascii="宋体" w:hAnsi="宋体" w:cs="Arial"/>
          <w:sz w:val="24"/>
        </w:rPr>
        <w:tab/>
      </w:r>
      <w:r>
        <w:rPr>
          <w:rFonts w:ascii="宋体" w:hAnsi="宋体" w:cs="Arial"/>
          <w:sz w:val="24"/>
        </w:rPr>
        <w:tab/>
      </w:r>
      <w:r>
        <w:rPr>
          <w:rFonts w:hint="eastAsia" w:ascii="宋体" w:hAnsi="宋体" w:cs="Arial"/>
          <w:sz w:val="24"/>
        </w:rPr>
        <w:t xml:space="preserve">    旋转电机定额和性能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GB/T     997        电机结构及安装型式代号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GB/T     3797       电控设备  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       4208       外壳防护等级（IP代码）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GB/T     12222      多回转阀门驱动装置的连接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GB/T     12223      部分回转阀门驱动装置的连接</w:t>
      </w:r>
    </w:p>
    <w:p>
      <w:pPr>
        <w:spacing w:line="360" w:lineRule="auto"/>
        <w:ind w:firstLine="240" w:firstLineChars="1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JB/T     10308.3    测量和控制数字数据通信工业控制系统用现场总线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DL/T     641-2005   电站阀门电动执行机构</w:t>
      </w:r>
    </w:p>
    <w:p>
      <w:pPr>
        <w:spacing w:line="360" w:lineRule="auto"/>
        <w:ind w:right="567" w:rightChars="270"/>
        <w:rPr>
          <w:rFonts w:hint="eastAsia" w:ascii="宋体" w:hAnsi="宋体"/>
          <w:b/>
          <w:sz w:val="24"/>
        </w:rPr>
      </w:pPr>
      <w:bookmarkStart w:id="29" w:name="_Toc405142272"/>
      <w:bookmarkStart w:id="30" w:name="_Toc380762350"/>
      <w:r>
        <w:rPr>
          <w:rFonts w:hint="eastAsia" w:ascii="宋体" w:hAnsi="宋体"/>
          <w:b/>
          <w:sz w:val="24"/>
        </w:rPr>
        <w:t>四  技术要求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   投标方提供的</w:t>
      </w:r>
      <w:r>
        <w:rPr>
          <w:rFonts w:ascii="宋体" w:hAnsi="宋体" w:cs="Arial"/>
          <w:sz w:val="24"/>
        </w:rPr>
        <w:t>电动执行机构</w:t>
      </w:r>
      <w:r>
        <w:rPr>
          <w:rFonts w:hint="eastAsia" w:ascii="宋体" w:hAnsi="宋体" w:cs="Arial"/>
          <w:sz w:val="24"/>
          <w:lang w:eastAsia="zh-CN"/>
        </w:rPr>
        <w:t>及配套减速箱均为</w:t>
      </w:r>
      <w:r>
        <w:rPr>
          <w:rFonts w:hint="eastAsia" w:ascii="宋体" w:hAnsi="宋体" w:cs="Arial"/>
          <w:sz w:val="24"/>
        </w:rPr>
        <w:t>原装进口优质</w:t>
      </w:r>
      <w:r>
        <w:rPr>
          <w:rFonts w:ascii="宋体" w:hAnsi="宋体" w:cs="Arial"/>
          <w:sz w:val="24"/>
        </w:rPr>
        <w:t>产品</w:t>
      </w:r>
      <w:r>
        <w:rPr>
          <w:rFonts w:hint="eastAsia" w:ascii="宋体" w:hAnsi="宋体" w:cs="Arial"/>
          <w:sz w:val="24"/>
          <w:lang w:eastAsia="zh-CN"/>
        </w:rPr>
        <w:t>，实现分体控制功能</w:t>
      </w:r>
      <w:r>
        <w:rPr>
          <w:rFonts w:hint="eastAsia" w:ascii="宋体" w:hAnsi="宋体" w:cs="Arial"/>
          <w:sz w:val="24"/>
        </w:rPr>
        <w:t>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2   电动执行机构与阀门的连接型式和尺寸应符合GB 12222和GB 12223的规定，如招标方有特殊要求时，应按招标方要求执行。</w:t>
      </w:r>
      <w:bookmarkStart w:id="64" w:name="_GoBack"/>
      <w:bookmarkEnd w:id="64"/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   电动执行机构配用的电动机应能满足电动执行机构的各项性能要求。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4   电动执行机构外表面应平整、光滑，不得有裂纹、毛刺和磕碰等影响外观质量的缺陷，表面涂漆层应附着牢固、平整、光滑、色泽均匀，无油污、压痕和其他机械损伤。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5   电动执行机构接线部分应有接地螺钉及标志。</w:t>
      </w:r>
    </w:p>
    <w:p>
      <w:pPr>
        <w:snapToGrid w:val="0"/>
        <w:spacing w:line="360" w:lineRule="auto"/>
        <w:ind w:left="360" w:hanging="360" w:hangingChars="1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6   电动执行机构手动操作机构应有开关方向指示，一般为面向手轮顺时针为“关”，逆时针为“开”。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7   电动执行机构的一般电气技术要求应符合GB/T 997，GB 755和GB/T 3797要求，电动执行机构的电气接线应符合接线图的要求，布线光滑平整，固定牢固，导线不得开裂，绝缘层不得破损。电动执行机构的动力电源和控制信号的进线应分开。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8   电动执行机构各裸露带电回路之间，以及带电零部件与导电零部件或接地零部件之间（不包括印刷电路板）的电气间隙和爬电距离应符合下表的规定。</w:t>
      </w:r>
    </w:p>
    <w:tbl>
      <w:tblPr>
        <w:tblStyle w:val="24"/>
        <w:tblW w:w="7671" w:type="dxa"/>
        <w:tblInd w:w="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764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8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额定电压Ui（交流有效值）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V</w:t>
            </w:r>
          </w:p>
        </w:tc>
        <w:tc>
          <w:tcPr>
            <w:tcW w:w="176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电气间隙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mm</w:t>
            </w:r>
          </w:p>
        </w:tc>
        <w:tc>
          <w:tcPr>
            <w:tcW w:w="2539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爬电距离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8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≤60</w:t>
            </w:r>
          </w:p>
        </w:tc>
        <w:tc>
          <w:tcPr>
            <w:tcW w:w="176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≥2</w:t>
            </w:r>
          </w:p>
        </w:tc>
        <w:tc>
          <w:tcPr>
            <w:tcW w:w="2539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8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60&lt;Ui≤250</w:t>
            </w:r>
          </w:p>
        </w:tc>
        <w:tc>
          <w:tcPr>
            <w:tcW w:w="176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≥3</w:t>
            </w:r>
          </w:p>
        </w:tc>
        <w:tc>
          <w:tcPr>
            <w:tcW w:w="2539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8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250&lt;Ui&lt;500</w:t>
            </w:r>
          </w:p>
        </w:tc>
        <w:tc>
          <w:tcPr>
            <w:tcW w:w="1764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≥4</w:t>
            </w:r>
          </w:p>
        </w:tc>
        <w:tc>
          <w:tcPr>
            <w:tcW w:w="2539" w:type="dxa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≥6</w:t>
            </w:r>
          </w:p>
        </w:tc>
      </w:tr>
    </w:tbl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9   电动执行机构配置现场位置指示机构时，该指示机构指针的指向应与输出轴的开关旋向一致，并且运行中无停顿、滞后现象。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10  在</w:t>
      </w:r>
      <w:r>
        <w:rPr>
          <w:rFonts w:ascii="宋体" w:hAnsi="宋体" w:cs="Arial"/>
          <w:sz w:val="24"/>
        </w:rPr>
        <w:t>距执行器</w:t>
      </w:r>
      <w:r>
        <w:rPr>
          <w:rFonts w:hint="eastAsia" w:ascii="宋体" w:hAnsi="宋体" w:cs="Arial"/>
          <w:sz w:val="24"/>
        </w:rPr>
        <w:t>1米</w:t>
      </w:r>
      <w:r>
        <w:rPr>
          <w:rFonts w:ascii="宋体" w:hAnsi="宋体" w:cs="Arial"/>
          <w:sz w:val="24"/>
        </w:rPr>
        <w:t>处</w:t>
      </w:r>
      <w:r>
        <w:rPr>
          <w:rFonts w:hint="eastAsia" w:ascii="宋体" w:hAnsi="宋体" w:cs="Arial"/>
          <w:sz w:val="24"/>
        </w:rPr>
        <w:t>，电动执行机构在空载下的噪声应不大于65dB(A)。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12  电动执行机构所有载流部分与外壳间的绝缘电阻应不低于20MΩ。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13  手-电动切换机构应灵活可靠，电动时手轮不得转动。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14  对电动执行机构实施手动操作时，在达到电动执行机构最大控制转矩情况下，作用于手轮上的操作转矩应不小于15Nm，手轮的结构应能承受附加杠杆的驱动。</w:t>
      </w:r>
    </w:p>
    <w:p>
      <w:pPr>
        <w:snapToGrid w:val="0"/>
        <w:spacing w:line="360" w:lineRule="auto"/>
        <w:ind w:left="480" w:hanging="480" w:hanging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15  电动执行机构的最大控制转矩应不小于额定转矩，最小控制转矩应不大于额定转矩。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16  设置转矩应不大于最大控制转矩，不小于最小控制转矩。</w:t>
      </w:r>
    </w:p>
    <w:p>
      <w:pPr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  电动执行机构的转矩控制部分应灵活可靠，并能调整输出控制转矩的大小。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投标方提供电动执行机构均为智能型，且应具备以下功能：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17.1实现远方和就地操作控制及远方和就地之间的切换；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17.2就地操作控制部分须有防护措施，以防止误操作；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17.3输入电源的过电流保护；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17.4在电源中断时执行机构应保持不动，且执行机构反馈信号应能保持；</w:t>
      </w:r>
    </w:p>
    <w:p>
      <w:pPr>
        <w:snapToGrid w:val="0"/>
        <w:spacing w:line="360" w:lineRule="auto"/>
        <w:ind w:left="600" w:hanging="600" w:hangingChars="2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17.5执行机构上电时，不应出现所有反馈信号初始化现象，即上电后反馈真实状态；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17.6在控制信号中断时应保持不动或回到安全位置；</w:t>
      </w:r>
    </w:p>
    <w:p>
      <w:pPr>
        <w:snapToGrid w:val="0"/>
        <w:spacing w:line="360" w:lineRule="auto"/>
        <w:ind w:left="600" w:hanging="600" w:hangingChars="2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17.7通过显示各种符号、数字、文字的人机界面进行参数设置、调试和故障诊断；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17.8通过死区自适应或其他方式，在各种运行工况下均不发生振荡；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17.9 防止电动机惰走；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17.10对输入的三相电源自动进行相许纠正；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17.11发生故障时应停止在原位置，并给出故障状态信号。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</w:t>
      </w:r>
      <w:r>
        <w:rPr>
          <w:rFonts w:hint="eastAsia" w:ascii="宋体" w:hAnsi="宋体" w:cs="Arial"/>
          <w:sz w:val="24"/>
          <w:lang w:eastAsia="zh-CN"/>
        </w:rPr>
        <w:t>总线</w:t>
      </w:r>
      <w:r>
        <w:rPr>
          <w:rFonts w:hint="eastAsia" w:ascii="宋体" w:hAnsi="宋体" w:cs="Arial"/>
          <w:sz w:val="24"/>
        </w:rPr>
        <w:t>调节型电动执行机构应能承受无故障100万次连续运行工作的寿命试验。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</w:t>
      </w:r>
      <w:r>
        <w:rPr>
          <w:rFonts w:hint="eastAsia" w:ascii="宋体" w:hAnsi="宋体" w:cs="Arial"/>
          <w:sz w:val="24"/>
          <w:lang w:eastAsia="zh-CN"/>
        </w:rPr>
        <w:t>总线</w:t>
      </w:r>
      <w:r>
        <w:rPr>
          <w:rFonts w:hint="eastAsia" w:ascii="宋体" w:hAnsi="宋体" w:cs="Arial"/>
          <w:sz w:val="24"/>
        </w:rPr>
        <w:t>调节型电动执行机构应具备以下功能：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19.1输出表示全开、全关位置的状态信号；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19.2在负载超出最大控制转矩时，输出开、关行程方向的转矩过载的信号状态；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19.3接受下列型式的输入</w:t>
      </w:r>
      <w:r>
        <w:rPr>
          <w:rFonts w:hint="eastAsia" w:ascii="宋体" w:hAnsi="宋体" w:cs="Arial"/>
          <w:sz w:val="24"/>
          <w:lang w:eastAsia="zh-CN"/>
        </w:rPr>
        <w:t>、输出</w:t>
      </w:r>
      <w:r>
        <w:rPr>
          <w:rFonts w:hint="eastAsia" w:ascii="宋体" w:hAnsi="宋体" w:cs="Arial"/>
          <w:sz w:val="24"/>
        </w:rPr>
        <w:t>信号：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19.3.</w:t>
      </w:r>
      <w:r>
        <w:rPr>
          <w:rFonts w:hint="eastAsia" w:ascii="宋体" w:hAnsi="宋体" w:cs="Arial"/>
          <w:sz w:val="24"/>
          <w:lang w:val="en-US" w:eastAsia="zh-CN"/>
        </w:rPr>
        <w:t>1 DP总线通讯</w:t>
      </w:r>
      <w:r>
        <w:rPr>
          <w:rFonts w:hint="eastAsia" w:ascii="宋体" w:hAnsi="宋体" w:cs="Arial"/>
          <w:sz w:val="24"/>
        </w:rPr>
        <w:t xml:space="preserve">信号； </w:t>
      </w:r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19.</w:t>
      </w:r>
      <w:r>
        <w:rPr>
          <w:rFonts w:hint="eastAsia" w:ascii="宋体" w:hAnsi="宋体" w:cs="Arial"/>
          <w:sz w:val="24"/>
          <w:lang w:val="en-US" w:eastAsia="zh-CN"/>
        </w:rPr>
        <w:t>4</w:t>
      </w:r>
      <w:r>
        <w:rPr>
          <w:rFonts w:hint="eastAsia" w:ascii="宋体" w:hAnsi="宋体" w:cs="Arial"/>
          <w:sz w:val="24"/>
        </w:rPr>
        <w:t>电动机应配置热保护元件。</w:t>
      </w:r>
      <w:bookmarkEnd w:id="29"/>
      <w:bookmarkEnd w:id="30"/>
    </w:p>
    <w:p>
      <w:pPr>
        <w:snapToGrid w:val="0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b/>
          <w:sz w:val="24"/>
        </w:rPr>
        <w:t>五、供货周期</w:t>
      </w:r>
    </w:p>
    <w:p>
      <w:pPr>
        <w:spacing w:line="360" w:lineRule="auto"/>
        <w:rPr>
          <w:rFonts w:hint="eastAsia" w:ascii="宋体" w:hAnsi="宋体" w:cs="Arial"/>
          <w:kern w:val="24"/>
          <w:sz w:val="24"/>
        </w:rPr>
      </w:pPr>
      <w:r>
        <w:rPr>
          <w:rFonts w:hint="eastAsia" w:ascii="宋体" w:hAnsi="宋体" w:cs="Arial"/>
          <w:kern w:val="24"/>
          <w:sz w:val="24"/>
        </w:rPr>
        <w:t>合同签订后6周到厂，投标方具体交货时间至少满足招标方工程进度的要求。</w:t>
      </w:r>
    </w:p>
    <w:p>
      <w:pPr>
        <w:spacing w:line="360" w:lineRule="auto"/>
        <w:ind w:right="567" w:rightChars="2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六、质量保证及技术服务</w:t>
      </w: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 w:ascii="宋体" w:hAnsi="宋体" w:cs="Arial"/>
          <w:sz w:val="24"/>
        </w:rPr>
        <w:t xml:space="preserve"> </w:t>
      </w:r>
      <w:r>
        <w:rPr>
          <w:rFonts w:hint="eastAsia"/>
          <w:sz w:val="24"/>
          <w:szCs w:val="24"/>
        </w:rPr>
        <w:t>职责分工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bookmarkStart w:id="31" w:name="_Toc500924012"/>
      <w:bookmarkStart w:id="32" w:name="_Toc500924102"/>
      <w:bookmarkStart w:id="33" w:name="_Toc500944547"/>
      <w:bookmarkStart w:id="34" w:name="_Toc500988232"/>
      <w:bookmarkStart w:id="35" w:name="_Toc500944577"/>
      <w:bookmarkStart w:id="36" w:name="_Toc500987604"/>
      <w:bookmarkStart w:id="37" w:name="_Toc500988450"/>
      <w:bookmarkStart w:id="38" w:name="_Toc501033314"/>
      <w:bookmarkStart w:id="39" w:name="_Toc501033352"/>
      <w:bookmarkStart w:id="40" w:name="_Toc501033833"/>
      <w:bookmarkStart w:id="41" w:name="_Toc501075949"/>
      <w:bookmarkStart w:id="42" w:name="_Toc501075974"/>
      <w:bookmarkStart w:id="43" w:name="_Toc506888241"/>
      <w:bookmarkStart w:id="44" w:name="_Toc507477127"/>
      <w:bookmarkStart w:id="45" w:name="_Toc380762373"/>
      <w:bookmarkStart w:id="46" w:name="_Toc405142285"/>
      <w:bookmarkStart w:id="47" w:name="_Toc380762374"/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szCs w:val="24"/>
        </w:rPr>
        <w:t>.1招标方的工作范围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5"/>
        <w:keepNext w:val="0"/>
        <w:keepLines w:val="0"/>
        <w:numPr>
          <w:ilvl w:val="2"/>
          <w:numId w:val="3"/>
        </w:numPr>
        <w:tabs>
          <w:tab w:val="left" w:pos="-2700"/>
          <w:tab w:val="left" w:pos="600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  <w:lang w:eastAsia="zh-CN"/>
        </w:rPr>
        <w:t xml:space="preserve"> </w:t>
      </w:r>
      <w:r>
        <w:rPr>
          <w:rFonts w:hint="eastAsia" w:cs="Arial"/>
          <w:b w:val="0"/>
          <w:spacing w:val="5"/>
          <w:sz w:val="24"/>
          <w:szCs w:val="24"/>
        </w:rPr>
        <w:t>提供改造前电动执行机构的技术参数。</w:t>
      </w:r>
    </w:p>
    <w:p>
      <w:pPr>
        <w:numPr>
          <w:ilvl w:val="2"/>
          <w:numId w:val="3"/>
        </w:numPr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协调和配合改造后的电动执行机构调试。</w:t>
      </w:r>
    </w:p>
    <w:p>
      <w:pPr>
        <w:numPr>
          <w:ilvl w:val="2"/>
          <w:numId w:val="3"/>
        </w:numPr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对投标方提供的电动执行机构进行验收。</w:t>
      </w:r>
    </w:p>
    <w:p>
      <w:pPr>
        <w:spacing w:line="360" w:lineRule="auto"/>
        <w:rPr>
          <w:rFonts w:hint="eastAsia" w:ascii="宋体" w:hAnsi="宋体"/>
          <w:sz w:val="24"/>
        </w:rPr>
      </w:pPr>
      <w:bookmarkStart w:id="48" w:name="_Toc500988233"/>
      <w:bookmarkStart w:id="49" w:name="_Toc500988451"/>
      <w:bookmarkStart w:id="50" w:name="_Toc501033315"/>
      <w:bookmarkStart w:id="51" w:name="_Toc501033353"/>
      <w:bookmarkStart w:id="52" w:name="_Toc501075950"/>
      <w:bookmarkStart w:id="53" w:name="_Toc501033834"/>
      <w:bookmarkStart w:id="54" w:name="_Toc501075975"/>
      <w:bookmarkStart w:id="55" w:name="_Toc506888242"/>
      <w:bookmarkStart w:id="56" w:name="_Toc507477128"/>
      <w:bookmarkStart w:id="57" w:name="_Toc500924014"/>
      <w:bookmarkStart w:id="58" w:name="_Toc500924104"/>
      <w:bookmarkStart w:id="59" w:name="_Toc500944548"/>
      <w:bookmarkStart w:id="60" w:name="_Toc500944578"/>
      <w:bookmarkStart w:id="61" w:name="_Toc500987605"/>
      <w:r>
        <w:rPr>
          <w:rFonts w:hint="eastAsia" w:ascii="宋体" w:hAnsi="宋体"/>
          <w:sz w:val="24"/>
        </w:rPr>
        <w:t>1.2投标方的工作范围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spacing w:line="360" w:lineRule="auto"/>
        <w:ind w:left="1199" w:leftChars="228" w:hanging="720" w:hangingChars="3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1.2.1负责提供满足招标方改造需要的电动执行机构及相关附件，并且按功能要求进行调试，直至投入运行。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1.2.2负责测绘</w:t>
      </w:r>
      <w:r>
        <w:rPr>
          <w:rFonts w:hint="eastAsia" w:hAnsi="宋体" w:cs="Arial"/>
          <w:spacing w:val="5"/>
          <w:sz w:val="24"/>
        </w:rPr>
        <w:t>投标方需换型改造的电动执行机构接口尺寸。</w:t>
      </w:r>
    </w:p>
    <w:bookmarkEnd w:id="45"/>
    <w:bookmarkEnd w:id="46"/>
    <w:p>
      <w:pPr>
        <w:numPr>
          <w:ilvl w:val="0"/>
          <w:numId w:val="3"/>
        </w:numPr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技术资料及交货进度</w:t>
      </w:r>
    </w:p>
    <w:bookmarkEnd w:id="47"/>
    <w:p>
      <w:pPr>
        <w:numPr>
          <w:ilvl w:val="1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一般要求</w:t>
      </w:r>
    </w:p>
    <w:p>
      <w:pPr>
        <w:spacing w:line="360" w:lineRule="auto"/>
        <w:ind w:left="1319" w:leftChars="228" w:hanging="840" w:hangingChars="3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2.1.</w:t>
      </w:r>
      <w:r>
        <w:rPr>
          <w:rFonts w:hint="eastAsia" w:ascii="宋体" w:hAnsi="宋体" w:cs="Arial"/>
          <w:sz w:val="24"/>
          <w:lang w:val="en-US" w:eastAsia="zh-CN"/>
        </w:rPr>
        <w:t>1</w:t>
      </w:r>
      <w:r>
        <w:rPr>
          <w:rFonts w:hint="eastAsia" w:ascii="宋体" w:hAnsi="宋体" w:cs="Arial"/>
          <w:sz w:val="24"/>
        </w:rPr>
        <w:t>对于其它没有列入合同技术资料清单，却是本次改造工程必需的文件和资料，一经发现，投标方应及时免费提供。</w:t>
      </w:r>
    </w:p>
    <w:p>
      <w:pPr>
        <w:spacing w:line="360" w:lineRule="auto"/>
        <w:ind w:left="1079" w:leftChars="171" w:hanging="720" w:hangingChars="3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2.1.</w:t>
      </w:r>
      <w:r>
        <w:rPr>
          <w:rFonts w:hint="eastAsia" w:ascii="宋体" w:hAnsi="宋体" w:cs="Arial"/>
          <w:sz w:val="24"/>
          <w:lang w:val="en-US" w:eastAsia="zh-CN"/>
        </w:rPr>
        <w:t>2</w:t>
      </w:r>
      <w:r>
        <w:rPr>
          <w:rFonts w:hint="eastAsia" w:ascii="宋体" w:hAnsi="宋体" w:cs="Arial"/>
          <w:sz w:val="24"/>
        </w:rPr>
        <w:t>根据供货合同，投标方提供招标方的所有改造文件，其所有权属于招标方。</w:t>
      </w:r>
    </w:p>
    <w:p>
      <w:pPr>
        <w:numPr>
          <w:ilvl w:val="0"/>
          <w:numId w:val="3"/>
        </w:numPr>
        <w:spacing w:line="360" w:lineRule="auto"/>
        <w:ind w:left="851" w:hanging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提交资料内容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此批执行机构为原装进口产品，中标单位中标后需提供：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与</w:t>
      </w:r>
      <w:r>
        <w:rPr>
          <w:rFonts w:hint="eastAsia" w:ascii="宋体" w:hAnsi="宋体"/>
          <w:sz w:val="24"/>
          <w:lang w:eastAsia="zh-CN"/>
        </w:rPr>
        <w:t>该产品中国</w:t>
      </w:r>
      <w:r>
        <w:rPr>
          <w:rFonts w:hint="eastAsia" w:ascii="宋体" w:hAnsi="宋体"/>
          <w:sz w:val="24"/>
        </w:rPr>
        <w:t>代表处签订的合同，（价格可抹去）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正规合法代理商项目授权文件。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方可与招标方签订合同。（以上文件不能提供不予签订合同）</w:t>
      </w:r>
    </w:p>
    <w:p>
      <w:pPr>
        <w:spacing w:line="360" w:lineRule="auto"/>
        <w:ind w:left="851"/>
        <w:rPr>
          <w:rFonts w:hint="eastAsia" w:ascii="宋体" w:hAnsi="宋体"/>
          <w:sz w:val="24"/>
        </w:rPr>
      </w:pPr>
      <w:r>
        <w:rPr>
          <w:rFonts w:hint="eastAsia" w:ascii="宋体" w:hAnsi="宋体" w:cs="Arial"/>
          <w:sz w:val="24"/>
        </w:rPr>
        <w:t>在设备发运前，投标方应向招标方提供下列资料：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交货清单及装箱单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详细的安装手册、说明书及维护手册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设备存放要求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b w:val="0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安装、运行、维护、检修所需的详尽图纸和技术资料</w:t>
      </w:r>
    </w:p>
    <w:p>
      <w:pPr>
        <w:pStyle w:val="5"/>
        <w:keepNext w:val="0"/>
        <w:keepLines w:val="0"/>
        <w:numPr>
          <w:ilvl w:val="0"/>
          <w:numId w:val="4"/>
        </w:numPr>
        <w:tabs>
          <w:tab w:val="left" w:pos="-2700"/>
          <w:tab w:val="left" w:pos="485"/>
        </w:tabs>
        <w:overflowPunct w:val="0"/>
        <w:autoSpaceDE w:val="0"/>
        <w:autoSpaceDN w:val="0"/>
        <w:adjustRightInd w:val="0"/>
        <w:spacing w:before="0" w:after="0" w:line="360" w:lineRule="auto"/>
        <w:textAlignment w:val="baseline"/>
        <w:rPr>
          <w:rFonts w:hint="eastAsia" w:cs="Arial"/>
          <w:spacing w:val="5"/>
          <w:sz w:val="24"/>
          <w:szCs w:val="24"/>
        </w:rPr>
      </w:pPr>
      <w:r>
        <w:rPr>
          <w:rFonts w:hint="eastAsia" w:cs="Arial"/>
          <w:b w:val="0"/>
          <w:spacing w:val="5"/>
          <w:sz w:val="24"/>
          <w:szCs w:val="24"/>
        </w:rPr>
        <w:t>投标方提供的资料应为中文版本，若有英文资料，应提供相对照的中文资料。</w:t>
      </w:r>
      <w:bookmarkStart w:id="62" w:name="_Toc113685634"/>
      <w:bookmarkStart w:id="63" w:name="_Toc128379906"/>
      <w:r>
        <w:rPr>
          <w:rFonts w:hint="eastAsia" w:cs="Arial"/>
          <w:b w:val="0"/>
          <w:spacing w:val="5"/>
          <w:sz w:val="24"/>
          <w:szCs w:val="24"/>
        </w:rPr>
        <w:t xml:space="preserve">  </w:t>
      </w:r>
      <w:r>
        <w:rPr>
          <w:rFonts w:hint="eastAsia" w:cs="Arial"/>
          <w:spacing w:val="5"/>
          <w:sz w:val="24"/>
          <w:szCs w:val="24"/>
        </w:rPr>
        <w:t xml:space="preserve">    </w:t>
      </w:r>
    </w:p>
    <w:bookmarkEnd w:id="62"/>
    <w:bookmarkEnd w:id="63"/>
    <w:p>
      <w:pPr>
        <w:numPr>
          <w:ilvl w:val="0"/>
          <w:numId w:val="3"/>
        </w:numPr>
        <w:spacing w:line="360" w:lineRule="auto"/>
        <w:ind w:left="851" w:hanging="85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投标方应提交下列资料和文件</w:t>
      </w:r>
    </w:p>
    <w:p>
      <w:pPr>
        <w:numPr>
          <w:ilvl w:val="1"/>
          <w:numId w:val="3"/>
        </w:numPr>
        <w:spacing w:line="360" w:lineRule="auto"/>
        <w:jc w:val="left"/>
        <w:outlineLvl w:val="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供货文件</w:t>
      </w:r>
    </w:p>
    <w:p>
      <w:pPr>
        <w:numPr>
          <w:ilvl w:val="0"/>
          <w:numId w:val="5"/>
        </w:numPr>
        <w:tabs>
          <w:tab w:val="clear" w:pos="845"/>
        </w:tabs>
        <w:adjustRightInd w:val="0"/>
        <w:spacing w:line="360" w:lineRule="auto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设备中文说明书、安装要求</w:t>
      </w:r>
    </w:p>
    <w:p>
      <w:pPr>
        <w:numPr>
          <w:ilvl w:val="0"/>
          <w:numId w:val="5"/>
        </w:numPr>
        <w:tabs>
          <w:tab w:val="clear" w:pos="845"/>
        </w:tabs>
        <w:adjustRightInd w:val="0"/>
        <w:spacing w:line="360" w:lineRule="auto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电源容量和要求，</w:t>
      </w:r>
      <w:r>
        <w:rPr>
          <w:rFonts w:hint="eastAsia" w:ascii="宋体" w:hAnsi="宋体"/>
          <w:sz w:val="24"/>
        </w:rPr>
        <w:t>执行机构安装配件图纸</w:t>
      </w:r>
    </w:p>
    <w:p>
      <w:pPr>
        <w:numPr>
          <w:ilvl w:val="0"/>
          <w:numId w:val="5"/>
        </w:numPr>
        <w:tabs>
          <w:tab w:val="clear" w:pos="845"/>
        </w:tabs>
        <w:adjustRightInd w:val="0"/>
        <w:spacing w:line="360" w:lineRule="auto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设备原产地证明（随供货设备提供，如未提供，招标单位有权拒收）</w:t>
      </w:r>
    </w:p>
    <w:p>
      <w:pPr>
        <w:numPr>
          <w:ilvl w:val="0"/>
          <w:numId w:val="5"/>
        </w:numPr>
        <w:tabs>
          <w:tab w:val="clear" w:pos="845"/>
        </w:tabs>
        <w:adjustRightInd w:val="0"/>
        <w:spacing w:line="360" w:lineRule="auto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质量合格证书、</w:t>
      </w:r>
      <w:r>
        <w:rPr>
          <w:rFonts w:hint="eastAsia" w:ascii="宋体" w:hAnsi="宋体"/>
          <w:sz w:val="24"/>
        </w:rPr>
        <w:t>海关进出口报关单（随供货设备提供，如未提供，招标单位有权拒收）</w:t>
      </w:r>
    </w:p>
    <w:p>
      <w:pPr>
        <w:spacing w:line="360" w:lineRule="auto"/>
        <w:ind w:right="567" w:rightChars="2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 w:ascii="宋体" w:hAnsi="宋体"/>
          <w:b/>
          <w:sz w:val="24"/>
        </w:rPr>
        <w:t>其他</w:t>
      </w:r>
    </w:p>
    <w:p>
      <w:pPr>
        <w:spacing w:line="360" w:lineRule="auto"/>
        <w:ind w:left="360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1、项目改造施工结束后，设备投入运行一年内出现与本次改造设备本身质量相关的缺陷，中标单位必须及时进行技术指导，设备所需材料等费用由中标单位承担。</w:t>
      </w: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2、投标方负责提供安装指导、调试及培训等现场服务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/>
          <w:sz w:val="24"/>
        </w:rPr>
        <w:t>3、投标方需承诺长期提供技术支持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hint="eastAsia" w:ascii="宋体" w:hAnsi="宋体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151"/>
    <w:multiLevelType w:val="multilevel"/>
    <w:tmpl w:val="15366151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 w:ascii="宋体" w:hAnsi="宋体" w:cs="Arial"/>
      </w:rPr>
    </w:lvl>
    <w:lvl w:ilvl="1" w:tentative="0">
      <w:start w:val="1"/>
      <w:numFmt w:val="decimal"/>
      <w:isLgl/>
      <w:lvlText w:val="%1.%2"/>
      <w:lvlJc w:val="left"/>
      <w:pPr>
        <w:ind w:left="93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28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63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">
    <w:nsid w:val="341556B2"/>
    <w:multiLevelType w:val="multilevel"/>
    <w:tmpl w:val="341556B2"/>
    <w:lvl w:ilvl="0" w:tentative="0">
      <w:start w:val="1"/>
      <w:numFmt w:val="bullet"/>
      <w:lvlText w:val=""/>
      <w:lvlJc w:val="left"/>
      <w:pPr>
        <w:tabs>
          <w:tab w:val="left" w:pos="1045"/>
        </w:tabs>
        <w:ind w:left="10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65"/>
        </w:tabs>
        <w:ind w:left="14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85"/>
        </w:tabs>
        <w:ind w:left="18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05"/>
        </w:tabs>
        <w:ind w:left="23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25"/>
        </w:tabs>
        <w:ind w:left="27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45"/>
        </w:tabs>
        <w:ind w:left="31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65"/>
        </w:tabs>
        <w:ind w:left="35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85"/>
        </w:tabs>
        <w:ind w:left="39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05"/>
        </w:tabs>
        <w:ind w:left="4405" w:hanging="420"/>
      </w:pPr>
      <w:rPr>
        <w:rFonts w:hint="default" w:ascii="Wingdings" w:hAnsi="Wingdings"/>
      </w:rPr>
    </w:lvl>
  </w:abstractNum>
  <w:abstractNum w:abstractNumId="2">
    <w:nsid w:val="3AC72F6F"/>
    <w:multiLevelType w:val="multilevel"/>
    <w:tmpl w:val="3AC72F6F"/>
    <w:lvl w:ilvl="0" w:tentative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E97152"/>
    <w:multiLevelType w:val="multilevel"/>
    <w:tmpl w:val="52E97152"/>
    <w:lvl w:ilvl="0" w:tentative="0">
      <w:start w:val="1"/>
      <w:numFmt w:val="decimal"/>
      <w:lvlText w:val="%1"/>
      <w:lvlJc w:val="left"/>
      <w:pPr>
        <w:tabs>
          <w:tab w:val="left" w:pos="180"/>
        </w:tabs>
        <w:ind w:left="180" w:firstLine="0"/>
      </w:pPr>
      <w:rPr>
        <w:rFonts w:hint="default"/>
        <w:sz w:val="28"/>
        <w:szCs w:val="32"/>
      </w:rPr>
    </w:lvl>
    <w:lvl w:ilvl="1" w:tentative="0">
      <w:start w:val="1"/>
      <w:numFmt w:val="decimal"/>
      <w:lvlText w:val="%2"/>
      <w:lvlJc w:val="left"/>
      <w:pPr>
        <w:tabs>
          <w:tab w:val="left" w:pos="680"/>
        </w:tabs>
        <w:ind w:left="624" w:hanging="624"/>
      </w:pPr>
      <w:rPr>
        <w:rFonts w:hint="eastAsia" w:cs="Times New Roman"/>
        <w:b/>
      </w:rPr>
    </w:lvl>
    <w:lvl w:ilvl="2" w:tentative="0">
      <w:start w:val="1"/>
      <w:numFmt w:val="decimal"/>
      <w:pStyle w:val="30"/>
      <w:lvlText w:val="%1.%3"/>
      <w:lvlJc w:val="left"/>
      <w:pPr>
        <w:tabs>
          <w:tab w:val="left" w:pos="747"/>
        </w:tabs>
        <w:ind w:left="747" w:hanging="567"/>
      </w:pPr>
      <w:rPr>
        <w:rFonts w:hint="default" w:ascii="Times New Roman" w:hAnsi="Times New Roman" w:eastAsia="宋体" w:cs="Times New Roman"/>
        <w:color w:val="auto"/>
        <w:sz w:val="24"/>
        <w:szCs w:val="24"/>
      </w:rPr>
    </w:lvl>
    <w:lvl w:ilvl="3" w:tentative="0">
      <w:start w:val="1"/>
      <w:numFmt w:val="decimal"/>
      <w:lvlRestart w:val="0"/>
      <w:lvlText w:val="5.3.%4"/>
      <w:lvlJc w:val="left"/>
      <w:pPr>
        <w:tabs>
          <w:tab w:val="left" w:pos="1494"/>
        </w:tabs>
        <w:ind w:left="360" w:firstLine="0"/>
      </w:pPr>
      <w:rPr>
        <w:rFonts w:hint="default" w:ascii="Times New Roman" w:hAnsi="Times New Roman" w:eastAsia="宋体" w:cs="Times New Roman"/>
        <w:b w:val="0"/>
        <w:spacing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</w:abstractNum>
  <w:abstractNum w:abstractNumId="4">
    <w:nsid w:val="705E0391"/>
    <w:multiLevelType w:val="multilevel"/>
    <w:tmpl w:val="705E0391"/>
    <w:lvl w:ilvl="0" w:tentative="0">
      <w:start w:val="1"/>
      <w:numFmt w:val="bullet"/>
      <w:lvlText w:val="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5"/>
        </w:tabs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EC"/>
    <w:rsid w:val="00034948"/>
    <w:rsid w:val="000573CB"/>
    <w:rsid w:val="000839D1"/>
    <w:rsid w:val="00096243"/>
    <w:rsid w:val="000B2E91"/>
    <w:rsid w:val="000D5DBF"/>
    <w:rsid w:val="001207C1"/>
    <w:rsid w:val="00122D98"/>
    <w:rsid w:val="001262CA"/>
    <w:rsid w:val="00137F0E"/>
    <w:rsid w:val="00153276"/>
    <w:rsid w:val="00172A27"/>
    <w:rsid w:val="00185BB1"/>
    <w:rsid w:val="001A081A"/>
    <w:rsid w:val="001B1BEC"/>
    <w:rsid w:val="001B5A05"/>
    <w:rsid w:val="001D5B1B"/>
    <w:rsid w:val="001D76A6"/>
    <w:rsid w:val="00205772"/>
    <w:rsid w:val="002211DB"/>
    <w:rsid w:val="0022347D"/>
    <w:rsid w:val="0025031A"/>
    <w:rsid w:val="002A2129"/>
    <w:rsid w:val="002B0E1F"/>
    <w:rsid w:val="002C3F24"/>
    <w:rsid w:val="002F75A9"/>
    <w:rsid w:val="00357389"/>
    <w:rsid w:val="00384321"/>
    <w:rsid w:val="003856F6"/>
    <w:rsid w:val="00395D53"/>
    <w:rsid w:val="003A4969"/>
    <w:rsid w:val="003B7587"/>
    <w:rsid w:val="003C5111"/>
    <w:rsid w:val="003D04D2"/>
    <w:rsid w:val="003D5E2A"/>
    <w:rsid w:val="003F0E7F"/>
    <w:rsid w:val="003F482E"/>
    <w:rsid w:val="00414FA4"/>
    <w:rsid w:val="00440944"/>
    <w:rsid w:val="00456F0F"/>
    <w:rsid w:val="004A2D00"/>
    <w:rsid w:val="004D2AAC"/>
    <w:rsid w:val="004E59F5"/>
    <w:rsid w:val="004F43A0"/>
    <w:rsid w:val="0050575E"/>
    <w:rsid w:val="00597B9D"/>
    <w:rsid w:val="005C3172"/>
    <w:rsid w:val="0060470E"/>
    <w:rsid w:val="00613131"/>
    <w:rsid w:val="0065730E"/>
    <w:rsid w:val="00673C40"/>
    <w:rsid w:val="0069292B"/>
    <w:rsid w:val="00692FD8"/>
    <w:rsid w:val="00695230"/>
    <w:rsid w:val="006A456B"/>
    <w:rsid w:val="006A65D4"/>
    <w:rsid w:val="006E0868"/>
    <w:rsid w:val="00720ACA"/>
    <w:rsid w:val="00722949"/>
    <w:rsid w:val="00753121"/>
    <w:rsid w:val="00776B3D"/>
    <w:rsid w:val="007817B3"/>
    <w:rsid w:val="007958F7"/>
    <w:rsid w:val="007B7F89"/>
    <w:rsid w:val="007C7668"/>
    <w:rsid w:val="007F1FF1"/>
    <w:rsid w:val="007F575B"/>
    <w:rsid w:val="008016DF"/>
    <w:rsid w:val="00837680"/>
    <w:rsid w:val="008619A2"/>
    <w:rsid w:val="00873812"/>
    <w:rsid w:val="008A49DC"/>
    <w:rsid w:val="008D7CCC"/>
    <w:rsid w:val="00917E57"/>
    <w:rsid w:val="00922EEE"/>
    <w:rsid w:val="00933B29"/>
    <w:rsid w:val="00972936"/>
    <w:rsid w:val="00976FCD"/>
    <w:rsid w:val="00990ADC"/>
    <w:rsid w:val="009D322A"/>
    <w:rsid w:val="009E2F72"/>
    <w:rsid w:val="009F10B1"/>
    <w:rsid w:val="00A04578"/>
    <w:rsid w:val="00A23D29"/>
    <w:rsid w:val="00A30054"/>
    <w:rsid w:val="00A4000C"/>
    <w:rsid w:val="00A57A44"/>
    <w:rsid w:val="00A7633A"/>
    <w:rsid w:val="00AC43F4"/>
    <w:rsid w:val="00AE6CA9"/>
    <w:rsid w:val="00AF6C78"/>
    <w:rsid w:val="00AF6E81"/>
    <w:rsid w:val="00B055C7"/>
    <w:rsid w:val="00B2194A"/>
    <w:rsid w:val="00B322F6"/>
    <w:rsid w:val="00B36674"/>
    <w:rsid w:val="00B43388"/>
    <w:rsid w:val="00B765D4"/>
    <w:rsid w:val="00B841CB"/>
    <w:rsid w:val="00B860F6"/>
    <w:rsid w:val="00B8690D"/>
    <w:rsid w:val="00BC27B5"/>
    <w:rsid w:val="00C52985"/>
    <w:rsid w:val="00C5515D"/>
    <w:rsid w:val="00C579E6"/>
    <w:rsid w:val="00C61FA6"/>
    <w:rsid w:val="00C75112"/>
    <w:rsid w:val="00C76EA2"/>
    <w:rsid w:val="00C87767"/>
    <w:rsid w:val="00C960EE"/>
    <w:rsid w:val="00CA34FB"/>
    <w:rsid w:val="00CF0A30"/>
    <w:rsid w:val="00D31533"/>
    <w:rsid w:val="00D554BC"/>
    <w:rsid w:val="00D8554B"/>
    <w:rsid w:val="00D908F3"/>
    <w:rsid w:val="00DA00DB"/>
    <w:rsid w:val="00DA37E3"/>
    <w:rsid w:val="00DD7A29"/>
    <w:rsid w:val="00DE28A7"/>
    <w:rsid w:val="00DF123E"/>
    <w:rsid w:val="00E32227"/>
    <w:rsid w:val="00E65A6B"/>
    <w:rsid w:val="00E76491"/>
    <w:rsid w:val="00E92184"/>
    <w:rsid w:val="00EA43BA"/>
    <w:rsid w:val="00EE71BF"/>
    <w:rsid w:val="00F0096E"/>
    <w:rsid w:val="00F07CCD"/>
    <w:rsid w:val="00F66F5D"/>
    <w:rsid w:val="00F72C3B"/>
    <w:rsid w:val="00F751E4"/>
    <w:rsid w:val="00F80E92"/>
    <w:rsid w:val="00FA23C9"/>
    <w:rsid w:val="00FD0268"/>
    <w:rsid w:val="00FE2956"/>
    <w:rsid w:val="01C03B0D"/>
    <w:rsid w:val="040F125B"/>
    <w:rsid w:val="045877DF"/>
    <w:rsid w:val="04B27C87"/>
    <w:rsid w:val="0537253E"/>
    <w:rsid w:val="05616D27"/>
    <w:rsid w:val="05705EEF"/>
    <w:rsid w:val="058E3E78"/>
    <w:rsid w:val="05C939C6"/>
    <w:rsid w:val="06911352"/>
    <w:rsid w:val="069403D8"/>
    <w:rsid w:val="06A32DD9"/>
    <w:rsid w:val="070D2F07"/>
    <w:rsid w:val="071F4BC5"/>
    <w:rsid w:val="07425DBB"/>
    <w:rsid w:val="074A2A18"/>
    <w:rsid w:val="07C875CE"/>
    <w:rsid w:val="08006B0C"/>
    <w:rsid w:val="083F5C3F"/>
    <w:rsid w:val="087C7115"/>
    <w:rsid w:val="08CA4A92"/>
    <w:rsid w:val="0924656E"/>
    <w:rsid w:val="095202FD"/>
    <w:rsid w:val="09894CE3"/>
    <w:rsid w:val="09D05F34"/>
    <w:rsid w:val="0A4567D0"/>
    <w:rsid w:val="0AF00A67"/>
    <w:rsid w:val="0CAB232A"/>
    <w:rsid w:val="0D094989"/>
    <w:rsid w:val="0DC31403"/>
    <w:rsid w:val="0DE062F7"/>
    <w:rsid w:val="0EF30092"/>
    <w:rsid w:val="0F3B3A18"/>
    <w:rsid w:val="0FC76B88"/>
    <w:rsid w:val="10974747"/>
    <w:rsid w:val="10AF2C13"/>
    <w:rsid w:val="11394C49"/>
    <w:rsid w:val="115E3156"/>
    <w:rsid w:val="116044F8"/>
    <w:rsid w:val="11891371"/>
    <w:rsid w:val="119450E2"/>
    <w:rsid w:val="12123E35"/>
    <w:rsid w:val="12406C90"/>
    <w:rsid w:val="13A56EA1"/>
    <w:rsid w:val="13B35575"/>
    <w:rsid w:val="141D4C2E"/>
    <w:rsid w:val="141E70B0"/>
    <w:rsid w:val="14272613"/>
    <w:rsid w:val="14896EE8"/>
    <w:rsid w:val="16074BD0"/>
    <w:rsid w:val="18712A9C"/>
    <w:rsid w:val="18FA020B"/>
    <w:rsid w:val="191A7BED"/>
    <w:rsid w:val="19BE5155"/>
    <w:rsid w:val="19CB0729"/>
    <w:rsid w:val="1A5A059B"/>
    <w:rsid w:val="1B353711"/>
    <w:rsid w:val="1BC970BC"/>
    <w:rsid w:val="1BE423AB"/>
    <w:rsid w:val="1D185976"/>
    <w:rsid w:val="1D797A9F"/>
    <w:rsid w:val="1F743DFB"/>
    <w:rsid w:val="205E2C3D"/>
    <w:rsid w:val="2099290F"/>
    <w:rsid w:val="20B12383"/>
    <w:rsid w:val="20E146B1"/>
    <w:rsid w:val="210003EF"/>
    <w:rsid w:val="21743052"/>
    <w:rsid w:val="2205498E"/>
    <w:rsid w:val="224438C7"/>
    <w:rsid w:val="228D2843"/>
    <w:rsid w:val="229D3411"/>
    <w:rsid w:val="22E94E3D"/>
    <w:rsid w:val="23785889"/>
    <w:rsid w:val="23C93CBB"/>
    <w:rsid w:val="249929D1"/>
    <w:rsid w:val="24D80CE1"/>
    <w:rsid w:val="24DB331C"/>
    <w:rsid w:val="25397CAF"/>
    <w:rsid w:val="25423D20"/>
    <w:rsid w:val="255E409F"/>
    <w:rsid w:val="255F3A14"/>
    <w:rsid w:val="25E87B8D"/>
    <w:rsid w:val="26E95DB8"/>
    <w:rsid w:val="27452F93"/>
    <w:rsid w:val="27530909"/>
    <w:rsid w:val="27F10DBC"/>
    <w:rsid w:val="27F470A6"/>
    <w:rsid w:val="28265B43"/>
    <w:rsid w:val="282A6506"/>
    <w:rsid w:val="29403291"/>
    <w:rsid w:val="29F74B38"/>
    <w:rsid w:val="29FB3372"/>
    <w:rsid w:val="2AAF05AF"/>
    <w:rsid w:val="2B1C1C21"/>
    <w:rsid w:val="2B1F5F05"/>
    <w:rsid w:val="2B29263C"/>
    <w:rsid w:val="2B634AEC"/>
    <w:rsid w:val="2BEB17DD"/>
    <w:rsid w:val="2CD35F52"/>
    <w:rsid w:val="2D350AF5"/>
    <w:rsid w:val="2DA22D15"/>
    <w:rsid w:val="2F6C6CBA"/>
    <w:rsid w:val="2FFF0488"/>
    <w:rsid w:val="3038237E"/>
    <w:rsid w:val="304333A5"/>
    <w:rsid w:val="318B30D2"/>
    <w:rsid w:val="32261CC7"/>
    <w:rsid w:val="328E03FD"/>
    <w:rsid w:val="328F19F9"/>
    <w:rsid w:val="32CD2861"/>
    <w:rsid w:val="331218CA"/>
    <w:rsid w:val="33BD6AC0"/>
    <w:rsid w:val="36231F6A"/>
    <w:rsid w:val="37574D73"/>
    <w:rsid w:val="376F1F02"/>
    <w:rsid w:val="377C4E45"/>
    <w:rsid w:val="37B63595"/>
    <w:rsid w:val="37F41980"/>
    <w:rsid w:val="388C3531"/>
    <w:rsid w:val="38B7543A"/>
    <w:rsid w:val="38F46808"/>
    <w:rsid w:val="39187012"/>
    <w:rsid w:val="3971250D"/>
    <w:rsid w:val="3B9C32E2"/>
    <w:rsid w:val="3BAE12B0"/>
    <w:rsid w:val="3C084B2E"/>
    <w:rsid w:val="3C536829"/>
    <w:rsid w:val="3C5530A5"/>
    <w:rsid w:val="3CA30A56"/>
    <w:rsid w:val="3CE85777"/>
    <w:rsid w:val="3CFF17AB"/>
    <w:rsid w:val="3DD10EEA"/>
    <w:rsid w:val="3E506525"/>
    <w:rsid w:val="3E9D5AE8"/>
    <w:rsid w:val="3EC0730D"/>
    <w:rsid w:val="3F532165"/>
    <w:rsid w:val="3F582509"/>
    <w:rsid w:val="3F602AEB"/>
    <w:rsid w:val="3F731171"/>
    <w:rsid w:val="3F7E5EA6"/>
    <w:rsid w:val="3FE675EA"/>
    <w:rsid w:val="40AC3591"/>
    <w:rsid w:val="41916D6F"/>
    <w:rsid w:val="41BD6296"/>
    <w:rsid w:val="41DC1D16"/>
    <w:rsid w:val="433449CF"/>
    <w:rsid w:val="439C5EC0"/>
    <w:rsid w:val="441A3E3E"/>
    <w:rsid w:val="44991B9C"/>
    <w:rsid w:val="44AC37F2"/>
    <w:rsid w:val="44E30C5A"/>
    <w:rsid w:val="45376A4F"/>
    <w:rsid w:val="45405872"/>
    <w:rsid w:val="454A5990"/>
    <w:rsid w:val="45F10DDE"/>
    <w:rsid w:val="4669276D"/>
    <w:rsid w:val="47B81589"/>
    <w:rsid w:val="47C93B0E"/>
    <w:rsid w:val="47D77760"/>
    <w:rsid w:val="47E0426C"/>
    <w:rsid w:val="48A46701"/>
    <w:rsid w:val="48E215A2"/>
    <w:rsid w:val="490E7910"/>
    <w:rsid w:val="49880826"/>
    <w:rsid w:val="49A674C6"/>
    <w:rsid w:val="49B50A7A"/>
    <w:rsid w:val="49C01878"/>
    <w:rsid w:val="4A1A3ABF"/>
    <w:rsid w:val="4A2B70FD"/>
    <w:rsid w:val="4A63079E"/>
    <w:rsid w:val="4AA12D2D"/>
    <w:rsid w:val="4AD31C3D"/>
    <w:rsid w:val="4B064B49"/>
    <w:rsid w:val="4B2840D0"/>
    <w:rsid w:val="4BB701E9"/>
    <w:rsid w:val="4C517295"/>
    <w:rsid w:val="4CD210F2"/>
    <w:rsid w:val="4D013A3E"/>
    <w:rsid w:val="4D067A90"/>
    <w:rsid w:val="4D62609F"/>
    <w:rsid w:val="4DB91AFD"/>
    <w:rsid w:val="4DC42C09"/>
    <w:rsid w:val="4DEE4151"/>
    <w:rsid w:val="4E1158EE"/>
    <w:rsid w:val="503F6E2E"/>
    <w:rsid w:val="510A40FC"/>
    <w:rsid w:val="517C4036"/>
    <w:rsid w:val="521D77AC"/>
    <w:rsid w:val="52384353"/>
    <w:rsid w:val="5254694D"/>
    <w:rsid w:val="52627755"/>
    <w:rsid w:val="52C31431"/>
    <w:rsid w:val="52C31E21"/>
    <w:rsid w:val="53711E1E"/>
    <w:rsid w:val="53D0393A"/>
    <w:rsid w:val="54DB5934"/>
    <w:rsid w:val="54E8350E"/>
    <w:rsid w:val="550648B7"/>
    <w:rsid w:val="55860174"/>
    <w:rsid w:val="559D2620"/>
    <w:rsid w:val="55C35880"/>
    <w:rsid w:val="55F259E3"/>
    <w:rsid w:val="564E2094"/>
    <w:rsid w:val="56533C1F"/>
    <w:rsid w:val="56F27C0F"/>
    <w:rsid w:val="57ED0C6E"/>
    <w:rsid w:val="59986B6C"/>
    <w:rsid w:val="59FD5E93"/>
    <w:rsid w:val="5A4A379B"/>
    <w:rsid w:val="5BD55129"/>
    <w:rsid w:val="5CC12439"/>
    <w:rsid w:val="5CF45D8B"/>
    <w:rsid w:val="5D2845BA"/>
    <w:rsid w:val="5D3318B8"/>
    <w:rsid w:val="5D36624E"/>
    <w:rsid w:val="5E1542BF"/>
    <w:rsid w:val="5E947CA0"/>
    <w:rsid w:val="5EF67CD8"/>
    <w:rsid w:val="5F09653C"/>
    <w:rsid w:val="5FEE1620"/>
    <w:rsid w:val="60285FF2"/>
    <w:rsid w:val="602C2E53"/>
    <w:rsid w:val="60605B29"/>
    <w:rsid w:val="60646F51"/>
    <w:rsid w:val="607067B7"/>
    <w:rsid w:val="60737045"/>
    <w:rsid w:val="60803488"/>
    <w:rsid w:val="610E5375"/>
    <w:rsid w:val="61205A07"/>
    <w:rsid w:val="6142226F"/>
    <w:rsid w:val="62452634"/>
    <w:rsid w:val="627B29D3"/>
    <w:rsid w:val="62C46C3F"/>
    <w:rsid w:val="62D31DB5"/>
    <w:rsid w:val="63100302"/>
    <w:rsid w:val="63886730"/>
    <w:rsid w:val="63C452C5"/>
    <w:rsid w:val="647B265C"/>
    <w:rsid w:val="650F3519"/>
    <w:rsid w:val="657447B1"/>
    <w:rsid w:val="66671B69"/>
    <w:rsid w:val="66790EDD"/>
    <w:rsid w:val="669A4E21"/>
    <w:rsid w:val="66D51303"/>
    <w:rsid w:val="66F127B0"/>
    <w:rsid w:val="673B42C6"/>
    <w:rsid w:val="68710186"/>
    <w:rsid w:val="6A63788D"/>
    <w:rsid w:val="6A904803"/>
    <w:rsid w:val="6BC60295"/>
    <w:rsid w:val="6BCD5878"/>
    <w:rsid w:val="6BF96703"/>
    <w:rsid w:val="6C310A5C"/>
    <w:rsid w:val="6C3F67B1"/>
    <w:rsid w:val="6C8D1256"/>
    <w:rsid w:val="6D89404F"/>
    <w:rsid w:val="6E834E86"/>
    <w:rsid w:val="6F515B26"/>
    <w:rsid w:val="70115864"/>
    <w:rsid w:val="711D1915"/>
    <w:rsid w:val="71B53EA0"/>
    <w:rsid w:val="720B167A"/>
    <w:rsid w:val="725343C9"/>
    <w:rsid w:val="73470447"/>
    <w:rsid w:val="7354082C"/>
    <w:rsid w:val="735F275D"/>
    <w:rsid w:val="73CA4989"/>
    <w:rsid w:val="740A052F"/>
    <w:rsid w:val="74C6661A"/>
    <w:rsid w:val="74D7001F"/>
    <w:rsid w:val="754047BF"/>
    <w:rsid w:val="77302E24"/>
    <w:rsid w:val="77730C3A"/>
    <w:rsid w:val="786E40F5"/>
    <w:rsid w:val="78D0532A"/>
    <w:rsid w:val="795A20BD"/>
    <w:rsid w:val="7A030B27"/>
    <w:rsid w:val="7A075712"/>
    <w:rsid w:val="7A4F12BD"/>
    <w:rsid w:val="7A6D4B38"/>
    <w:rsid w:val="7ACD3068"/>
    <w:rsid w:val="7B431659"/>
    <w:rsid w:val="7BB76349"/>
    <w:rsid w:val="7C5A72D0"/>
    <w:rsid w:val="7C673CCC"/>
    <w:rsid w:val="7C9152D9"/>
    <w:rsid w:val="7CD5725A"/>
    <w:rsid w:val="7DCF000D"/>
    <w:rsid w:val="7E0B5023"/>
    <w:rsid w:val="7ED47625"/>
    <w:rsid w:val="7F9E6F23"/>
    <w:rsid w:val="7FB473ED"/>
    <w:rsid w:val="7FF92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27"/>
    <w:unhideWhenUsed/>
    <w:qFormat/>
    <w:uiPriority w:val="0"/>
    <w:pPr>
      <w:keepNext/>
      <w:keepLines/>
      <w:adjustRightInd w:val="0"/>
      <w:spacing w:before="260" w:after="260" w:line="416" w:lineRule="auto"/>
      <w:textAlignment w:val="baseline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Document Map"/>
    <w:basedOn w:val="1"/>
    <w:link w:val="42"/>
    <w:qFormat/>
    <w:uiPriority w:val="0"/>
    <w:rPr>
      <w:rFonts w:ascii="宋体"/>
      <w:sz w:val="18"/>
      <w:szCs w:val="18"/>
    </w:rPr>
  </w:style>
  <w:style w:type="paragraph" w:styleId="10">
    <w:name w:val="annotation text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kern w:val="0"/>
      <w:sz w:val="24"/>
    </w:rPr>
  </w:style>
  <w:style w:type="paragraph" w:styleId="11">
    <w:name w:val="Body Text"/>
    <w:basedOn w:val="1"/>
    <w:link w:val="45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ind w:firstLine="570"/>
    </w:pPr>
    <w:rPr>
      <w:rFonts w:ascii="宋体"/>
      <w:sz w:val="28"/>
    </w:rPr>
  </w:style>
  <w:style w:type="paragraph" w:styleId="13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4">
    <w:name w:val="Date"/>
    <w:basedOn w:val="1"/>
    <w:next w:val="1"/>
    <w:link w:val="43"/>
    <w:qFormat/>
    <w:uiPriority w:val="0"/>
    <w:pPr>
      <w:ind w:left="100" w:leftChars="2500"/>
    </w:pPr>
  </w:style>
  <w:style w:type="paragraph" w:styleId="15">
    <w:name w:val="Balloon Text"/>
    <w:basedOn w:val="1"/>
    <w:link w:val="33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2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22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qFormat/>
    <w:uiPriority w:val="0"/>
    <w:rPr>
      <w:sz w:val="21"/>
      <w:szCs w:val="21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样式1"/>
    <w:basedOn w:val="6"/>
    <w:qFormat/>
    <w:uiPriority w:val="0"/>
  </w:style>
  <w:style w:type="character" w:customStyle="1" w:styleId="27">
    <w:name w:val="标题 3 Char"/>
    <w:basedOn w:val="21"/>
    <w:link w:val="5"/>
    <w:qFormat/>
    <w:uiPriority w:val="0"/>
    <w:rPr>
      <w:b/>
      <w:sz w:val="32"/>
      <w:szCs w:val="24"/>
    </w:rPr>
  </w:style>
  <w:style w:type="paragraph" w:customStyle="1" w:styleId="28">
    <w:name w:val="未命名的样式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0">
    <w:name w:val="标题 22"/>
    <w:basedOn w:val="1"/>
    <w:qFormat/>
    <w:uiPriority w:val="0"/>
    <w:pPr>
      <w:numPr>
        <w:ilvl w:val="2"/>
        <w:numId w:val="1"/>
      </w:numPr>
      <w:tabs>
        <w:tab w:val="left" w:pos="180"/>
      </w:tabs>
    </w:pPr>
  </w:style>
  <w:style w:type="paragraph" w:customStyle="1" w:styleId="31">
    <w:name w:val="列出段落1"/>
    <w:basedOn w:val="1"/>
    <w:qFormat/>
    <w:uiPriority w:val="99"/>
    <w:pPr>
      <w:ind w:firstLine="420" w:firstLineChars="200"/>
    </w:pPr>
  </w:style>
  <w:style w:type="paragraph" w:customStyle="1" w:styleId="32">
    <w:name w:val="列出段落2"/>
    <w:basedOn w:val="1"/>
    <w:qFormat/>
    <w:uiPriority w:val="34"/>
    <w:pPr>
      <w:ind w:firstLine="420" w:firstLineChars="200"/>
    </w:pPr>
  </w:style>
  <w:style w:type="character" w:customStyle="1" w:styleId="33">
    <w:name w:val="批注框文本 Char"/>
    <w:basedOn w:val="21"/>
    <w:link w:val="15"/>
    <w:qFormat/>
    <w:uiPriority w:val="0"/>
    <w:rPr>
      <w:kern w:val="2"/>
      <w:sz w:val="18"/>
      <w:szCs w:val="18"/>
    </w:rPr>
  </w:style>
  <w:style w:type="paragraph" w:customStyle="1" w:styleId="34">
    <w:name w:val="彩色列表1"/>
    <w:basedOn w:val="1"/>
    <w:qFormat/>
    <w:uiPriority w:val="34"/>
    <w:pPr>
      <w:ind w:firstLine="420" w:firstLineChars="200"/>
    </w:pPr>
  </w:style>
  <w:style w:type="character" w:customStyle="1" w:styleId="35">
    <w:name w:val="标题 1 Char"/>
    <w:link w:val="3"/>
    <w:qFormat/>
    <w:uiPriority w:val="0"/>
    <w:rPr>
      <w:b/>
      <w:kern w:val="44"/>
      <w:sz w:val="44"/>
    </w:rPr>
  </w:style>
  <w:style w:type="character" w:customStyle="1" w:styleId="36">
    <w:name w:val="font2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7">
    <w:name w:val="font31"/>
    <w:basedOn w:val="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8">
    <w:name w:val="font11"/>
    <w:basedOn w:val="21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39">
    <w:name w:val="font01"/>
    <w:basedOn w:val="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样式2"/>
    <w:basedOn w:val="1"/>
    <w:qFormat/>
    <w:uiPriority w:val="0"/>
    <w:pPr>
      <w:adjustRightInd w:val="0"/>
      <w:spacing w:line="410" w:lineRule="atLeast"/>
      <w:textAlignment w:val="baseline"/>
    </w:pPr>
    <w:rPr>
      <w:kern w:val="0"/>
      <w:sz w:val="24"/>
      <w:szCs w:val="20"/>
    </w:rPr>
  </w:style>
  <w:style w:type="character" w:customStyle="1" w:styleId="42">
    <w:name w:val="文档结构图 Char"/>
    <w:basedOn w:val="21"/>
    <w:link w:val="9"/>
    <w:qFormat/>
    <w:uiPriority w:val="0"/>
    <w:rPr>
      <w:rFonts w:ascii="宋体"/>
      <w:kern w:val="2"/>
      <w:sz w:val="18"/>
      <w:szCs w:val="18"/>
    </w:rPr>
  </w:style>
  <w:style w:type="character" w:customStyle="1" w:styleId="43">
    <w:name w:val="日期 Char"/>
    <w:basedOn w:val="21"/>
    <w:link w:val="1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44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 w:val="28"/>
      <w:szCs w:val="28"/>
    </w:rPr>
  </w:style>
  <w:style w:type="character" w:customStyle="1" w:styleId="45">
    <w:name w:val="正文文本 Char"/>
    <w:basedOn w:val="21"/>
    <w:link w:val="1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B412B-E4CF-47B8-A4E9-7158D764D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17</Pages>
  <Words>1535</Words>
  <Characters>8754</Characters>
  <Lines>72</Lines>
  <Paragraphs>20</Paragraphs>
  <TotalTime>33</TotalTime>
  <ScaleCrop>false</ScaleCrop>
  <LinksUpToDate>false</LinksUpToDate>
  <CharactersWithSpaces>10269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2018-11-12T07:31:00Z</dcterms:created>
  <dc:creator>zhaoxinlei</dc:creator>
  <cp:lastModifiedBy>Administrator</cp:lastModifiedBy>
  <cp:lastPrinted>2019-05-08T05:36:00Z</cp:lastPrinted>
  <dcterms:modified xsi:type="dcterms:W3CDTF">2019-05-10T06:34:03Z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