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highlight w:val="none"/>
          <w:lang w:eastAsia="zh-CN"/>
        </w:rPr>
        <w:t>工程物资采购</w:t>
      </w:r>
      <w:r>
        <w:rPr>
          <w:rFonts w:hint="eastAsia" w:ascii="仿宋" w:hAnsi="仿宋" w:eastAsia="仿宋" w:cs="仿宋"/>
          <w:b/>
          <w:kern w:val="0"/>
          <w:sz w:val="32"/>
          <w:szCs w:val="32"/>
          <w:highlight w:val="none"/>
        </w:rPr>
        <w:t>招标公告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color w:val="FF0000"/>
          <w:kern w:val="0"/>
          <w:sz w:val="36"/>
          <w:szCs w:val="36"/>
          <w:highlight w:val="none"/>
          <w:lang w:eastAsia="zh-CN"/>
        </w:rPr>
      </w:pPr>
      <w:r>
        <w:rPr>
          <w:rFonts w:hint="eastAsia" w:ascii="仿宋" w:hAnsi="仿宋" w:eastAsia="仿宋" w:cs="仿宋"/>
          <w:b/>
          <w:color w:val="FF0000"/>
          <w:kern w:val="0"/>
          <w:sz w:val="36"/>
          <w:szCs w:val="36"/>
          <w:highlight w:val="none"/>
          <w:lang w:eastAsia="zh-CN"/>
        </w:rPr>
        <w:t>特别注意事项：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仿宋" w:hAnsi="仿宋" w:eastAsia="仿宋" w:cs="仿宋"/>
          <w:b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关于投标须知第8项《报名资审表》说明事项：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lang w:val="en-US" w:eastAsia="zh-CN"/>
        </w:rPr>
        <w:t>必须准确填写附件《报名资审表》相关信息，按要求盖章；2、报名时须上传，不上传者不得参与投标；3、对于恶意报名者，我司登记恶意行为记录，严重者取消合格供应商资格。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  <w:u w:val="none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u w:val="none"/>
          <w:lang w:eastAsia="zh-CN"/>
        </w:rPr>
        <w:t>一、招标人：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u w:val="none"/>
          <w:lang w:eastAsia="zh-CN"/>
        </w:rPr>
        <w:t>中建安装集团有限公司；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u w:val="none"/>
          <w:lang w:eastAsia="zh-CN"/>
        </w:rPr>
        <w:t>二、招标物资：电线电缆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highlight w:val="none"/>
          <w:u w:val="none"/>
          <w:lang w:val="en-US" w:eastAsia="zh-CN"/>
        </w:rPr>
        <w:t>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lang w:eastAsia="zh-CN"/>
        </w:rPr>
        <w:t>三、招标模式：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中建“云筑网”公开招标；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lang w:val="en-US" w:eastAsia="zh-CN"/>
        </w:rPr>
        <w:t>四、报名截止时间：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u w:val="none"/>
          <w:lang w:val="en-US" w:eastAsia="zh-CN"/>
        </w:rPr>
        <w:t>暂定</w:t>
      </w:r>
      <w:r>
        <w:rPr>
          <w:rFonts w:hint="eastAsia" w:ascii="仿宋" w:hAnsi="仿宋" w:eastAsia="仿宋" w:cs="仿宋"/>
          <w:kern w:val="0"/>
          <w:sz w:val="28"/>
          <w:szCs w:val="28"/>
          <w:highlight w:val="yellow"/>
          <w:u w:val="single"/>
          <w:lang w:val="en-US" w:eastAsia="zh-CN"/>
        </w:rPr>
        <w:t xml:space="preserve">  6月 11日  15时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highlight w:val="none"/>
          <w:lang w:val="en-US" w:eastAsia="zh-CN"/>
        </w:rPr>
        <w:t>（以云筑网截止时间要求为准）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lang w:val="en-US" w:eastAsia="zh-CN"/>
        </w:rPr>
        <w:t>五、招标时间：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u w:val="none"/>
          <w:lang w:val="en-US" w:eastAsia="zh-CN"/>
        </w:rPr>
        <w:t>暂定</w:t>
      </w:r>
      <w:r>
        <w:rPr>
          <w:rFonts w:hint="eastAsia" w:ascii="仿宋" w:hAnsi="仿宋" w:eastAsia="仿宋" w:cs="仿宋"/>
          <w:kern w:val="0"/>
          <w:sz w:val="28"/>
          <w:szCs w:val="28"/>
          <w:highlight w:val="yellow"/>
          <w:u w:val="single"/>
          <w:lang w:val="en-US" w:eastAsia="zh-CN"/>
        </w:rPr>
        <w:t xml:space="preserve"> 6月11日 16 时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highlight w:val="none"/>
          <w:lang w:val="en-US" w:eastAsia="zh-CN"/>
        </w:rPr>
        <w:t>（以招标文件时间要求为准）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lang w:val="en-US" w:eastAsia="zh-CN"/>
        </w:rPr>
        <w:t xml:space="preserve">          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u w:val="none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lang w:eastAsia="zh-CN"/>
        </w:rPr>
        <w:t>、项目信息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  <w:u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项目名称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kern w:val="0"/>
          <w:sz w:val="28"/>
          <w:szCs w:val="28"/>
          <w:highlight w:val="yellow"/>
          <w:u w:val="none"/>
          <w:lang w:eastAsia="zh-CN"/>
        </w:rPr>
        <w:t>门头沟永定镇MC00-0018-0061等地块项目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u w:val="none"/>
        </w:rPr>
        <w:t>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yellow"/>
          <w:u w:val="none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u w:val="none"/>
          <w:lang w:eastAsia="zh-CN"/>
        </w:rPr>
        <w:t>项目地址：</w:t>
      </w:r>
      <w:r>
        <w:rPr>
          <w:rFonts w:hint="eastAsia" w:ascii="仿宋" w:hAnsi="仿宋" w:eastAsia="仿宋" w:cs="仿宋"/>
          <w:kern w:val="0"/>
          <w:sz w:val="28"/>
          <w:szCs w:val="28"/>
          <w:highlight w:val="yellow"/>
          <w:u w:val="none"/>
          <w:lang w:eastAsia="zh-CN"/>
        </w:rPr>
        <w:t>门头沟永定镇MC00-0018-0061等地块项目（1#楼商务办公及商业楼等2项）中建八局项目部；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七、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投标人资格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eastAsia="zh-CN"/>
        </w:rPr>
        <w:t>要求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lang w:val="en-US" w:eastAsia="zh-CN"/>
        </w:rPr>
        <w:t>1、独立法人、无不良行为：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投标人须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是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经国家有关部门批准，具有合法经营资质、符合《中华人民共和国政府采购法》第二十二条规定的独立法人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具备法律法规规定的其它条件和良好的社会信誉，</w:t>
      </w:r>
      <w:r>
        <w:rPr>
          <w:rFonts w:hint="eastAsia" w:ascii="仿宋" w:hAnsi="仿宋" w:eastAsia="仿宋" w:cs="仿宋"/>
          <w:kern w:val="0"/>
          <w:sz w:val="28"/>
          <w:szCs w:val="28"/>
          <w:highlight w:val="yellow"/>
          <w:lang w:eastAsia="zh-CN"/>
        </w:rPr>
        <w:t>近三年</w:t>
      </w:r>
      <w:r>
        <w:rPr>
          <w:rFonts w:hint="eastAsia" w:ascii="仿宋" w:hAnsi="仿宋" w:eastAsia="仿宋" w:cs="仿宋"/>
          <w:kern w:val="0"/>
          <w:sz w:val="28"/>
          <w:szCs w:val="28"/>
          <w:highlight w:val="yellow"/>
        </w:rPr>
        <w:t>在经营活动中</w:t>
      </w:r>
      <w:r>
        <w:rPr>
          <w:rFonts w:hint="eastAsia" w:ascii="仿宋" w:hAnsi="仿宋" w:eastAsia="仿宋" w:cs="仿宋"/>
          <w:kern w:val="0"/>
          <w:sz w:val="28"/>
          <w:szCs w:val="28"/>
          <w:highlight w:val="yellow"/>
          <w:lang w:eastAsia="zh-CN"/>
        </w:rPr>
        <w:t>无</w:t>
      </w:r>
      <w:r>
        <w:rPr>
          <w:rFonts w:hint="eastAsia" w:ascii="仿宋" w:hAnsi="仿宋" w:eastAsia="仿宋" w:cs="仿宋"/>
          <w:kern w:val="0"/>
          <w:sz w:val="28"/>
          <w:szCs w:val="28"/>
          <w:highlight w:val="yellow"/>
        </w:rPr>
        <w:t>违法违规</w:t>
      </w:r>
      <w:r>
        <w:rPr>
          <w:rFonts w:hint="eastAsia" w:ascii="仿宋" w:hAnsi="仿宋" w:eastAsia="仿宋" w:cs="仿宋"/>
          <w:kern w:val="0"/>
          <w:sz w:val="28"/>
          <w:szCs w:val="28"/>
          <w:highlight w:val="yellow"/>
          <w:lang w:eastAsia="zh-CN"/>
        </w:rPr>
        <w:t>行为</w:t>
      </w:r>
      <w:r>
        <w:rPr>
          <w:rFonts w:hint="eastAsia" w:ascii="仿宋" w:hAnsi="仿宋" w:eastAsia="仿宋" w:cs="仿宋"/>
          <w:kern w:val="0"/>
          <w:sz w:val="28"/>
          <w:szCs w:val="28"/>
          <w:highlight w:val="yellow"/>
        </w:rPr>
        <w:t>记录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84" w:leftChars="0" w:firstLine="281" w:firstLineChars="100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注册资金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人民币</w:t>
      </w:r>
      <w:r>
        <w:rPr>
          <w:rFonts w:hint="eastAsia" w:ascii="仿宋" w:hAnsi="仿宋" w:eastAsia="仿宋" w:cs="仿宋"/>
          <w:sz w:val="28"/>
          <w:szCs w:val="28"/>
          <w:highlight w:val="yellow"/>
          <w:u w:val="single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  <w:highlight w:val="yellow"/>
          <w:u w:val="single"/>
        </w:rPr>
        <w:t>0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万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（含）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元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以上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84" w:leftChars="0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3、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一般纳税人资格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：须具有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一般纳税人资格认定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能够开具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yellow"/>
          <w:u w:val="none"/>
          <w:lang w:val="en-US" w:eastAsia="zh-CN"/>
        </w:rPr>
        <w:t>增值税专用发票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yellow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yellow"/>
          <w:u w:val="none"/>
          <w:lang w:val="en-US" w:eastAsia="zh-CN"/>
        </w:rPr>
        <w:t>税率要求13%</w:t>
      </w:r>
      <w:r>
        <w:rPr>
          <w:rFonts w:hint="eastAsia" w:ascii="仿宋" w:hAnsi="仿宋" w:eastAsia="仿宋" w:cs="仿宋"/>
          <w:sz w:val="28"/>
          <w:szCs w:val="28"/>
          <w:highlight w:val="yellow"/>
          <w:u w:val="none"/>
        </w:rPr>
        <w:t>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lang w:val="en-US" w:eastAsia="zh-CN"/>
        </w:rPr>
        <w:t>4、产品供货和售后能力：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投标人须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具备能够供应满足招标要求产品的供货能力和售后服务能力；</w:t>
      </w:r>
    </w:p>
    <w:p>
      <w:pPr>
        <w:pStyle w:val="15"/>
        <w:numPr>
          <w:ilvl w:val="0"/>
          <w:numId w:val="0"/>
        </w:numPr>
        <w:ind w:firstLine="562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lang w:val="en-US" w:eastAsia="zh-CN"/>
        </w:rPr>
        <w:t>5、代理商授权书：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如投标人为代理商，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投标人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须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取得产品制造商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针对本项目的专项授权书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（签订合同须提供原件）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或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制造商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产品代理证书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（签订合同须提供复印件加盖公章）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；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投标时要求提供复印件加盖投标人公章；若因时间等特殊原因不能及时提供，则需要出具提供时间承诺函加盖投标人公章作为证明资料；</w:t>
      </w:r>
    </w:p>
    <w:p>
      <w:pPr>
        <w:pStyle w:val="15"/>
        <w:numPr>
          <w:ilvl w:val="0"/>
          <w:numId w:val="0"/>
        </w:numPr>
        <w:ind w:firstLine="562" w:firstLineChars="200"/>
        <w:rPr>
          <w:rFonts w:hint="eastAsia" w:ascii="仿宋" w:hAnsi="仿宋" w:eastAsia="仿宋" w:cs="仿宋"/>
          <w:sz w:val="28"/>
          <w:szCs w:val="28"/>
          <w:highlight w:val="none"/>
          <w:u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6、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lang w:val="en-US" w:eastAsia="zh-CN"/>
        </w:rPr>
        <w:t>联合体投标：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不接受；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lang w:val="en-US" w:eastAsia="zh-CN"/>
        </w:rPr>
        <w:t>八、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</w:rPr>
        <w:t>投标须知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highlight w:val="yellow"/>
          <w:u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标的物品牌要求：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yellow"/>
          <w:lang w:val="en-US" w:eastAsia="zh-CN"/>
        </w:rPr>
        <w:t>上海八方电缆有限公司/无锡江南电缆有限公司/远东电缆有限公司/河北新宝丰电线电缆有限公司/宝胜科技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yellow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highlight w:val="yellow"/>
          <w:u w:val="none"/>
          <w:lang w:eastAsia="zh-CN"/>
        </w:rPr>
        <w:t>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  <w:u w:val="none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</w:rPr>
        <w:t>标的物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lang w:eastAsia="zh-CN"/>
        </w:rPr>
        <w:t>其它约定要求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</w:rPr>
        <w:t>：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yellow"/>
          <w:u w:val="none"/>
          <w:lang w:val="en-US" w:eastAsia="zh-CN"/>
        </w:rPr>
        <w:t>无</w:t>
      </w:r>
      <w:r>
        <w:rPr>
          <w:rFonts w:hint="eastAsia" w:ascii="仿宋" w:hAnsi="仿宋" w:eastAsia="仿宋" w:cs="仿宋"/>
          <w:kern w:val="0"/>
          <w:sz w:val="28"/>
          <w:szCs w:val="28"/>
          <w:highlight w:val="yellow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beforeLines="1" w:after="4" w:afterLines="1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highlight w:val="none"/>
          <w:u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lang w:val="en-US" w:eastAsia="zh-CN"/>
        </w:rPr>
        <w:t xml:space="preserve">   3、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u w:val="none"/>
        </w:rPr>
        <w:t>投标保证金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u w:val="none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yellow"/>
          <w:u w:val="none"/>
          <w:lang w:val="en-US" w:eastAsia="zh-CN"/>
        </w:rPr>
        <w:t>无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u w:val="none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beforeLines="1" w:after="4" w:afterLines="1" w:line="360" w:lineRule="auto"/>
        <w:ind w:left="280" w:leftChars="0" w:right="0" w:rightChars="0" w:hanging="280" w:hangingChars="1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yellow"/>
          <w:u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u w:val="none"/>
          <w:lang w:val="en-US" w:eastAsia="zh-CN"/>
        </w:rPr>
        <w:t>4、履约保证金：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yellow"/>
          <w:u w:val="none"/>
          <w:lang w:val="en-US" w:eastAsia="zh-CN"/>
        </w:rPr>
        <w:t>无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5、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eastAsia="zh-CN"/>
        </w:rPr>
        <w:t>招标文件获取方式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：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中建“云筑网”集采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平台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；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84" w:leftChars="0" w:firstLine="281" w:firstLineChars="100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u w:val="none"/>
          <w:lang w:val="en-US" w:eastAsia="zh-CN"/>
        </w:rPr>
        <w:t>6、投标文件递交：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6.1 递交方式：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在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中建“云筑网”集采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平台递交；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ab/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6.2 截止时间：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按招标文件具体时间要求，逾期未完成投标的，招标人不予受理；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7、中标履约：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中标通知发出后（或口头通知），中标人不得以任何理由拒签合同，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如发生拒签合同行为，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将被列入黑名单，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两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年内不得与我司合作；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仿宋" w:hAnsi="仿宋" w:eastAsia="仿宋" w:cs="仿宋"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none"/>
          <w:lang w:val="en-US" w:eastAsia="zh-CN"/>
        </w:rPr>
        <w:t>8、报名资审表：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highlight w:val="none"/>
          <w:lang w:val="en-US" w:eastAsia="zh-CN"/>
        </w:rPr>
        <w:t>凡</w:t>
      </w:r>
      <w:r>
        <w:rPr>
          <w:rFonts w:hint="eastAsia" w:ascii="仿宋" w:hAnsi="仿宋" w:eastAsia="仿宋" w:cs="仿宋"/>
          <w:color w:val="FF0000"/>
          <w:sz w:val="28"/>
          <w:szCs w:val="28"/>
          <w:highlight w:val="none"/>
          <w:lang w:val="en-US" w:eastAsia="zh-CN"/>
        </w:rPr>
        <w:t>满足招标要求的潜在投标人须填写附件《报名资审表》相关信息，报名时须上传，不上传者不得参与投标。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lang w:val="en-US" w:eastAsia="zh-CN"/>
        </w:rPr>
        <w:t>九、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</w:rPr>
        <w:t>招标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lang w:eastAsia="zh-CN"/>
        </w:rPr>
        <w:t>人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</w:rPr>
        <w:t>联系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lang w:eastAsia="zh-CN"/>
        </w:rPr>
        <w:t>方式：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</w:rPr>
        <w:t>招标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lang w:eastAsia="zh-CN"/>
        </w:rPr>
        <w:t>事务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</w:rPr>
        <w:t>联系人：</w:t>
      </w:r>
      <w:r>
        <w:rPr>
          <w:rFonts w:hint="eastAsia" w:ascii="仿宋" w:hAnsi="仿宋" w:eastAsia="仿宋" w:cs="仿宋"/>
          <w:kern w:val="0"/>
          <w:sz w:val="28"/>
          <w:szCs w:val="28"/>
          <w:highlight w:val="yellow"/>
          <w:lang w:val="en-US" w:eastAsia="zh-CN"/>
        </w:rPr>
        <w:t>曹景源 18618152037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 xml:space="preserve">                 </w:t>
      </w:r>
    </w:p>
    <w:p>
      <w:pPr>
        <w:pStyle w:val="15"/>
        <w:keepNext w:val="0"/>
        <w:keepLines w:val="0"/>
        <w:pageBreakBefore w:val="0"/>
        <w:widowControl w:val="0"/>
        <w:tabs>
          <w:tab w:val="left" w:pos="32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9" w:leftChars="171" w:right="560" w:firstLine="1260" w:firstLineChars="45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中建安装集团有限公司北京公司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59" w:leftChars="171" w:right="560" w:firstLine="1260" w:firstLineChars="45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  <w:t xml:space="preserve"> 2019年6月 11日</w:t>
      </w:r>
    </w:p>
    <w:sectPr>
      <w:pgSz w:w="11906" w:h="16838"/>
      <w:pgMar w:top="127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35D7F"/>
    <w:rsid w:val="00100BE2"/>
    <w:rsid w:val="00121A46"/>
    <w:rsid w:val="001C526F"/>
    <w:rsid w:val="001F54F9"/>
    <w:rsid w:val="001F7F2B"/>
    <w:rsid w:val="002008F5"/>
    <w:rsid w:val="00235D7F"/>
    <w:rsid w:val="003A02AF"/>
    <w:rsid w:val="003D2340"/>
    <w:rsid w:val="004220D7"/>
    <w:rsid w:val="00444EE1"/>
    <w:rsid w:val="00491C74"/>
    <w:rsid w:val="004E3B24"/>
    <w:rsid w:val="00520B02"/>
    <w:rsid w:val="00543C3E"/>
    <w:rsid w:val="00611DBD"/>
    <w:rsid w:val="006A04C3"/>
    <w:rsid w:val="006C55D3"/>
    <w:rsid w:val="00712910"/>
    <w:rsid w:val="00746FFA"/>
    <w:rsid w:val="007B1456"/>
    <w:rsid w:val="007F569B"/>
    <w:rsid w:val="008057CA"/>
    <w:rsid w:val="00827CB8"/>
    <w:rsid w:val="0087515C"/>
    <w:rsid w:val="00887072"/>
    <w:rsid w:val="00906DE0"/>
    <w:rsid w:val="00921229"/>
    <w:rsid w:val="00976FA3"/>
    <w:rsid w:val="009D42B6"/>
    <w:rsid w:val="00A43E2C"/>
    <w:rsid w:val="00A647AA"/>
    <w:rsid w:val="00A72BE3"/>
    <w:rsid w:val="00B442A3"/>
    <w:rsid w:val="00B937D0"/>
    <w:rsid w:val="00BA6985"/>
    <w:rsid w:val="00BE7A0A"/>
    <w:rsid w:val="00C02557"/>
    <w:rsid w:val="00C62701"/>
    <w:rsid w:val="00CA5C02"/>
    <w:rsid w:val="00CF0A63"/>
    <w:rsid w:val="00D04CD9"/>
    <w:rsid w:val="00DB3F07"/>
    <w:rsid w:val="00DC1EEF"/>
    <w:rsid w:val="00DC2D20"/>
    <w:rsid w:val="00DF09A4"/>
    <w:rsid w:val="00E20EB2"/>
    <w:rsid w:val="00E35C7D"/>
    <w:rsid w:val="00E74C67"/>
    <w:rsid w:val="00ED2E45"/>
    <w:rsid w:val="00F474C1"/>
    <w:rsid w:val="00F569B4"/>
    <w:rsid w:val="00FD0376"/>
    <w:rsid w:val="04FD699F"/>
    <w:rsid w:val="05F13E4B"/>
    <w:rsid w:val="07727FD6"/>
    <w:rsid w:val="08777D99"/>
    <w:rsid w:val="08CC474F"/>
    <w:rsid w:val="0B9962DC"/>
    <w:rsid w:val="0BDC5EB3"/>
    <w:rsid w:val="0BFB61D0"/>
    <w:rsid w:val="0CEB143B"/>
    <w:rsid w:val="0F162BDA"/>
    <w:rsid w:val="12284070"/>
    <w:rsid w:val="12883C1E"/>
    <w:rsid w:val="12C77AE8"/>
    <w:rsid w:val="13D455F3"/>
    <w:rsid w:val="145047CC"/>
    <w:rsid w:val="15070BD1"/>
    <w:rsid w:val="173C65FF"/>
    <w:rsid w:val="174447FA"/>
    <w:rsid w:val="17E026AF"/>
    <w:rsid w:val="182109D2"/>
    <w:rsid w:val="1839269B"/>
    <w:rsid w:val="191F03C6"/>
    <w:rsid w:val="1C292948"/>
    <w:rsid w:val="1D5D7A0E"/>
    <w:rsid w:val="21814DD9"/>
    <w:rsid w:val="2396112E"/>
    <w:rsid w:val="2435355A"/>
    <w:rsid w:val="24AB3024"/>
    <w:rsid w:val="26096A62"/>
    <w:rsid w:val="28EA40EF"/>
    <w:rsid w:val="2A7647AD"/>
    <w:rsid w:val="2C1E21C8"/>
    <w:rsid w:val="2E105F2C"/>
    <w:rsid w:val="2F12356E"/>
    <w:rsid w:val="2F4800AF"/>
    <w:rsid w:val="2FC12E44"/>
    <w:rsid w:val="3A912122"/>
    <w:rsid w:val="3B367398"/>
    <w:rsid w:val="3F847FFF"/>
    <w:rsid w:val="3F88197F"/>
    <w:rsid w:val="3FF65903"/>
    <w:rsid w:val="412714F8"/>
    <w:rsid w:val="418444F6"/>
    <w:rsid w:val="429B361D"/>
    <w:rsid w:val="42FA6712"/>
    <w:rsid w:val="433E1EFB"/>
    <w:rsid w:val="43E0454E"/>
    <w:rsid w:val="448154B7"/>
    <w:rsid w:val="463437E1"/>
    <w:rsid w:val="46511760"/>
    <w:rsid w:val="48137208"/>
    <w:rsid w:val="4AAE1B78"/>
    <w:rsid w:val="4C565B92"/>
    <w:rsid w:val="4CAA613B"/>
    <w:rsid w:val="4E3D391C"/>
    <w:rsid w:val="55015708"/>
    <w:rsid w:val="56A7364C"/>
    <w:rsid w:val="57423D49"/>
    <w:rsid w:val="59905727"/>
    <w:rsid w:val="59F146AA"/>
    <w:rsid w:val="5FEB45A1"/>
    <w:rsid w:val="61DF52C6"/>
    <w:rsid w:val="63D05E69"/>
    <w:rsid w:val="64374AF0"/>
    <w:rsid w:val="64E34D59"/>
    <w:rsid w:val="653C7E73"/>
    <w:rsid w:val="66402569"/>
    <w:rsid w:val="67EE2497"/>
    <w:rsid w:val="69DD3768"/>
    <w:rsid w:val="6C6B193C"/>
    <w:rsid w:val="6E261651"/>
    <w:rsid w:val="6E4806AA"/>
    <w:rsid w:val="6E8B42A9"/>
    <w:rsid w:val="6EB7015D"/>
    <w:rsid w:val="6EB977A6"/>
    <w:rsid w:val="6EC27A17"/>
    <w:rsid w:val="70CD1D35"/>
    <w:rsid w:val="714118F5"/>
    <w:rsid w:val="72421187"/>
    <w:rsid w:val="726977C6"/>
    <w:rsid w:val="744425FD"/>
    <w:rsid w:val="745B23A3"/>
    <w:rsid w:val="75614F4A"/>
    <w:rsid w:val="77B91D4E"/>
    <w:rsid w:val="7A3A6EF1"/>
    <w:rsid w:val="7CC74805"/>
    <w:rsid w:val="7D801164"/>
    <w:rsid w:val="7DAB0738"/>
    <w:rsid w:val="7F5C59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Strong"/>
    <w:basedOn w:val="3"/>
    <w:qFormat/>
    <w:uiPriority w:val="22"/>
    <w:rPr>
      <w:b/>
    </w:rPr>
  </w:style>
  <w:style w:type="character" w:styleId="5">
    <w:name w:val="FollowedHyperlink"/>
    <w:basedOn w:val="3"/>
    <w:unhideWhenUsed/>
    <w:qFormat/>
    <w:uiPriority w:val="99"/>
    <w:rPr>
      <w:color w:val="338DE6"/>
      <w:u w:val="none"/>
    </w:rPr>
  </w:style>
  <w:style w:type="character" w:styleId="6">
    <w:name w:val="Emphasis"/>
    <w:basedOn w:val="3"/>
    <w:qFormat/>
    <w:uiPriority w:val="20"/>
  </w:style>
  <w:style w:type="character" w:styleId="7">
    <w:name w:val="HTML Definition"/>
    <w:basedOn w:val="3"/>
    <w:unhideWhenUsed/>
    <w:qFormat/>
    <w:uiPriority w:val="99"/>
  </w:style>
  <w:style w:type="character" w:styleId="8">
    <w:name w:val="HTML Variable"/>
    <w:basedOn w:val="3"/>
    <w:unhideWhenUsed/>
    <w:qFormat/>
    <w:uiPriority w:val="99"/>
  </w:style>
  <w:style w:type="character" w:styleId="9">
    <w:name w:val="Hyperlink"/>
    <w:basedOn w:val="3"/>
    <w:unhideWhenUsed/>
    <w:qFormat/>
    <w:uiPriority w:val="99"/>
    <w:rPr>
      <w:color w:val="338DE6"/>
      <w:u w:val="none"/>
    </w:rPr>
  </w:style>
  <w:style w:type="character" w:styleId="10">
    <w:name w:val="HTML Code"/>
    <w:basedOn w:val="3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1">
    <w:name w:val="HTML Cite"/>
    <w:basedOn w:val="3"/>
    <w:unhideWhenUsed/>
    <w:qFormat/>
    <w:uiPriority w:val="99"/>
  </w:style>
  <w:style w:type="character" w:styleId="12">
    <w:name w:val="HTML Keyboard"/>
    <w:basedOn w:val="3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3">
    <w:name w:val="HTML Sample"/>
    <w:basedOn w:val="3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3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列出段落111"/>
    <w:basedOn w:val="1"/>
    <w:qFormat/>
    <w:uiPriority w:val="0"/>
    <w:pPr>
      <w:ind w:firstLine="420" w:firstLineChars="200"/>
    </w:pPr>
    <w:rPr>
      <w:rFonts w:ascii="Times New Roman" w:hAnsi="Times New Roman" w:eastAsia="宋体" w:cs="Calibri"/>
      <w:szCs w:val="21"/>
    </w:rPr>
  </w:style>
  <w:style w:type="character" w:customStyle="1" w:styleId="18">
    <w:name w:val="fontborder"/>
    <w:basedOn w:val="3"/>
    <w:qFormat/>
    <w:uiPriority w:val="0"/>
    <w:rPr>
      <w:bdr w:val="single" w:color="000000" w:sz="6" w:space="0"/>
    </w:rPr>
  </w:style>
  <w:style w:type="character" w:customStyle="1" w:styleId="19">
    <w:name w:val="fontstrikethrough"/>
    <w:basedOn w:val="3"/>
    <w:qFormat/>
    <w:uiPriority w:val="0"/>
    <w:rPr>
      <w:strike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</Words>
  <Characters>708</Characters>
  <Lines>5</Lines>
  <Paragraphs>1</Paragraphs>
  <TotalTime>31</TotalTime>
  <ScaleCrop>false</ScaleCrop>
  <LinksUpToDate>false</LinksUpToDate>
  <CharactersWithSpaces>831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2017-01-10T01:05:00Z</dcterms:created>
  <dc:creator>apple</dc:creator>
  <cp:lastModifiedBy>uuuuuuuuuuuiiiii</cp:lastModifiedBy>
  <dcterms:modified xsi:type="dcterms:W3CDTF">2019-06-11T07:39:44Z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