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bCs/>
          <w:color w:val="000000"/>
          <w:sz w:val="30"/>
          <w:szCs w:val="30"/>
          <w:lang w:eastAsia="zh-CN"/>
        </w:rPr>
      </w:pPr>
      <w:r>
        <w:rPr>
          <w:rFonts w:hint="eastAsia" w:ascii="仿宋" w:hAnsi="仿宋" w:eastAsia="仿宋"/>
          <w:b/>
          <w:color w:val="000000"/>
          <w:sz w:val="30"/>
          <w:szCs w:val="30"/>
          <w:lang w:eastAsia="zh-CN"/>
        </w:rPr>
        <w:t>招标公告</w:t>
      </w:r>
    </w:p>
    <w:p>
      <w:pPr>
        <w:spacing w:line="400" w:lineRule="exact"/>
        <w:ind w:firstLine="480" w:firstLineChars="200"/>
        <w:jc w:val="center"/>
        <w:rPr>
          <w:rFonts w:hint="eastAsia" w:ascii="仿宋" w:hAnsi="仿宋" w:eastAsia="仿宋"/>
          <w:b/>
          <w:color w:val="000000"/>
          <w:sz w:val="30"/>
          <w:szCs w:val="30"/>
          <w:lang w:eastAsia="zh-CN"/>
        </w:rPr>
      </w:pPr>
      <w:r>
        <w:rPr>
          <w:rFonts w:hint="eastAsia" w:ascii="仿宋" w:hAnsi="仿宋" w:eastAsia="仿宋" w:cs="Arial"/>
          <w:color w:val="000000"/>
          <w:sz w:val="24"/>
          <w:lang w:eastAsia="zh-CN"/>
        </w:rPr>
        <w:t>项目编号：</w:t>
      </w:r>
      <w:r>
        <w:rPr>
          <w:rFonts w:hint="default" w:ascii="Tahoma" w:hAnsi="Tahoma" w:eastAsia="Tahoma" w:cs="Tahoma"/>
          <w:i w:val="0"/>
          <w:caps w:val="0"/>
          <w:color w:val="444444"/>
          <w:spacing w:val="0"/>
          <w:kern w:val="0"/>
          <w:sz w:val="18"/>
          <w:szCs w:val="18"/>
          <w:lang w:val="en-US" w:eastAsia="zh-CN" w:bidi="ar"/>
        </w:rPr>
        <w:t>POWERCHINA-0126008/028-19314</w:t>
      </w:r>
    </w:p>
    <w:p>
      <w:pPr>
        <w:pStyle w:val="3"/>
        <w:rPr>
          <w:lang w:eastAsia="zh-CN"/>
        </w:rPr>
      </w:pPr>
      <w:bookmarkStart w:id="0" w:name="_Toc485912194"/>
      <w:r>
        <w:rPr>
          <w:rFonts w:hint="eastAsia"/>
          <w:lang w:eastAsia="zh-CN"/>
        </w:rPr>
        <w:t>一、招标条件</w:t>
      </w:r>
      <w:bookmarkEnd w:id="0"/>
    </w:p>
    <w:p>
      <w:pPr>
        <w:spacing w:line="400" w:lineRule="exact"/>
        <w:ind w:firstLine="480" w:firstLineChars="200"/>
        <w:rPr>
          <w:rFonts w:ascii="仿宋" w:hAnsi="仿宋" w:eastAsia="仿宋" w:cs="Arial"/>
          <w:color w:val="000000"/>
          <w:sz w:val="24"/>
          <w:lang w:eastAsia="zh-CN"/>
        </w:rPr>
      </w:pPr>
      <w:r>
        <w:rPr>
          <w:rFonts w:hint="eastAsia" w:ascii="仿宋" w:hAnsi="仿宋" w:eastAsia="仿宋" w:cs="Arial"/>
          <w:color w:val="000000"/>
          <w:sz w:val="24"/>
          <w:lang w:eastAsia="zh-CN"/>
        </w:rPr>
        <w:t>中国电建集团核电工程有限公司（以下简称“招标人”）以公开招标方式采购伊拉克鲁迈拉730MW 联合循环电站裸铜缆</w:t>
      </w:r>
      <w:r>
        <w:rPr>
          <w:rFonts w:hint="eastAsia" w:ascii="仿宋" w:hAnsi="仿宋" w:eastAsia="仿宋" w:cs="仿宋"/>
          <w:color w:val="000000"/>
          <w:sz w:val="24"/>
          <w:lang w:eastAsia="zh-CN"/>
        </w:rPr>
        <w:t>材料，</w:t>
      </w:r>
      <w:r>
        <w:rPr>
          <w:rFonts w:hint="eastAsia" w:ascii="仿宋" w:hAnsi="仿宋" w:eastAsia="仿宋" w:cs="Arial"/>
          <w:color w:val="000000"/>
          <w:sz w:val="24"/>
          <w:lang w:eastAsia="zh-CN"/>
        </w:rPr>
        <w:t>采购材料计划使用工程款用于本次招标后所签订合同的支付。</w:t>
      </w:r>
    </w:p>
    <w:p>
      <w:pPr>
        <w:pStyle w:val="3"/>
        <w:rPr>
          <w:lang w:eastAsia="zh-CN"/>
        </w:rPr>
      </w:pPr>
      <w:bookmarkStart w:id="1" w:name="_Toc485912195"/>
      <w:r>
        <w:rPr>
          <w:rFonts w:hint="eastAsia"/>
          <w:lang w:eastAsia="zh-CN"/>
        </w:rPr>
        <w:t>二、项目概况、招标范围</w:t>
      </w:r>
      <w:bookmarkEnd w:id="1"/>
    </w:p>
    <w:p>
      <w:pPr>
        <w:spacing w:line="400" w:lineRule="exact"/>
        <w:ind w:left="727" w:leftChars="203" w:hanging="280" w:hangingChars="117"/>
        <w:rPr>
          <w:rFonts w:ascii="仿宋" w:hAnsi="仿宋" w:eastAsia="仿宋"/>
          <w:sz w:val="24"/>
          <w:lang w:eastAsia="zh-CN"/>
        </w:rPr>
      </w:pPr>
      <w:r>
        <w:rPr>
          <w:rFonts w:hint="eastAsia" w:ascii="仿宋" w:eastAsia="仿宋" w:cs="Arial"/>
          <w:sz w:val="24"/>
          <w:lang w:eastAsia="zh-CN"/>
        </w:rPr>
        <w:t>1. 项目概况：中国水电建设集团国际工程有限公司中标的伊拉克鲁迈拉730MW联合循环电站项目位于伊拉克南部巴士拉省巴士拉市西50公里。本项目老厂单循环燃机部分2014年2月已投产发电，目前已运行4年。现有电厂包括5台西门子燃机4000F机组(5×293MW)，为伊拉克电力部（MOE）所有。本期拟由单循环扩建改造成联合循环，共分为两个 Block，一个3+1方案，一个2+1方案，新增5台余热锅炉和2台蒸汽轮机和2台发电机</w:t>
      </w:r>
    </w:p>
    <w:p>
      <w:pPr>
        <w:spacing w:after="0"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2、招标范围：采购清单内的所有材料。</w:t>
      </w:r>
    </w:p>
    <w:p>
      <w:pPr>
        <w:spacing w:after="0" w:line="400" w:lineRule="exact"/>
        <w:ind w:firstLine="480" w:firstLineChars="200"/>
        <w:rPr>
          <w:rFonts w:hint="eastAsia" w:ascii="仿宋" w:hAnsi="仿宋" w:eastAsia="仿宋"/>
          <w:sz w:val="24"/>
        </w:rPr>
      </w:pPr>
      <w:r>
        <w:rPr>
          <w:rFonts w:hint="eastAsia" w:ascii="仿宋" w:hAnsi="仿宋" w:eastAsia="仿宋"/>
          <w:sz w:val="24"/>
        </w:rPr>
        <w:t>3、采购数量：</w:t>
      </w:r>
    </w:p>
    <w:tbl>
      <w:tblPr>
        <w:tblStyle w:val="5"/>
        <w:tblW w:w="8028" w:type="dxa"/>
        <w:tblInd w:w="0" w:type="dxa"/>
        <w:tblLayout w:type="fixed"/>
        <w:tblCellMar>
          <w:top w:w="0" w:type="dxa"/>
          <w:left w:w="0" w:type="dxa"/>
          <w:bottom w:w="0" w:type="dxa"/>
          <w:right w:w="0" w:type="dxa"/>
        </w:tblCellMar>
      </w:tblPr>
      <w:tblGrid>
        <w:gridCol w:w="1075"/>
        <w:gridCol w:w="1838"/>
        <w:gridCol w:w="1800"/>
        <w:gridCol w:w="930"/>
        <w:gridCol w:w="1080"/>
        <w:gridCol w:w="1305"/>
      </w:tblGrid>
      <w:tr>
        <w:tblPrEx>
          <w:tblLayout w:type="fixed"/>
          <w:tblCellMar>
            <w:top w:w="0" w:type="dxa"/>
            <w:left w:w="0" w:type="dxa"/>
            <w:bottom w:w="0" w:type="dxa"/>
            <w:right w:w="0" w:type="dxa"/>
          </w:tblCellMar>
        </w:tblPrEx>
        <w:trPr>
          <w:trHeight w:val="300" w:hRule="atLeast"/>
        </w:trPr>
        <w:tc>
          <w:tcPr>
            <w:tcW w:w="107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eastAsia="zh-CN" w:bidi="ar"/>
              </w:rPr>
              <w:t>序号</w:t>
            </w:r>
          </w:p>
        </w:tc>
        <w:tc>
          <w:tcPr>
            <w:tcW w:w="1838"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bidi="ar"/>
              </w:rPr>
              <w:t>物资名称</w:t>
            </w:r>
          </w:p>
        </w:tc>
        <w:tc>
          <w:tcPr>
            <w:tcW w:w="180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bidi="ar"/>
              </w:rPr>
              <w:t>规格型号</w:t>
            </w:r>
          </w:p>
        </w:tc>
        <w:tc>
          <w:tcPr>
            <w:tcW w:w="93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bidi="ar"/>
              </w:rPr>
              <w:t>单位</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bidi="ar"/>
              </w:rPr>
              <w:t>数量</w:t>
            </w:r>
          </w:p>
        </w:tc>
        <w:tc>
          <w:tcPr>
            <w:tcW w:w="130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bidi="ar"/>
              </w:rPr>
              <w:t>备注</w:t>
            </w:r>
          </w:p>
        </w:tc>
      </w:tr>
      <w:tr>
        <w:tblPrEx>
          <w:tblLayout w:type="fixed"/>
          <w:tblCellMar>
            <w:top w:w="0" w:type="dxa"/>
            <w:left w:w="0" w:type="dxa"/>
            <w:bottom w:w="0" w:type="dxa"/>
            <w:right w:w="0" w:type="dxa"/>
          </w:tblCellMar>
        </w:tblPrEx>
        <w:trPr>
          <w:trHeight w:val="1440" w:hRule="atLeast"/>
        </w:trPr>
        <w:tc>
          <w:tcPr>
            <w:tcW w:w="1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1</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br w:type="textWrapping"/>
            </w:r>
            <w:r>
              <w:rPr>
                <w:rFonts w:hint="eastAsia" w:ascii="宋体" w:hAnsi="宋体" w:cs="宋体"/>
                <w:color w:val="000000"/>
                <w:sz w:val="24"/>
                <w:szCs w:val="24"/>
                <w:lang w:eastAsia="zh-CN" w:bidi="ar"/>
              </w:rPr>
              <w:t>铜绞线</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185mm</w:t>
            </w:r>
            <w:r>
              <w:rPr>
                <w:rFonts w:hint="eastAsia" w:ascii="宋体" w:hAnsi="宋体" w:cs="宋体"/>
                <w:color w:val="000000"/>
                <w:sz w:val="24"/>
                <w:szCs w:val="24"/>
                <w:vertAlign w:val="superscript"/>
                <w:lang w:eastAsia="zh-CN" w:bidi="ar"/>
              </w:rPr>
              <w:t>2</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15611</w:t>
            </w:r>
          </w:p>
        </w:tc>
        <w:tc>
          <w:tcPr>
            <w:tcW w:w="1305" w:type="dxa"/>
            <w:tcBorders>
              <w:top w:val="nil"/>
              <w:left w:val="nil"/>
              <w:bottom w:val="single" w:color="000000" w:sz="8" w:space="0"/>
              <w:right w:val="single" w:color="000000" w:sz="8" w:space="0"/>
            </w:tcBorders>
            <w:tcMar>
              <w:top w:w="15" w:type="dxa"/>
              <w:left w:w="15" w:type="dxa"/>
              <w:right w:w="15"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技术要求见附件</w:t>
            </w:r>
          </w:p>
        </w:tc>
      </w:tr>
      <w:tr>
        <w:tblPrEx>
          <w:tblLayout w:type="fixed"/>
          <w:tblCellMar>
            <w:top w:w="0" w:type="dxa"/>
            <w:left w:w="0" w:type="dxa"/>
            <w:bottom w:w="0" w:type="dxa"/>
            <w:right w:w="0" w:type="dxa"/>
          </w:tblCellMar>
        </w:tblPrEx>
        <w:trPr>
          <w:trHeight w:val="1725" w:hRule="atLeast"/>
        </w:trPr>
        <w:tc>
          <w:tcPr>
            <w:tcW w:w="1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2</w:t>
            </w:r>
          </w:p>
        </w:tc>
        <w:tc>
          <w:tcPr>
            <w:tcW w:w="183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br w:type="textWrapping"/>
            </w:r>
            <w:r>
              <w:rPr>
                <w:rFonts w:hint="eastAsia" w:ascii="宋体" w:hAnsi="宋体" w:cs="宋体"/>
                <w:color w:val="000000"/>
                <w:sz w:val="24"/>
                <w:szCs w:val="24"/>
                <w:lang w:eastAsia="zh-CN" w:bidi="ar"/>
              </w:rPr>
              <w:t>铜绞线</w:t>
            </w:r>
          </w:p>
        </w:tc>
        <w:tc>
          <w:tcPr>
            <w:tcW w:w="18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70mm</w:t>
            </w:r>
            <w:r>
              <w:rPr>
                <w:rFonts w:hint="eastAsia" w:ascii="宋体" w:hAnsi="宋体" w:cs="宋体"/>
                <w:color w:val="000000"/>
                <w:sz w:val="24"/>
                <w:szCs w:val="24"/>
                <w:vertAlign w:val="superscript"/>
                <w:lang w:eastAsia="zh-CN" w:bidi="ar"/>
              </w:rPr>
              <w:t>2</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640</w:t>
            </w:r>
          </w:p>
        </w:tc>
        <w:tc>
          <w:tcPr>
            <w:tcW w:w="1305" w:type="dxa"/>
            <w:tcBorders>
              <w:top w:val="nil"/>
              <w:left w:val="nil"/>
              <w:bottom w:val="single" w:color="000000" w:sz="8" w:space="0"/>
              <w:right w:val="single" w:color="000000" w:sz="8" w:space="0"/>
            </w:tcBorders>
            <w:tcMar>
              <w:top w:w="15" w:type="dxa"/>
              <w:left w:w="15" w:type="dxa"/>
              <w:right w:w="15" w:type="dxa"/>
            </w:tcMar>
            <w:vAlign w:val="top"/>
          </w:tcPr>
          <w:p>
            <w:pPr>
              <w:rPr>
                <w:rFonts w:hint="eastAsia" w:ascii="仿宋" w:hAnsi="仿宋" w:eastAsia="仿宋" w:cs="仿宋"/>
                <w:color w:val="000000"/>
                <w:sz w:val="24"/>
                <w:szCs w:val="24"/>
              </w:rPr>
            </w:pPr>
            <w:r>
              <w:rPr>
                <w:rFonts w:hint="eastAsia" w:ascii="仿宋" w:hAnsi="仿宋" w:eastAsia="仿宋" w:cs="仿宋"/>
                <w:color w:val="000000"/>
                <w:sz w:val="24"/>
                <w:szCs w:val="24"/>
              </w:rPr>
              <w:t>技术要求见附件</w:t>
            </w:r>
          </w:p>
        </w:tc>
      </w:tr>
      <w:tr>
        <w:tblPrEx>
          <w:tblLayout w:type="fixed"/>
          <w:tblCellMar>
            <w:top w:w="0" w:type="dxa"/>
            <w:left w:w="0" w:type="dxa"/>
            <w:bottom w:w="0" w:type="dxa"/>
            <w:right w:w="0" w:type="dxa"/>
          </w:tblCellMar>
        </w:tblPrEx>
        <w:trPr>
          <w:trHeight w:val="1725" w:hRule="atLeast"/>
        </w:trPr>
        <w:tc>
          <w:tcPr>
            <w:tcW w:w="1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bookmarkStart w:id="21" w:name="_GoBack" w:colFirst="1" w:colLast="2"/>
            <w:r>
              <w:rPr>
                <w:rFonts w:hint="eastAsia" w:ascii="宋体" w:hAnsi="宋体" w:cs="宋体"/>
                <w:color w:val="000000"/>
                <w:sz w:val="24"/>
                <w:szCs w:val="24"/>
                <w:lang w:eastAsia="zh-CN" w:bidi="ar"/>
              </w:rPr>
              <w:t>3</w:t>
            </w:r>
          </w:p>
        </w:tc>
        <w:tc>
          <w:tcPr>
            <w:tcW w:w="183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br w:type="textWrapping"/>
            </w:r>
            <w:r>
              <w:rPr>
                <w:rFonts w:hint="eastAsia" w:ascii="宋体" w:hAnsi="宋体" w:cs="宋体"/>
                <w:color w:val="000000"/>
                <w:sz w:val="24"/>
                <w:szCs w:val="24"/>
                <w:lang w:eastAsia="zh-CN" w:bidi="ar"/>
              </w:rPr>
              <w:t>铜绞线</w:t>
            </w:r>
          </w:p>
        </w:tc>
        <w:tc>
          <w:tcPr>
            <w:tcW w:w="18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50mm</w:t>
            </w:r>
            <w:r>
              <w:rPr>
                <w:rFonts w:hint="eastAsia" w:ascii="宋体" w:hAnsi="宋体" w:cs="宋体"/>
                <w:color w:val="000000"/>
                <w:sz w:val="24"/>
                <w:szCs w:val="24"/>
                <w:vertAlign w:val="superscript"/>
                <w:lang w:eastAsia="zh-CN" w:bidi="ar"/>
              </w:rPr>
              <w:t>2</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5507</w:t>
            </w:r>
          </w:p>
        </w:tc>
        <w:tc>
          <w:tcPr>
            <w:tcW w:w="1305" w:type="dxa"/>
            <w:tcBorders>
              <w:top w:val="nil"/>
              <w:left w:val="nil"/>
              <w:bottom w:val="single" w:color="000000" w:sz="8" w:space="0"/>
              <w:right w:val="single" w:color="000000" w:sz="8" w:space="0"/>
            </w:tcBorders>
            <w:tcMar>
              <w:top w:w="15" w:type="dxa"/>
              <w:left w:w="15" w:type="dxa"/>
              <w:right w:w="15" w:type="dxa"/>
            </w:tcMar>
            <w:vAlign w:val="top"/>
          </w:tcPr>
          <w:p>
            <w:pPr>
              <w:rPr>
                <w:rFonts w:hint="eastAsia" w:ascii="仿宋" w:hAnsi="仿宋" w:eastAsia="仿宋" w:cs="仿宋"/>
                <w:color w:val="000000"/>
                <w:sz w:val="24"/>
                <w:szCs w:val="24"/>
              </w:rPr>
            </w:pPr>
            <w:r>
              <w:rPr>
                <w:rFonts w:hint="eastAsia" w:ascii="仿宋" w:hAnsi="仿宋" w:eastAsia="仿宋" w:cs="仿宋"/>
                <w:color w:val="000000"/>
                <w:sz w:val="24"/>
                <w:szCs w:val="24"/>
              </w:rPr>
              <w:t>技术要求见附件</w:t>
            </w:r>
          </w:p>
        </w:tc>
      </w:tr>
      <w:bookmarkEnd w:id="21"/>
      <w:tr>
        <w:tblPrEx>
          <w:tblLayout w:type="fixed"/>
          <w:tblCellMar>
            <w:top w:w="0" w:type="dxa"/>
            <w:left w:w="0" w:type="dxa"/>
            <w:bottom w:w="0" w:type="dxa"/>
            <w:right w:w="0" w:type="dxa"/>
          </w:tblCellMar>
        </w:tblPrEx>
        <w:trPr>
          <w:trHeight w:val="1365" w:hRule="atLeast"/>
        </w:trPr>
        <w:tc>
          <w:tcPr>
            <w:tcW w:w="1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4</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rPr>
            </w:pPr>
            <w:r>
              <w:rPr>
                <w:rFonts w:hint="eastAsia" w:ascii="宋体" w:hAnsi="宋体" w:cs="宋体"/>
                <w:color w:val="000000"/>
                <w:sz w:val="24"/>
                <w:szCs w:val="24"/>
                <w:lang w:eastAsia="zh-CN" w:bidi="ar"/>
              </w:rPr>
              <w:br w:type="textWrapping"/>
            </w:r>
            <w:r>
              <w:rPr>
                <w:rFonts w:hint="eastAsia" w:ascii="宋体" w:hAnsi="宋体" w:cs="宋体"/>
                <w:color w:val="000000"/>
                <w:sz w:val="24"/>
                <w:szCs w:val="24"/>
                <w:lang w:eastAsia="zh-CN" w:bidi="ar"/>
              </w:rPr>
              <w:t>铜绞线</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rPr>
            </w:pPr>
            <w:r>
              <w:rPr>
                <w:rFonts w:hint="eastAsia" w:ascii="宋体" w:hAnsi="宋体" w:cs="宋体"/>
                <w:color w:val="000000"/>
                <w:lang w:eastAsia="zh-CN" w:bidi="ar"/>
              </w:rPr>
              <w:t>120</w:t>
            </w:r>
            <w:r>
              <w:rPr>
                <w:rFonts w:hint="eastAsia" w:ascii="宋体" w:hAnsi="宋体" w:cs="宋体"/>
                <w:color w:val="000000"/>
                <w:sz w:val="24"/>
                <w:szCs w:val="24"/>
                <w:lang w:eastAsia="zh-CN" w:bidi="ar"/>
              </w:rPr>
              <w:t>mm</w:t>
            </w:r>
            <w:r>
              <w:rPr>
                <w:rFonts w:hint="eastAsia" w:ascii="宋体" w:hAnsi="宋体" w:cs="宋体"/>
                <w:color w:val="000000"/>
                <w:sz w:val="24"/>
                <w:szCs w:val="24"/>
                <w:vertAlign w:val="superscript"/>
                <w:lang w:eastAsia="zh-CN" w:bidi="ar"/>
              </w:rPr>
              <w:t>2</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40</w:t>
            </w:r>
          </w:p>
        </w:tc>
        <w:tc>
          <w:tcPr>
            <w:tcW w:w="1305" w:type="dxa"/>
            <w:tcBorders>
              <w:top w:val="nil"/>
              <w:left w:val="nil"/>
              <w:bottom w:val="single" w:color="000000" w:sz="8" w:space="0"/>
              <w:right w:val="single" w:color="000000" w:sz="8" w:space="0"/>
            </w:tcBorders>
            <w:tcMar>
              <w:top w:w="15" w:type="dxa"/>
              <w:left w:w="15" w:type="dxa"/>
              <w:right w:w="15" w:type="dxa"/>
            </w:tcMar>
            <w:vAlign w:val="top"/>
          </w:tcPr>
          <w:p>
            <w:pPr>
              <w:rPr>
                <w:rFonts w:hint="eastAsia" w:ascii="仿宋" w:hAnsi="仿宋" w:eastAsia="仿宋" w:cs="仿宋"/>
                <w:color w:val="000000"/>
                <w:sz w:val="24"/>
                <w:szCs w:val="24"/>
              </w:rPr>
            </w:pPr>
            <w:r>
              <w:rPr>
                <w:rFonts w:hint="eastAsia" w:ascii="仿宋" w:hAnsi="仿宋" w:eastAsia="仿宋" w:cs="仿宋"/>
                <w:color w:val="000000"/>
                <w:sz w:val="24"/>
                <w:szCs w:val="24"/>
              </w:rPr>
              <w:t>技术要求见附件</w:t>
            </w:r>
          </w:p>
        </w:tc>
      </w:tr>
      <w:tr>
        <w:tblPrEx>
          <w:tblLayout w:type="fixed"/>
          <w:tblCellMar>
            <w:top w:w="0" w:type="dxa"/>
            <w:left w:w="0" w:type="dxa"/>
            <w:bottom w:w="0" w:type="dxa"/>
            <w:right w:w="0" w:type="dxa"/>
          </w:tblCellMar>
        </w:tblPrEx>
        <w:trPr>
          <w:trHeight w:val="1440" w:hRule="atLeast"/>
        </w:trPr>
        <w:tc>
          <w:tcPr>
            <w:tcW w:w="1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5</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br w:type="textWrapping"/>
            </w:r>
            <w:r>
              <w:rPr>
                <w:rFonts w:hint="eastAsia" w:ascii="宋体" w:hAnsi="宋体" w:cs="宋体"/>
                <w:color w:val="000000"/>
                <w:sz w:val="24"/>
                <w:szCs w:val="24"/>
                <w:lang w:eastAsia="zh-CN" w:bidi="ar"/>
              </w:rPr>
              <w:t>铜绞线</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16mm</w:t>
            </w:r>
            <w:r>
              <w:rPr>
                <w:rFonts w:hint="eastAsia" w:ascii="宋体" w:hAnsi="宋体" w:cs="宋体"/>
                <w:color w:val="000000"/>
                <w:sz w:val="24"/>
                <w:szCs w:val="24"/>
                <w:vertAlign w:val="superscript"/>
                <w:lang w:eastAsia="zh-CN" w:bidi="ar"/>
              </w:rPr>
              <w:t>2</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3800</w:t>
            </w:r>
          </w:p>
        </w:tc>
        <w:tc>
          <w:tcPr>
            <w:tcW w:w="1305" w:type="dxa"/>
            <w:tcBorders>
              <w:top w:val="nil"/>
              <w:left w:val="nil"/>
              <w:bottom w:val="single" w:color="000000" w:sz="8" w:space="0"/>
              <w:right w:val="single" w:color="000000" w:sz="8" w:space="0"/>
            </w:tcBorders>
            <w:tcMar>
              <w:top w:w="15" w:type="dxa"/>
              <w:left w:w="15" w:type="dxa"/>
              <w:right w:w="15" w:type="dxa"/>
            </w:tcMar>
            <w:vAlign w:val="top"/>
          </w:tcPr>
          <w:p>
            <w:pPr>
              <w:rPr>
                <w:rFonts w:hint="eastAsia" w:ascii="仿宋" w:hAnsi="仿宋" w:eastAsia="仿宋" w:cs="仿宋"/>
                <w:color w:val="000000"/>
                <w:sz w:val="24"/>
                <w:szCs w:val="24"/>
              </w:rPr>
            </w:pPr>
            <w:r>
              <w:rPr>
                <w:rFonts w:hint="eastAsia" w:ascii="仿宋" w:hAnsi="仿宋" w:eastAsia="仿宋" w:cs="仿宋"/>
                <w:color w:val="000000"/>
                <w:sz w:val="24"/>
                <w:szCs w:val="24"/>
              </w:rPr>
              <w:t>技术要求见附件</w:t>
            </w:r>
          </w:p>
        </w:tc>
      </w:tr>
      <w:tr>
        <w:tblPrEx>
          <w:tblLayout w:type="fixed"/>
          <w:tblCellMar>
            <w:top w:w="0" w:type="dxa"/>
            <w:left w:w="0" w:type="dxa"/>
            <w:bottom w:w="0" w:type="dxa"/>
            <w:right w:w="0" w:type="dxa"/>
          </w:tblCellMar>
        </w:tblPrEx>
        <w:trPr>
          <w:trHeight w:val="1365" w:hRule="atLeast"/>
        </w:trPr>
        <w:tc>
          <w:tcPr>
            <w:tcW w:w="1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6</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rPr>
            </w:pPr>
            <w:r>
              <w:rPr>
                <w:rFonts w:hint="eastAsia" w:ascii="宋体" w:hAnsi="宋体" w:cs="宋体"/>
                <w:color w:val="000000"/>
                <w:sz w:val="24"/>
                <w:szCs w:val="24"/>
                <w:lang w:eastAsia="zh-CN" w:bidi="ar"/>
              </w:rPr>
              <w:br w:type="textWrapping"/>
            </w:r>
            <w:r>
              <w:rPr>
                <w:rFonts w:hint="eastAsia" w:ascii="宋体" w:hAnsi="宋体" w:cs="宋体"/>
                <w:color w:val="000000"/>
                <w:sz w:val="24"/>
                <w:szCs w:val="24"/>
                <w:lang w:eastAsia="zh-CN" w:bidi="ar"/>
              </w:rPr>
              <w:t>铜绞线</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rPr>
            </w:pPr>
            <w:r>
              <w:rPr>
                <w:rFonts w:hint="eastAsia" w:ascii="宋体" w:hAnsi="宋体" w:cs="宋体"/>
                <w:color w:val="000000"/>
                <w:lang w:eastAsia="zh-CN" w:bidi="ar"/>
              </w:rPr>
              <w:t>4</w:t>
            </w:r>
            <w:r>
              <w:rPr>
                <w:rFonts w:hint="eastAsia" w:ascii="宋体" w:hAnsi="宋体" w:cs="宋体"/>
                <w:color w:val="000000"/>
                <w:sz w:val="24"/>
                <w:szCs w:val="24"/>
                <w:lang w:eastAsia="zh-CN" w:bidi="ar"/>
              </w:rPr>
              <w:t xml:space="preserve"> mm</w:t>
            </w:r>
            <w:r>
              <w:rPr>
                <w:rFonts w:hint="eastAsia" w:ascii="宋体" w:hAnsi="宋体" w:cs="宋体"/>
                <w:color w:val="000000"/>
                <w:sz w:val="24"/>
                <w:szCs w:val="24"/>
                <w:vertAlign w:val="superscript"/>
                <w:lang w:eastAsia="zh-CN" w:bidi="ar"/>
              </w:rPr>
              <w:t>2</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rPr>
            </w:pPr>
            <w:r>
              <w:rPr>
                <w:rFonts w:hint="eastAsia" w:ascii="宋体" w:hAnsi="宋体" w:cs="宋体"/>
                <w:color w:val="000000"/>
                <w:lang w:eastAsia="zh-CN" w:bidi="ar"/>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rPr>
            </w:pPr>
            <w:r>
              <w:rPr>
                <w:rFonts w:hint="eastAsia" w:ascii="宋体" w:hAnsi="宋体" w:cs="宋体"/>
                <w:color w:val="000000"/>
                <w:lang w:eastAsia="zh-CN" w:bidi="ar"/>
              </w:rPr>
              <w:t>1000</w:t>
            </w:r>
          </w:p>
        </w:tc>
        <w:tc>
          <w:tcPr>
            <w:tcW w:w="1305" w:type="dxa"/>
            <w:tcBorders>
              <w:top w:val="nil"/>
              <w:left w:val="nil"/>
              <w:bottom w:val="single" w:color="000000" w:sz="8" w:space="0"/>
              <w:right w:val="single" w:color="000000" w:sz="8" w:space="0"/>
            </w:tcBorders>
            <w:tcMar>
              <w:top w:w="15" w:type="dxa"/>
              <w:left w:w="15" w:type="dxa"/>
              <w:right w:w="15" w:type="dxa"/>
            </w:tcMar>
            <w:vAlign w:val="top"/>
          </w:tcPr>
          <w:p>
            <w:pPr>
              <w:rPr>
                <w:rFonts w:hint="eastAsia" w:ascii="仿宋" w:hAnsi="仿宋" w:eastAsia="仿宋" w:cs="仿宋"/>
                <w:color w:val="000000"/>
                <w:sz w:val="24"/>
                <w:szCs w:val="24"/>
              </w:rPr>
            </w:pPr>
            <w:r>
              <w:rPr>
                <w:rFonts w:hint="eastAsia" w:ascii="仿宋" w:hAnsi="仿宋" w:eastAsia="仿宋" w:cs="仿宋"/>
                <w:color w:val="000000"/>
                <w:sz w:val="24"/>
                <w:szCs w:val="24"/>
              </w:rPr>
              <w:t>技术要求见附件</w:t>
            </w:r>
          </w:p>
        </w:tc>
      </w:tr>
      <w:tr>
        <w:tblPrEx>
          <w:tblLayout w:type="fixed"/>
          <w:tblCellMar>
            <w:top w:w="0" w:type="dxa"/>
            <w:left w:w="0" w:type="dxa"/>
            <w:bottom w:w="0" w:type="dxa"/>
            <w:right w:w="0" w:type="dxa"/>
          </w:tblCellMar>
        </w:tblPrEx>
        <w:trPr>
          <w:trHeight w:val="300" w:hRule="atLeast"/>
        </w:trPr>
        <w:tc>
          <w:tcPr>
            <w:tcW w:w="107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宋体" w:hAnsi="宋体" w:cs="宋体"/>
                <w:color w:val="000000"/>
                <w:sz w:val="24"/>
                <w:szCs w:val="24"/>
                <w:lang w:eastAsia="zh-CN" w:bidi="ar"/>
              </w:rPr>
            </w:pPr>
            <w:r>
              <w:rPr>
                <w:rFonts w:hint="eastAsia" w:ascii="宋体" w:hAnsi="宋体" w:cs="宋体"/>
                <w:color w:val="000000"/>
                <w:sz w:val="24"/>
                <w:szCs w:val="24"/>
                <w:lang w:eastAsia="zh-CN" w:bidi="ar"/>
              </w:rPr>
              <w:t>说明：</w:t>
            </w:r>
          </w:p>
        </w:tc>
        <w:tc>
          <w:tcPr>
            <w:tcW w:w="6953" w:type="dxa"/>
            <w:gridSpan w:val="5"/>
            <w:tcBorders>
              <w:top w:val="nil"/>
              <w:left w:val="nil"/>
              <w:bottom w:val="single" w:color="000000" w:sz="8" w:space="0"/>
              <w:right w:val="single" w:color="000000" w:sz="8" w:space="0"/>
            </w:tcBorders>
            <w:tcMar>
              <w:top w:w="15" w:type="dxa"/>
              <w:left w:w="15" w:type="dxa"/>
              <w:right w:w="15" w:type="dxa"/>
            </w:tcMar>
            <w:vAlign w:val="center"/>
          </w:tcPr>
          <w:p>
            <w:pPr>
              <w:textAlignment w:val="center"/>
              <w:rPr>
                <w:rFonts w:ascii="宋体" w:hAnsi="宋体" w:cs="宋体"/>
                <w:color w:val="000000"/>
                <w:sz w:val="24"/>
                <w:szCs w:val="24"/>
                <w:lang w:eastAsia="zh-CN" w:bidi="ar"/>
              </w:rPr>
            </w:pPr>
            <w:r>
              <w:rPr>
                <w:rFonts w:hint="eastAsia" w:ascii="宋体" w:hAnsi="宋体" w:cs="宋体"/>
                <w:color w:val="000000"/>
                <w:sz w:val="24"/>
                <w:szCs w:val="24"/>
                <w:lang w:eastAsia="zh-CN" w:bidi="ar"/>
              </w:rPr>
              <w:t>1.电缆导体截面满足标准及其误差要求，不得出现截面积减少现象。</w:t>
            </w:r>
          </w:p>
          <w:p>
            <w:pPr>
              <w:jc w:val="center"/>
              <w:textAlignment w:val="center"/>
              <w:rPr>
                <w:rFonts w:ascii="宋体" w:hAnsi="宋体" w:cs="宋体"/>
                <w:color w:val="000000"/>
                <w:sz w:val="24"/>
                <w:szCs w:val="24"/>
                <w:lang w:eastAsia="zh-CN" w:bidi="ar"/>
              </w:rPr>
            </w:pPr>
            <w:r>
              <w:rPr>
                <w:rFonts w:ascii="宋体" w:hAnsi="宋体" w:cs="宋体"/>
                <w:color w:val="000000"/>
                <w:sz w:val="24"/>
                <w:szCs w:val="24"/>
                <w:lang w:eastAsia="zh-CN" w:bidi="ar"/>
              </w:rPr>
              <w:t>2.</w:t>
            </w:r>
            <w:r>
              <w:rPr>
                <w:rFonts w:hint="eastAsia" w:ascii="宋体" w:hAnsi="宋体" w:cs="宋体"/>
                <w:color w:val="000000"/>
                <w:sz w:val="24"/>
                <w:szCs w:val="24"/>
                <w:lang w:eastAsia="zh-CN" w:bidi="ar"/>
              </w:rPr>
              <w:t>电缆供货不得出现短码现象，如缺少须以两倍数量补足并满足现场敷设长度。</w:t>
            </w:r>
          </w:p>
          <w:p>
            <w:pPr>
              <w:jc w:val="center"/>
              <w:textAlignment w:val="center"/>
              <w:rPr>
                <w:rFonts w:ascii="宋体" w:hAnsi="宋体" w:cs="宋体"/>
                <w:color w:val="000000"/>
                <w:sz w:val="24"/>
                <w:szCs w:val="24"/>
                <w:lang w:eastAsia="zh-CN" w:bidi="ar"/>
              </w:rPr>
            </w:pPr>
            <w:r>
              <w:rPr>
                <w:rFonts w:ascii="宋体" w:hAnsi="宋体" w:cs="宋体"/>
                <w:color w:val="000000"/>
                <w:sz w:val="24"/>
                <w:szCs w:val="24"/>
                <w:lang w:eastAsia="zh-CN" w:bidi="ar"/>
              </w:rPr>
              <w:t>3.</w:t>
            </w:r>
            <w:r>
              <w:rPr>
                <w:rFonts w:hint="eastAsia" w:ascii="宋体" w:hAnsi="宋体" w:cs="宋体"/>
                <w:color w:val="000000"/>
                <w:sz w:val="24"/>
                <w:szCs w:val="24"/>
                <w:lang w:eastAsia="zh-CN" w:bidi="ar"/>
              </w:rPr>
              <w:t>所供电缆长度不得超出合同规定长度的0.5%，超出部分买方不予结算。</w:t>
            </w:r>
          </w:p>
          <w:p>
            <w:pPr>
              <w:jc w:val="center"/>
              <w:textAlignment w:val="center"/>
              <w:rPr>
                <w:rFonts w:hint="eastAsia" w:ascii="宋体" w:hAnsi="宋体" w:cs="宋体"/>
                <w:color w:val="000000"/>
                <w:sz w:val="24"/>
                <w:szCs w:val="24"/>
                <w:lang w:eastAsia="zh-CN" w:bidi="ar"/>
              </w:rPr>
            </w:pPr>
          </w:p>
        </w:tc>
      </w:tr>
    </w:tbl>
    <w:p>
      <w:pPr>
        <w:pStyle w:val="2"/>
        <w:rPr>
          <w:lang w:eastAsia="zh-CN"/>
        </w:rPr>
      </w:pPr>
    </w:p>
    <w:p>
      <w:pPr>
        <w:spacing w:after="0" w:line="400" w:lineRule="exact"/>
        <w:ind w:firstLine="480" w:firstLineChars="200"/>
        <w:rPr>
          <w:rFonts w:ascii="仿宋" w:hAnsi="仿宋" w:eastAsia="仿宋"/>
          <w:sz w:val="24"/>
          <w:lang w:eastAsia="zh-CN"/>
        </w:rPr>
      </w:pPr>
      <w:r>
        <w:rPr>
          <w:rFonts w:ascii="仿宋" w:hAnsi="仿宋" w:eastAsia="仿宋"/>
          <w:sz w:val="24"/>
          <w:lang w:eastAsia="zh-CN"/>
        </w:rPr>
        <w:t>本次</w:t>
      </w:r>
      <w:r>
        <w:rPr>
          <w:rFonts w:hint="eastAsia" w:ascii="仿宋" w:hAnsi="仿宋" w:eastAsia="仿宋"/>
          <w:sz w:val="24"/>
          <w:lang w:eastAsia="zh-CN"/>
        </w:rPr>
        <w:t>招标</w:t>
      </w:r>
      <w:r>
        <w:rPr>
          <w:rFonts w:ascii="仿宋" w:hAnsi="仿宋" w:eastAsia="仿宋"/>
          <w:sz w:val="24"/>
          <w:lang w:eastAsia="zh-CN"/>
        </w:rPr>
        <w:t>数量为预估数量，仅供参考。最终结算量以实际供货并经验收合格的规格和数量为准,实际供货数量与</w:t>
      </w:r>
      <w:r>
        <w:rPr>
          <w:rFonts w:hint="eastAsia" w:ascii="仿宋" w:hAnsi="仿宋" w:eastAsia="仿宋"/>
          <w:sz w:val="24"/>
          <w:lang w:eastAsia="zh-CN"/>
        </w:rPr>
        <w:t>招标</w:t>
      </w:r>
      <w:r>
        <w:rPr>
          <w:rFonts w:ascii="仿宋" w:hAnsi="仿宋" w:eastAsia="仿宋"/>
          <w:sz w:val="24"/>
          <w:lang w:eastAsia="zh-CN"/>
        </w:rPr>
        <w:t>数量发生较大偏差时，投标人应予接受，并不得以此作为调价和索赔依据。</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4、交货时间：合同签订后30日内,按实际交货数量结算。</w:t>
      </w:r>
    </w:p>
    <w:p>
      <w:pPr>
        <w:spacing w:after="0" w:line="400" w:lineRule="exact"/>
        <w:ind w:firstLine="480" w:firstLineChars="200"/>
        <w:rPr>
          <w:rFonts w:hint="eastAsia" w:ascii="仿宋" w:hAnsi="仿宋" w:eastAsia="仿宋"/>
          <w:sz w:val="24"/>
          <w:lang w:eastAsia="zh-CN"/>
        </w:rPr>
      </w:pPr>
      <w:r>
        <w:rPr>
          <w:rFonts w:hint="eastAsia" w:ascii="仿宋" w:hAnsi="仿宋" w:eastAsia="仿宋"/>
          <w:color w:val="000000"/>
          <w:sz w:val="24"/>
          <w:lang w:eastAsia="zh-CN"/>
        </w:rPr>
        <w:t>5、交货地</w:t>
      </w:r>
      <w:r>
        <w:rPr>
          <w:rFonts w:hint="eastAsia" w:ascii="仿宋" w:hAnsi="仿宋" w:eastAsia="仿宋"/>
          <w:sz w:val="24"/>
          <w:lang w:eastAsia="zh-CN"/>
        </w:rPr>
        <w:t>点：上海港。</w:t>
      </w:r>
    </w:p>
    <w:p>
      <w:pPr>
        <w:spacing w:after="0"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6、品质要求：</w:t>
      </w:r>
    </w:p>
    <w:p>
      <w:pPr>
        <w:spacing w:after="0" w:line="400" w:lineRule="exact"/>
        <w:ind w:firstLine="480" w:firstLineChars="200"/>
        <w:rPr>
          <w:rFonts w:hint="eastAsia" w:ascii="仿宋" w:hAnsi="仿宋" w:eastAsia="仿宋"/>
          <w:color w:val="000000"/>
          <w:sz w:val="24"/>
          <w:lang w:eastAsia="zh-CN"/>
        </w:rPr>
      </w:pPr>
      <w:r>
        <w:rPr>
          <w:rFonts w:hint="eastAsia" w:ascii="仿宋" w:hAnsi="仿宋" w:eastAsia="仿宋"/>
          <w:color w:val="000000"/>
          <w:sz w:val="24"/>
          <w:lang w:eastAsia="zh-CN"/>
        </w:rPr>
        <w:t>（1）符合所注明的相应技术标准，未注明的要符合有关国家及行业标准。</w:t>
      </w:r>
    </w:p>
    <w:p>
      <w:pPr>
        <w:spacing w:after="0" w:line="400" w:lineRule="exact"/>
        <w:ind w:firstLine="480" w:firstLineChars="200"/>
        <w:rPr>
          <w:rFonts w:hint="eastAsia" w:ascii="仿宋" w:hAnsi="仿宋" w:eastAsia="仿宋"/>
          <w:color w:val="000000"/>
          <w:sz w:val="24"/>
          <w:lang w:eastAsia="zh-CN"/>
        </w:rPr>
      </w:pPr>
      <w:r>
        <w:rPr>
          <w:rFonts w:hint="eastAsia" w:ascii="仿宋" w:hAnsi="仿宋" w:eastAsia="仿宋"/>
          <w:color w:val="000000"/>
          <w:sz w:val="24"/>
          <w:lang w:eastAsia="zh-CN"/>
        </w:rPr>
        <w:t>（2）所有材料必须为全新的，不允许长时间库存，每个包装内的电缆需为一整根，不允许出现拼接。</w:t>
      </w:r>
    </w:p>
    <w:p>
      <w:pPr>
        <w:spacing w:after="0" w:line="400" w:lineRule="exact"/>
        <w:ind w:firstLine="480" w:firstLineChars="200"/>
        <w:rPr>
          <w:rFonts w:ascii="仿宋" w:hAnsi="仿宋" w:eastAsia="仿宋"/>
          <w:sz w:val="24"/>
          <w:lang w:eastAsia="zh-CN"/>
        </w:rPr>
      </w:pPr>
      <w:r>
        <w:rPr>
          <w:rFonts w:ascii="仿宋" w:hAnsi="仿宋" w:eastAsia="仿宋"/>
          <w:sz w:val="24"/>
          <w:lang w:eastAsia="zh-CN"/>
        </w:rPr>
        <w:t>7</w:t>
      </w:r>
      <w:r>
        <w:rPr>
          <w:rFonts w:hint="eastAsia" w:ascii="仿宋" w:hAnsi="仿宋" w:eastAsia="仿宋"/>
          <w:sz w:val="24"/>
          <w:lang w:eastAsia="zh-CN"/>
        </w:rPr>
        <w:t>、质量证明文件：</w:t>
      </w:r>
    </w:p>
    <w:p>
      <w:pPr>
        <w:spacing w:after="0"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提供与所供产品批号相对应中英文对照的质量证明书，如质量证明书为复印件，需提供加盖供货单位章的合格证复印件。</w:t>
      </w:r>
    </w:p>
    <w:p>
      <w:pPr>
        <w:spacing w:after="0" w:line="400" w:lineRule="exact"/>
        <w:ind w:firstLine="480" w:firstLineChars="200"/>
        <w:rPr>
          <w:rFonts w:ascii="仿宋" w:hAnsi="仿宋" w:eastAsia="仿宋"/>
          <w:sz w:val="24"/>
          <w:lang w:eastAsia="zh-CN"/>
        </w:rPr>
      </w:pPr>
      <w:r>
        <w:rPr>
          <w:rFonts w:ascii="仿宋" w:hAnsi="仿宋" w:eastAsia="仿宋"/>
          <w:sz w:val="24"/>
          <w:lang w:eastAsia="zh-CN"/>
        </w:rPr>
        <w:t>8</w:t>
      </w:r>
      <w:r>
        <w:rPr>
          <w:rFonts w:hint="eastAsia" w:ascii="仿宋" w:hAnsi="仿宋" w:eastAsia="仿宋"/>
          <w:sz w:val="24"/>
          <w:lang w:eastAsia="zh-CN"/>
        </w:rPr>
        <w:t>、包装与标识：</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按国家相关标准要求进行包装和标识，交货时每种材料、每件包装上都需带有标牌（标牌上需清晰显示出生产厂家，生产日期，炉批号，重量等主要信息）。按国家相关标准要求进行包装和标识，包装原则：确保货物在陆运、海运、装卸车船、存放过程中，包装不破损；能有效保护其中货物不受损、不丢失；易于吊装、运输、堆放：包装物不回收。具体包装要求为：所有材料使用铁木盘装，铁木盘具支撑型钢规格为16-60mm*60mm*5mm。侧板及外层防护板厚度应大于25mm，单块木板的最小宽度不小于140mm。其间采用线缆柔性包装材料（珍珠棉）进行填充，填充厚度应不小于80mm。盘具下方必须使用限位框架或加衬垫木，防止盘具滚动，盘具整体加盖防雨布防护。盘具的大小、承重、弯曲半径要适宜，排线整齐紧密，端头须可靠固定，紧固盘具用钢筋螺母需点焊，确保盘具整体不松散、防止电缆线脱落。电缆端头应平贴、严密、不漏水，放置在盘具内侧不易刮蹭的位置，不得预留在盘具侧面易碰撞的位置。卷装货物外侧随盘具方向使用耐刮蹭包裹材料整体緾绕，并使用粘结或绑扎带绑扎形式固定，最外层使用厚度不低于10mm的木板和厚度不低于1mm的铁皮整体包裹防护。</w:t>
      </w:r>
    </w:p>
    <w:p>
      <w:pPr>
        <w:spacing w:line="400" w:lineRule="exact"/>
        <w:ind w:firstLine="440" w:firstLineChars="200"/>
        <w:rPr>
          <w:lang w:eastAsia="zh-CN"/>
        </w:rPr>
      </w:pPr>
    </w:p>
    <w:p>
      <w:pPr>
        <w:pStyle w:val="3"/>
        <w:spacing w:before="0"/>
        <w:rPr>
          <w:lang w:eastAsia="zh-CN"/>
        </w:rPr>
      </w:pPr>
      <w:bookmarkStart w:id="2" w:name="_Toc479837583"/>
      <w:bookmarkStart w:id="3" w:name="_Toc506118146"/>
      <w:bookmarkStart w:id="4" w:name="_Toc506217729"/>
      <w:r>
        <w:rPr>
          <w:rFonts w:hint="eastAsia"/>
          <w:lang w:eastAsia="zh-CN"/>
        </w:rPr>
        <w:t>三、投标人资格要求</w:t>
      </w:r>
      <w:bookmarkEnd w:id="2"/>
      <w:bookmarkEnd w:id="3"/>
      <w:bookmarkEnd w:id="4"/>
    </w:p>
    <w:p>
      <w:pPr>
        <w:spacing w:after="0"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投标人必须满足以下</w:t>
      </w:r>
      <w:r>
        <w:rPr>
          <w:rFonts w:ascii="仿宋" w:hAnsi="仿宋" w:eastAsia="仿宋"/>
          <w:sz w:val="24"/>
          <w:lang w:eastAsia="zh-CN"/>
        </w:rPr>
        <w:t>全部</w:t>
      </w:r>
      <w:r>
        <w:rPr>
          <w:rFonts w:hint="eastAsia" w:ascii="仿宋" w:hAnsi="仿宋" w:eastAsia="仿宋"/>
          <w:sz w:val="24"/>
          <w:lang w:eastAsia="zh-CN"/>
        </w:rPr>
        <w:t>资格</w:t>
      </w:r>
      <w:r>
        <w:rPr>
          <w:rFonts w:ascii="仿宋" w:hAnsi="仿宋" w:eastAsia="仿宋"/>
          <w:sz w:val="24"/>
          <w:lang w:eastAsia="zh-CN"/>
        </w:rPr>
        <w:t>要求</w:t>
      </w:r>
      <w:r>
        <w:rPr>
          <w:rFonts w:hint="eastAsia" w:ascii="仿宋" w:hAnsi="仿宋" w:eastAsia="仿宋"/>
          <w:sz w:val="24"/>
          <w:lang w:eastAsia="zh-CN"/>
        </w:rPr>
        <w:t>：</w:t>
      </w:r>
    </w:p>
    <w:p>
      <w:pPr>
        <w:spacing w:after="0" w:line="400" w:lineRule="exact"/>
        <w:ind w:firstLine="480" w:firstLineChars="200"/>
        <w:rPr>
          <w:rFonts w:hint="eastAsia"/>
          <w:lang w:eastAsia="zh-CN"/>
        </w:rPr>
      </w:pPr>
      <w:r>
        <w:rPr>
          <w:rFonts w:hint="eastAsia" w:ascii="仿宋" w:hAnsi="仿宋" w:eastAsia="仿宋"/>
          <w:sz w:val="24"/>
          <w:lang w:eastAsia="zh-CN"/>
        </w:rPr>
        <w:t>1、</w:t>
      </w:r>
      <w:r>
        <w:rPr>
          <w:rFonts w:hint="eastAsia" w:ascii="仿宋" w:hAnsi="仿宋" w:eastAsia="仿宋"/>
          <w:b/>
          <w:sz w:val="24"/>
          <w:lang w:eastAsia="zh-CN"/>
        </w:rPr>
        <w:t>投标人为生产厂家的</w:t>
      </w:r>
      <w:r>
        <w:rPr>
          <w:rFonts w:hint="eastAsia" w:ascii="仿宋" w:hAnsi="仿宋" w:eastAsia="仿宋"/>
          <w:sz w:val="24"/>
          <w:lang w:eastAsia="zh-CN"/>
        </w:rPr>
        <w:t>，必须是依照中华人民共和国法律设立并在中华人民共和国境内登记注册的独立法人，企业注册资本金10000万元人民币及以上，必须持有国家质量监督检验总局颁发的《全国工业产品生产许可证》。具有有效期内的ISO9001质量管理体系认证证书。产品取得国家授权、许可的</w:t>
      </w:r>
      <w:r>
        <w:rPr>
          <w:rFonts w:ascii="仿宋" w:hAnsi="仿宋" w:eastAsia="仿宋"/>
          <w:sz w:val="24"/>
          <w:lang w:eastAsia="zh-CN"/>
        </w:rPr>
        <w:t>第三方</w:t>
      </w:r>
      <w:r>
        <w:rPr>
          <w:rFonts w:hint="eastAsia" w:ascii="仿宋" w:hAnsi="仿宋" w:eastAsia="仿宋"/>
          <w:sz w:val="24"/>
          <w:lang w:eastAsia="zh-CN"/>
        </w:rPr>
        <w:t>产品检验检测机构出具的合格证书或检验合格报告</w:t>
      </w:r>
      <w:r>
        <w:rPr>
          <w:rFonts w:hint="eastAsia"/>
          <w:lang w:eastAsia="zh-CN"/>
        </w:rPr>
        <w:t>。</w:t>
      </w:r>
    </w:p>
    <w:p>
      <w:pPr>
        <w:spacing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2.</w:t>
      </w:r>
      <w:r>
        <w:rPr>
          <w:rFonts w:hint="eastAsia" w:ascii="仿宋" w:hAnsi="仿宋" w:eastAsia="仿宋"/>
          <w:b/>
          <w:sz w:val="24"/>
          <w:lang w:eastAsia="zh-CN"/>
        </w:rPr>
        <w:t>投标人为非生产厂家的，</w:t>
      </w:r>
      <w:r>
        <w:rPr>
          <w:rFonts w:hint="eastAsia" w:ascii="仿宋" w:hAnsi="仿宋" w:eastAsia="仿宋"/>
          <w:sz w:val="24"/>
          <w:lang w:eastAsia="zh-CN"/>
        </w:rPr>
        <w:t>必须是依照中华人民共和国法律设立并在中华人民共和国境内登记注册的独立法人，企业注册资本金300万元人民币及以上。必须具有生产厂家针对本项目的授权代理书，且其代理的生产厂家须满足第1条生产厂家资格条件的要求.</w:t>
      </w:r>
    </w:p>
    <w:p>
      <w:pPr>
        <w:spacing w:after="0"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3、投标人应具有类似本工程的供货业绩，提供近三年（2016</w:t>
      </w:r>
      <w:r>
        <w:rPr>
          <w:rFonts w:ascii="仿宋" w:hAnsi="仿宋" w:eastAsia="仿宋"/>
          <w:sz w:val="24"/>
          <w:lang w:eastAsia="zh-CN"/>
        </w:rPr>
        <w:t>-201</w:t>
      </w:r>
      <w:r>
        <w:rPr>
          <w:rFonts w:hint="eastAsia" w:ascii="仿宋" w:hAnsi="仿宋" w:eastAsia="仿宋"/>
          <w:sz w:val="24"/>
          <w:lang w:eastAsia="zh-CN"/>
        </w:rPr>
        <w:t>8年）内签订的3份单项合同金额均在</w:t>
      </w:r>
      <w:r>
        <w:rPr>
          <w:rFonts w:hint="eastAsia" w:ascii="仿宋" w:hAnsi="仿宋" w:eastAsia="仿宋"/>
          <w:sz w:val="24"/>
          <w:lang w:val="en-US" w:eastAsia="zh-CN"/>
        </w:rPr>
        <w:t>1</w:t>
      </w:r>
      <w:r>
        <w:rPr>
          <w:rFonts w:hint="eastAsia" w:ascii="仿宋" w:hAnsi="仿宋" w:eastAsia="仿宋"/>
          <w:sz w:val="24"/>
          <w:lang w:eastAsia="zh-CN"/>
        </w:rPr>
        <w:t>00万元以上的供货合同（附合同扫描件或</w:t>
      </w:r>
      <w:r>
        <w:rPr>
          <w:rFonts w:ascii="仿宋" w:hAnsi="仿宋" w:eastAsia="仿宋"/>
          <w:sz w:val="24"/>
          <w:lang w:eastAsia="zh-CN"/>
        </w:rPr>
        <w:t>中标通知书</w:t>
      </w:r>
      <w:r>
        <w:rPr>
          <w:rFonts w:hint="eastAsia" w:ascii="仿宋" w:hAnsi="仿宋" w:eastAsia="仿宋"/>
          <w:sz w:val="24"/>
          <w:lang w:eastAsia="zh-CN"/>
        </w:rPr>
        <w:t>）；应具有电缆供应的专业人员和组织货源的能力和经验。</w:t>
      </w:r>
    </w:p>
    <w:p>
      <w:pPr>
        <w:spacing w:after="0"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4、投标人具有良好的银行资信和商业信誉，没有处于被责令停业，财产被接管、冻结、破产状态。</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5、投标人应需具有一般纳税人资格，能开具增值税专用发票（13%）；</w:t>
      </w:r>
    </w:p>
    <w:p>
      <w:pPr>
        <w:tabs>
          <w:tab w:val="left" w:pos="386"/>
        </w:tabs>
        <w:spacing w:after="0"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6、本次招不接受联合体投标。</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7、投标人不存在《中华人民共和国招标投标法》、《中华人民共和国招标投标法实施条例》禁止投标的情形。</w:t>
      </w:r>
    </w:p>
    <w:p>
      <w:pPr>
        <w:pStyle w:val="3"/>
        <w:spacing w:before="0"/>
        <w:rPr>
          <w:rFonts w:hint="eastAsia"/>
          <w:lang w:eastAsia="zh-CN"/>
        </w:rPr>
      </w:pPr>
      <w:bookmarkStart w:id="5" w:name="_Toc506217730"/>
      <w:bookmarkStart w:id="6" w:name="_Toc506118147"/>
      <w:bookmarkStart w:id="7" w:name="_Toc479837587"/>
      <w:r>
        <w:rPr>
          <w:rFonts w:hint="eastAsia"/>
          <w:lang w:eastAsia="zh-CN"/>
        </w:rPr>
        <w:t>四、招标文件的获取</w:t>
      </w:r>
      <w:bookmarkEnd w:id="5"/>
      <w:bookmarkEnd w:id="6"/>
      <w:bookmarkEnd w:id="7"/>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1、凡满足本公告规定的投标人资格要求并有意参加投标者，请</w:t>
      </w:r>
      <w:r>
        <w:rPr>
          <w:rFonts w:hint="eastAsia" w:ascii="仿宋" w:hAnsi="仿宋" w:eastAsia="仿宋"/>
          <w:sz w:val="24"/>
          <w:highlight w:val="none"/>
          <w:lang w:eastAsia="zh-CN"/>
        </w:rPr>
        <w:t>于</w:t>
      </w:r>
      <w:r>
        <w:rPr>
          <w:rFonts w:hint="eastAsia" w:ascii="仿宋" w:hAnsi="仿宋" w:eastAsia="仿宋"/>
          <w:sz w:val="24"/>
          <w:highlight w:val="none"/>
          <w:u w:val="single"/>
          <w:lang w:eastAsia="zh-CN"/>
        </w:rPr>
        <w:t>2019年</w:t>
      </w:r>
      <w:r>
        <w:rPr>
          <w:rFonts w:hint="eastAsia" w:ascii="仿宋" w:hAnsi="仿宋" w:eastAsia="仿宋"/>
          <w:sz w:val="24"/>
          <w:highlight w:val="none"/>
          <w:u w:val="single"/>
          <w:lang w:val="en-US" w:eastAsia="zh-CN"/>
        </w:rPr>
        <w:t>7</w:t>
      </w:r>
      <w:r>
        <w:rPr>
          <w:rFonts w:hint="eastAsia" w:ascii="仿宋" w:hAnsi="仿宋" w:eastAsia="仿宋"/>
          <w:sz w:val="24"/>
          <w:highlight w:val="none"/>
          <w:u w:val="single"/>
          <w:lang w:eastAsia="zh-CN"/>
        </w:rPr>
        <w:t>月</w:t>
      </w:r>
      <w:r>
        <w:rPr>
          <w:rFonts w:hint="eastAsia" w:ascii="仿宋" w:hAnsi="仿宋" w:eastAsia="仿宋"/>
          <w:sz w:val="24"/>
          <w:highlight w:val="none"/>
          <w:u w:val="single"/>
          <w:lang w:val="en-US" w:eastAsia="zh-CN"/>
        </w:rPr>
        <w:t>04</w:t>
      </w:r>
      <w:r>
        <w:rPr>
          <w:rFonts w:hint="eastAsia" w:ascii="仿宋" w:hAnsi="仿宋" w:eastAsia="仿宋"/>
          <w:sz w:val="24"/>
          <w:highlight w:val="none"/>
          <w:u w:val="single"/>
          <w:lang w:eastAsia="zh-CN"/>
        </w:rPr>
        <w:t>日下午17:00</w:t>
      </w:r>
      <w:r>
        <w:rPr>
          <w:rFonts w:ascii="仿宋" w:hAnsi="仿宋" w:eastAsia="仿宋"/>
          <w:sz w:val="24"/>
          <w:highlight w:val="none"/>
          <w:lang w:eastAsia="zh-CN"/>
        </w:rPr>
        <w:t>（</w:t>
      </w:r>
      <w:r>
        <w:rPr>
          <w:rFonts w:hint="eastAsia" w:ascii="仿宋" w:hAnsi="仿宋" w:eastAsia="仿宋"/>
          <w:sz w:val="24"/>
          <w:highlight w:val="none"/>
          <w:lang w:eastAsia="zh-CN"/>
        </w:rPr>
        <w:t>北京</w:t>
      </w:r>
      <w:r>
        <w:rPr>
          <w:rFonts w:ascii="仿宋" w:hAnsi="仿宋" w:eastAsia="仿宋"/>
          <w:sz w:val="24"/>
          <w:highlight w:val="none"/>
          <w:lang w:eastAsia="zh-CN"/>
        </w:rPr>
        <w:t>时间</w:t>
      </w:r>
      <w:r>
        <w:rPr>
          <w:rFonts w:hint="eastAsia" w:ascii="仿宋" w:hAnsi="仿宋" w:eastAsia="仿宋"/>
          <w:sz w:val="24"/>
          <w:highlight w:val="none"/>
          <w:lang w:eastAsia="zh-CN"/>
        </w:rPr>
        <w:t>，下同</w:t>
      </w:r>
      <w:r>
        <w:rPr>
          <w:rFonts w:ascii="仿宋" w:hAnsi="仿宋" w:eastAsia="仿宋"/>
          <w:sz w:val="24"/>
          <w:highlight w:val="none"/>
          <w:lang w:eastAsia="zh-CN"/>
        </w:rPr>
        <w:t>）</w:t>
      </w:r>
      <w:r>
        <w:rPr>
          <w:rFonts w:hint="eastAsia" w:ascii="仿宋" w:hAnsi="仿宋" w:eastAsia="仿宋"/>
          <w:sz w:val="24"/>
          <w:highlight w:val="none"/>
          <w:u w:val="single"/>
          <w:lang w:eastAsia="zh-CN"/>
        </w:rPr>
        <w:t>前</w:t>
      </w:r>
      <w:r>
        <w:rPr>
          <w:rFonts w:hint="eastAsia" w:ascii="仿宋" w:hAnsi="仿宋" w:eastAsia="仿宋"/>
          <w:sz w:val="24"/>
          <w:highlight w:val="none"/>
          <w:lang w:eastAsia="zh-CN"/>
        </w:rPr>
        <w:t>在中国电建集中采购电子平台</w:t>
      </w:r>
      <w:r>
        <w:rPr>
          <w:rFonts w:hint="eastAsia" w:ascii="仿宋" w:hAnsi="仿宋" w:eastAsia="仿宋"/>
          <w:sz w:val="24"/>
          <w:lang w:eastAsia="zh-CN"/>
        </w:rPr>
        <w:t>（http://ec3.powerchina.cn）免费注册、在线报名并上传下列资料：</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招标文件经办人身份证和法定代表人签发的针对本招标项目购买招标文件授权委托书或介绍信（加盖公章）扫描件（合并文件上传）。</w:t>
      </w:r>
    </w:p>
    <w:p>
      <w:pPr>
        <w:spacing w:after="0" w:line="400" w:lineRule="exact"/>
        <w:ind w:firstLine="480" w:firstLineChars="200"/>
        <w:rPr>
          <w:rFonts w:ascii="仿宋" w:hAnsi="仿宋" w:eastAsia="仿宋"/>
          <w:sz w:val="24"/>
          <w:lang w:eastAsia="zh-CN"/>
        </w:rPr>
      </w:pPr>
      <w:r>
        <w:rPr>
          <w:rFonts w:ascii="仿宋" w:hAnsi="仿宋" w:eastAsia="仿宋"/>
          <w:sz w:val="24"/>
        </w:rPr>
        <w:t>2、</w:t>
      </w:r>
      <w:r>
        <w:rPr>
          <w:rFonts w:hint="eastAsia" w:ascii="仿宋" w:hAnsi="仿宋" w:eastAsia="仿宋"/>
          <w:sz w:val="24"/>
        </w:rPr>
        <w:t>已注册、报名、上传合格资料的，请在上述时间内在中国电建集中采购电子平台（</w:t>
      </w:r>
      <w:r>
        <w:rPr>
          <w:rFonts w:ascii="仿宋" w:hAnsi="仿宋" w:eastAsia="仿宋"/>
          <w:sz w:val="24"/>
        </w:rPr>
        <w:t>http://ec</w:t>
      </w:r>
      <w:r>
        <w:rPr>
          <w:rFonts w:hint="eastAsia" w:ascii="仿宋" w:hAnsi="仿宋" w:eastAsia="仿宋"/>
          <w:sz w:val="24"/>
          <w:lang w:eastAsia="zh-CN"/>
        </w:rPr>
        <w:t>3</w:t>
      </w:r>
      <w:r>
        <w:rPr>
          <w:rFonts w:ascii="仿宋" w:hAnsi="仿宋" w:eastAsia="仿宋"/>
          <w:sz w:val="24"/>
        </w:rPr>
        <w:t>.powerchina.cn）下载</w:t>
      </w:r>
      <w:r>
        <w:rPr>
          <w:rFonts w:hint="eastAsia" w:ascii="仿宋" w:hAnsi="仿宋" w:eastAsia="仿宋"/>
          <w:sz w:val="24"/>
          <w:lang w:eastAsia="zh-CN"/>
        </w:rPr>
        <w:t>招标</w:t>
      </w:r>
      <w:r>
        <w:rPr>
          <w:rFonts w:ascii="仿宋" w:hAnsi="仿宋" w:eastAsia="仿宋"/>
          <w:sz w:val="24"/>
        </w:rPr>
        <w:t>文件</w:t>
      </w:r>
      <w:r>
        <w:rPr>
          <w:rFonts w:hint="eastAsia" w:ascii="仿宋" w:hAnsi="仿宋" w:eastAsia="仿宋"/>
          <w:sz w:val="24"/>
        </w:rPr>
        <w:t>。</w:t>
      </w:r>
    </w:p>
    <w:p>
      <w:pPr>
        <w:pStyle w:val="3"/>
        <w:rPr>
          <w:rFonts w:hint="eastAsia"/>
          <w:lang w:eastAsia="zh-CN"/>
        </w:rPr>
      </w:pPr>
      <w:bookmarkStart w:id="8" w:name="_Toc479837588"/>
      <w:bookmarkStart w:id="9" w:name="_Toc506118148"/>
      <w:bookmarkStart w:id="10" w:name="_Toc506217731"/>
      <w:r>
        <w:rPr>
          <w:rFonts w:hint="eastAsia"/>
          <w:lang w:eastAsia="zh-CN"/>
        </w:rPr>
        <w:t>五、投标文件的递交</w:t>
      </w:r>
      <w:bookmarkEnd w:id="8"/>
      <w:bookmarkEnd w:id="9"/>
      <w:bookmarkEnd w:id="10"/>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1、投标文件递交的截止时间（投标截止时间，下同）为2019年</w:t>
      </w:r>
      <w:r>
        <w:rPr>
          <w:rFonts w:hint="eastAsia" w:ascii="仿宋" w:hAnsi="仿宋" w:eastAsia="仿宋"/>
          <w:sz w:val="24"/>
          <w:lang w:val="en-US" w:eastAsia="zh-CN"/>
        </w:rPr>
        <w:t>7</w:t>
      </w:r>
      <w:r>
        <w:rPr>
          <w:rFonts w:hint="eastAsia" w:ascii="仿宋" w:hAnsi="仿宋" w:eastAsia="仿宋"/>
          <w:sz w:val="24"/>
          <w:lang w:eastAsia="zh-CN"/>
        </w:rPr>
        <w:t>月</w:t>
      </w:r>
      <w:r>
        <w:rPr>
          <w:rFonts w:hint="eastAsia" w:ascii="仿宋" w:hAnsi="仿宋" w:eastAsia="仿宋"/>
          <w:sz w:val="24"/>
          <w:lang w:val="en-US" w:eastAsia="zh-CN"/>
        </w:rPr>
        <w:t>16</w:t>
      </w:r>
      <w:r>
        <w:rPr>
          <w:rFonts w:hint="eastAsia" w:ascii="仿宋" w:hAnsi="仿宋" w:eastAsia="仿宋"/>
          <w:sz w:val="24"/>
          <w:lang w:eastAsia="zh-CN"/>
        </w:rPr>
        <w:t>日</w:t>
      </w:r>
      <w:r>
        <w:rPr>
          <w:rFonts w:hint="eastAsia" w:ascii="仿宋" w:hAnsi="仿宋" w:eastAsia="仿宋"/>
          <w:sz w:val="24"/>
          <w:lang w:val="en-US" w:eastAsia="zh-CN"/>
        </w:rPr>
        <w:t>13</w:t>
      </w:r>
      <w:r>
        <w:rPr>
          <w:rFonts w:hint="eastAsia" w:ascii="仿宋" w:hAnsi="仿宋" w:eastAsia="仿宋"/>
          <w:sz w:val="24"/>
          <w:lang w:eastAsia="zh-CN"/>
        </w:rPr>
        <w:t>时</w:t>
      </w:r>
      <w:r>
        <w:rPr>
          <w:rFonts w:hint="eastAsia" w:ascii="仿宋" w:hAnsi="仿宋" w:eastAsia="仿宋"/>
          <w:sz w:val="24"/>
          <w:lang w:val="en-US" w:eastAsia="zh-CN"/>
        </w:rPr>
        <w:t>30</w:t>
      </w:r>
      <w:r>
        <w:rPr>
          <w:rFonts w:hint="eastAsia" w:ascii="仿宋" w:hAnsi="仿宋" w:eastAsia="仿宋"/>
          <w:sz w:val="24"/>
          <w:lang w:eastAsia="zh-CN"/>
        </w:rPr>
        <w:t>分（北京时间），投标文件递交地点为</w:t>
      </w:r>
      <w:r>
        <w:rPr>
          <w:rFonts w:hint="eastAsia" w:ascii="仿宋" w:hAnsi="仿宋" w:eastAsia="仿宋"/>
          <w:sz w:val="24"/>
          <w:u w:val="single"/>
          <w:lang w:eastAsia="zh-CN"/>
        </w:rPr>
        <w:t>山东省济南市高新区经十东路7000号汉峪金谷A3-3楼中国电建集团核电工程有限公司1108室</w:t>
      </w:r>
      <w:r>
        <w:rPr>
          <w:rFonts w:hint="eastAsia" w:ascii="仿宋" w:hAnsi="仿宋" w:eastAsia="仿宋"/>
          <w:sz w:val="24"/>
          <w:lang w:eastAsia="zh-CN"/>
        </w:rPr>
        <w:t>。</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2、逾期送达的或者未送达指定地点的投标文件，招标人不予受理。</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3、投标截止时间及递交地点如有变动，招标人将及时以书面形式（</w:t>
      </w:r>
      <w:r>
        <w:rPr>
          <w:rFonts w:ascii="仿宋" w:hAnsi="仿宋" w:eastAsia="仿宋"/>
          <w:sz w:val="24"/>
          <w:lang w:eastAsia="zh-CN"/>
        </w:rPr>
        <w:t>书面形式是指</w:t>
      </w:r>
      <w:r>
        <w:rPr>
          <w:rFonts w:ascii="仿宋" w:hAnsi="仿宋" w:eastAsia="仿宋"/>
          <w:sz w:val="24"/>
        </w:rPr>
        <w:fldChar w:fldCharType="begin"/>
      </w:r>
      <w:r>
        <w:rPr>
          <w:rFonts w:ascii="仿宋" w:hAnsi="仿宋" w:eastAsia="仿宋"/>
          <w:sz w:val="24"/>
          <w:lang w:eastAsia="zh-CN"/>
        </w:rPr>
        <w:instrText xml:space="preserve"> HYPERLINK "http://baike.baidu.com/view/1929171.htm" \t "_blank" </w:instrText>
      </w:r>
      <w:r>
        <w:rPr>
          <w:rFonts w:ascii="仿宋" w:hAnsi="仿宋" w:eastAsia="仿宋"/>
          <w:sz w:val="24"/>
        </w:rPr>
        <w:fldChar w:fldCharType="separate"/>
      </w:r>
      <w:r>
        <w:rPr>
          <w:rFonts w:ascii="仿宋" w:hAnsi="仿宋" w:eastAsia="仿宋"/>
          <w:sz w:val="24"/>
          <w:lang w:eastAsia="zh-CN"/>
        </w:rPr>
        <w:t>信件</w:t>
      </w:r>
      <w:r>
        <w:rPr>
          <w:rFonts w:ascii="仿宋" w:hAnsi="仿宋" w:eastAsia="仿宋"/>
          <w:sz w:val="24"/>
        </w:rPr>
        <w:fldChar w:fldCharType="end"/>
      </w:r>
      <w:r>
        <w:rPr>
          <w:rFonts w:ascii="仿宋" w:hAnsi="仿宋" w:eastAsia="仿宋"/>
          <w:sz w:val="24"/>
          <w:lang w:eastAsia="zh-CN"/>
        </w:rPr>
        <w:t>和</w:t>
      </w:r>
      <w:r>
        <w:rPr>
          <w:rFonts w:ascii="仿宋" w:hAnsi="仿宋" w:eastAsia="仿宋"/>
          <w:sz w:val="24"/>
        </w:rPr>
        <w:fldChar w:fldCharType="begin"/>
      </w:r>
      <w:r>
        <w:rPr>
          <w:rFonts w:ascii="仿宋" w:hAnsi="仿宋" w:eastAsia="仿宋"/>
          <w:sz w:val="24"/>
          <w:lang w:eastAsia="zh-CN"/>
        </w:rPr>
        <w:instrText xml:space="preserve"> HYPERLINK "http://baike.baidu.com/subview/38752/8058697.htm" \t "_blank" </w:instrText>
      </w:r>
      <w:r>
        <w:rPr>
          <w:rFonts w:ascii="仿宋" w:hAnsi="仿宋" w:eastAsia="仿宋"/>
          <w:sz w:val="24"/>
        </w:rPr>
        <w:fldChar w:fldCharType="separate"/>
      </w:r>
      <w:r>
        <w:rPr>
          <w:rFonts w:ascii="仿宋" w:hAnsi="仿宋" w:eastAsia="仿宋"/>
          <w:sz w:val="24"/>
          <w:lang w:eastAsia="zh-CN"/>
        </w:rPr>
        <w:t>数据</w:t>
      </w:r>
      <w:r>
        <w:rPr>
          <w:rFonts w:ascii="仿宋" w:hAnsi="仿宋" w:eastAsia="仿宋"/>
          <w:sz w:val="24"/>
        </w:rPr>
        <w:fldChar w:fldCharType="end"/>
      </w:r>
      <w:r>
        <w:rPr>
          <w:rFonts w:ascii="仿宋" w:hAnsi="仿宋" w:eastAsia="仿宋"/>
          <w:sz w:val="24"/>
        </w:rPr>
        <w:fldChar w:fldCharType="begin"/>
      </w:r>
      <w:r>
        <w:rPr>
          <w:rFonts w:ascii="仿宋" w:hAnsi="仿宋" w:eastAsia="仿宋"/>
          <w:sz w:val="24"/>
          <w:lang w:eastAsia="zh-CN"/>
        </w:rPr>
        <w:instrText xml:space="preserve"> HYPERLINK "http://baike.baidu.com/view/1282828.htm" \t "_blank" </w:instrText>
      </w:r>
      <w:r>
        <w:rPr>
          <w:rFonts w:ascii="仿宋" w:hAnsi="仿宋" w:eastAsia="仿宋"/>
          <w:sz w:val="24"/>
        </w:rPr>
        <w:fldChar w:fldCharType="separate"/>
      </w:r>
      <w:r>
        <w:rPr>
          <w:rFonts w:ascii="仿宋" w:hAnsi="仿宋" w:eastAsia="仿宋"/>
          <w:sz w:val="24"/>
          <w:lang w:eastAsia="zh-CN"/>
        </w:rPr>
        <w:t>电文</w:t>
      </w:r>
      <w:r>
        <w:rPr>
          <w:rFonts w:ascii="仿宋" w:hAnsi="仿宋" w:eastAsia="仿宋"/>
          <w:sz w:val="24"/>
        </w:rPr>
        <w:fldChar w:fldCharType="end"/>
      </w:r>
      <w:r>
        <w:rPr>
          <w:rFonts w:ascii="仿宋" w:hAnsi="仿宋" w:eastAsia="仿宋"/>
          <w:sz w:val="24"/>
          <w:lang w:eastAsia="zh-CN"/>
        </w:rPr>
        <w:t>（包括电传、传真、电子数据交换和电子邮件</w:t>
      </w:r>
      <w:r>
        <w:rPr>
          <w:rFonts w:hint="eastAsia" w:ascii="仿宋" w:hAnsi="仿宋" w:eastAsia="仿宋"/>
          <w:sz w:val="24"/>
          <w:lang w:eastAsia="zh-CN"/>
        </w:rPr>
        <w:t>）通知所有已购买招标文件的潜在投标人。</w:t>
      </w:r>
    </w:p>
    <w:p>
      <w:pPr>
        <w:spacing w:after="0" w:line="400" w:lineRule="exact"/>
        <w:ind w:firstLine="482" w:firstLineChars="200"/>
        <w:rPr>
          <w:rFonts w:hint="eastAsia" w:ascii="仿宋" w:hAnsi="仿宋" w:eastAsia="仿宋"/>
          <w:b/>
          <w:sz w:val="24"/>
          <w:lang w:eastAsia="zh-CN"/>
        </w:rPr>
      </w:pPr>
      <w:r>
        <w:rPr>
          <w:rFonts w:ascii="仿宋" w:hAnsi="仿宋" w:eastAsia="仿宋"/>
          <w:b/>
          <w:sz w:val="24"/>
          <w:lang w:eastAsia="zh-CN"/>
        </w:rPr>
        <w:t>4、递交投标文件前须在中电建集中采购电子平台通过</w:t>
      </w:r>
      <w:r>
        <w:rPr>
          <w:rFonts w:hint="eastAsia" w:ascii="仿宋" w:hAnsi="仿宋" w:eastAsia="仿宋"/>
          <w:b/>
          <w:sz w:val="24"/>
          <w:lang w:eastAsia="zh-CN"/>
        </w:rPr>
        <w:t>招标机构（中国电建集团核电工程有限公司）</w:t>
      </w:r>
      <w:r>
        <w:rPr>
          <w:rFonts w:ascii="仿宋" w:hAnsi="仿宋" w:eastAsia="仿宋"/>
          <w:b/>
          <w:sz w:val="24"/>
          <w:lang w:eastAsia="zh-CN"/>
        </w:rPr>
        <w:t>合格供应商审查</w:t>
      </w:r>
      <w:r>
        <w:rPr>
          <w:rFonts w:hint="eastAsia" w:ascii="仿宋" w:hAnsi="仿宋" w:eastAsia="仿宋"/>
          <w:b/>
          <w:sz w:val="24"/>
          <w:lang w:eastAsia="zh-CN"/>
        </w:rPr>
        <w:t>（无审查费用）</w:t>
      </w:r>
      <w:r>
        <w:rPr>
          <w:rFonts w:ascii="仿宋" w:hAnsi="仿宋" w:eastAsia="仿宋"/>
          <w:b/>
          <w:sz w:val="24"/>
          <w:lang w:eastAsia="zh-CN"/>
        </w:rPr>
        <w:t>，成为</w:t>
      </w:r>
      <w:r>
        <w:rPr>
          <w:rFonts w:hint="eastAsia" w:ascii="仿宋" w:hAnsi="仿宋" w:eastAsia="仿宋"/>
          <w:b/>
          <w:sz w:val="24"/>
          <w:lang w:eastAsia="zh-CN"/>
        </w:rPr>
        <w:t>招标机构</w:t>
      </w:r>
      <w:r>
        <w:rPr>
          <w:rFonts w:ascii="仿宋" w:hAnsi="仿宋" w:eastAsia="仿宋"/>
          <w:b/>
          <w:sz w:val="24"/>
          <w:lang w:eastAsia="zh-CN"/>
        </w:rPr>
        <w:t>或股份公司合格供应商后方能进行投标文件递交和开标。未办妥成为合格供应商造成无法递交和开标的，责任自负。</w:t>
      </w:r>
    </w:p>
    <w:p>
      <w:pPr>
        <w:pStyle w:val="3"/>
        <w:spacing w:before="0"/>
        <w:rPr>
          <w:lang w:eastAsia="zh-CN"/>
        </w:rPr>
      </w:pPr>
      <w:bookmarkStart w:id="11" w:name="_Toc506118149"/>
      <w:bookmarkStart w:id="12" w:name="_Toc479837589"/>
      <w:bookmarkStart w:id="13" w:name="_Toc506217732"/>
      <w:r>
        <w:rPr>
          <w:rFonts w:hint="eastAsia"/>
          <w:lang w:eastAsia="zh-CN"/>
        </w:rPr>
        <w:t>六、</w:t>
      </w:r>
      <w:r>
        <w:rPr>
          <w:lang w:eastAsia="zh-CN"/>
        </w:rPr>
        <w:t>评标办法</w:t>
      </w:r>
      <w:bookmarkEnd w:id="11"/>
      <w:bookmarkEnd w:id="12"/>
      <w:bookmarkEnd w:id="13"/>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采用综合评估法。</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综合评估法遵循的</w:t>
      </w:r>
      <w:r>
        <w:rPr>
          <w:rFonts w:ascii="仿宋" w:hAnsi="仿宋" w:eastAsia="仿宋"/>
          <w:sz w:val="24"/>
          <w:lang w:eastAsia="zh-CN"/>
        </w:rPr>
        <w:t>原则：采用有限数量制。</w:t>
      </w:r>
    </w:p>
    <w:p>
      <w:pPr>
        <w:spacing w:after="0" w:line="400" w:lineRule="exact"/>
        <w:ind w:firstLine="480" w:firstLineChars="200"/>
        <w:rPr>
          <w:rFonts w:ascii="仿宋" w:hAnsi="仿宋" w:eastAsia="仿宋"/>
          <w:sz w:val="24"/>
          <w:lang w:eastAsia="zh-CN"/>
        </w:rPr>
      </w:pPr>
      <w:r>
        <w:rPr>
          <w:rFonts w:ascii="仿宋" w:hAnsi="仿宋" w:eastAsia="仿宋"/>
          <w:sz w:val="24"/>
          <w:lang w:eastAsia="zh-CN"/>
        </w:rPr>
        <w:t>1、当投标人数量等于或少于5家时，对所有投标人递交的投标文件进行评审。</w:t>
      </w:r>
    </w:p>
    <w:p>
      <w:pPr>
        <w:spacing w:after="0" w:line="400" w:lineRule="exact"/>
        <w:ind w:firstLine="480" w:firstLineChars="200"/>
        <w:rPr>
          <w:rFonts w:ascii="仿宋" w:hAnsi="仿宋" w:eastAsia="仿宋"/>
          <w:sz w:val="24"/>
          <w:lang w:eastAsia="zh-CN"/>
        </w:rPr>
      </w:pPr>
      <w:r>
        <w:rPr>
          <w:rFonts w:ascii="仿宋" w:hAnsi="仿宋" w:eastAsia="仿宋"/>
          <w:sz w:val="24"/>
          <w:lang w:eastAsia="zh-CN"/>
        </w:rPr>
        <w:t>2、当投标人数量多于5家时，首先按投标报价从低到高进行排序，选取从低到高的前5家的投标文件进行评审；若有“否决投标”的，按以上原则补足5家。</w:t>
      </w:r>
    </w:p>
    <w:p>
      <w:pPr>
        <w:spacing w:after="0" w:line="400" w:lineRule="exact"/>
        <w:ind w:firstLine="480" w:firstLineChars="200"/>
        <w:rPr>
          <w:rFonts w:ascii="仿宋" w:hAnsi="仿宋" w:eastAsia="仿宋"/>
          <w:sz w:val="24"/>
          <w:lang w:eastAsia="zh-CN"/>
        </w:rPr>
      </w:pPr>
      <w:r>
        <w:rPr>
          <w:rFonts w:ascii="仿宋" w:hAnsi="仿宋" w:eastAsia="仿宋"/>
          <w:sz w:val="24"/>
          <w:lang w:eastAsia="zh-CN"/>
        </w:rPr>
        <w:t>3、未进入评审环节的其它投标文件，不再进行推荐。</w:t>
      </w:r>
    </w:p>
    <w:p>
      <w:pPr>
        <w:pStyle w:val="3"/>
        <w:spacing w:before="0"/>
      </w:pPr>
      <w:bookmarkStart w:id="14" w:name="_Toc479837590"/>
      <w:bookmarkStart w:id="15" w:name="_Toc506217733"/>
      <w:bookmarkStart w:id="16" w:name="_Toc506118150"/>
      <w:r>
        <w:rPr>
          <w:rFonts w:hint="eastAsia"/>
        </w:rPr>
        <w:t>七、发布公告的媒介</w:t>
      </w:r>
      <w:bookmarkEnd w:id="14"/>
      <w:bookmarkEnd w:id="15"/>
      <w:bookmarkEnd w:id="16"/>
    </w:p>
    <w:p>
      <w:pPr>
        <w:pStyle w:val="2"/>
        <w:rPr>
          <w:rFonts w:hint="eastAsia"/>
          <w:lang w:eastAsia="zh-CN"/>
        </w:rPr>
      </w:pPr>
      <w:r>
        <w:rPr>
          <w:rFonts w:hint="eastAsia" w:ascii="仿宋" w:hAnsi="仿宋" w:eastAsia="仿宋"/>
          <w:sz w:val="24"/>
        </w:rPr>
        <w:t>本次</w:t>
      </w:r>
      <w:r>
        <w:rPr>
          <w:rFonts w:hint="eastAsia" w:ascii="仿宋" w:hAnsi="仿宋" w:eastAsia="仿宋"/>
          <w:sz w:val="24"/>
          <w:lang w:eastAsia="zh-CN"/>
        </w:rPr>
        <w:t>招标</w:t>
      </w:r>
      <w:r>
        <w:rPr>
          <w:rFonts w:hint="eastAsia" w:ascii="仿宋" w:hAnsi="仿宋" w:eastAsia="仿宋"/>
          <w:sz w:val="24"/>
        </w:rPr>
        <w:t>公告同时在中国采购与</w:t>
      </w:r>
      <w:r>
        <w:rPr>
          <w:rFonts w:hint="eastAsia" w:ascii="仿宋" w:hAnsi="仿宋" w:eastAsia="仿宋"/>
          <w:sz w:val="24"/>
          <w:lang w:eastAsia="zh-CN"/>
        </w:rPr>
        <w:t>招标</w:t>
      </w:r>
      <w:r>
        <w:rPr>
          <w:rFonts w:hint="eastAsia" w:ascii="仿宋" w:hAnsi="仿宋" w:eastAsia="仿宋"/>
          <w:sz w:val="24"/>
        </w:rPr>
        <w:t>网（http://www.chinabidding.com.cn）和中国电力建设股份有限公司集中采购平台网站（http://ec</w:t>
      </w:r>
      <w:r>
        <w:rPr>
          <w:rFonts w:hint="eastAsia" w:ascii="仿宋" w:hAnsi="仿宋" w:eastAsia="仿宋"/>
          <w:sz w:val="24"/>
          <w:lang w:eastAsia="zh-CN"/>
        </w:rPr>
        <w:t>3</w:t>
      </w:r>
      <w:r>
        <w:rPr>
          <w:rFonts w:hint="eastAsia" w:ascii="仿宋" w:hAnsi="仿宋" w:eastAsia="仿宋"/>
          <w:sz w:val="24"/>
        </w:rPr>
        <w:t>.powerchina.cn）上发布。</w:t>
      </w:r>
    </w:p>
    <w:p>
      <w:pPr>
        <w:pStyle w:val="3"/>
        <w:rPr>
          <w:lang w:eastAsia="zh-CN"/>
        </w:rPr>
      </w:pPr>
      <w:bookmarkStart w:id="17" w:name="_Toc442260382"/>
      <w:bookmarkStart w:id="18" w:name="_Toc485912203"/>
      <w:r>
        <w:rPr>
          <w:rFonts w:hint="eastAsia"/>
          <w:lang w:eastAsia="zh-CN"/>
        </w:rPr>
        <w:t>八、联系方式</w:t>
      </w:r>
      <w:bookmarkEnd w:id="17"/>
      <w:bookmarkEnd w:id="18"/>
    </w:p>
    <w:p>
      <w:pPr>
        <w:spacing w:line="360" w:lineRule="auto"/>
        <w:ind w:firstLine="504" w:firstLineChars="210"/>
        <w:rPr>
          <w:rFonts w:ascii="仿宋" w:hAnsi="仿宋" w:eastAsia="仿宋" w:cs="Arial"/>
          <w:color w:val="000000"/>
          <w:sz w:val="24"/>
          <w:u w:val="single"/>
          <w:lang w:eastAsia="zh-CN"/>
        </w:rPr>
      </w:pPr>
      <w:r>
        <w:rPr>
          <w:rFonts w:hint="eastAsia" w:ascii="仿宋" w:hAnsi="仿宋" w:eastAsia="仿宋"/>
          <w:color w:val="000000"/>
          <w:sz w:val="24"/>
          <w:lang w:eastAsia="zh-CN"/>
        </w:rPr>
        <w:t>招标机构：</w:t>
      </w:r>
      <w:r>
        <w:rPr>
          <w:rFonts w:hint="eastAsia" w:ascii="仿宋" w:hAnsi="仿宋" w:eastAsia="仿宋" w:cs="Arial"/>
          <w:color w:val="000000"/>
          <w:sz w:val="24"/>
          <w:u w:val="single"/>
          <w:lang w:eastAsia="zh-CN"/>
        </w:rPr>
        <w:t xml:space="preserve">中国电建集团核电工程有限公司                      </w:t>
      </w:r>
    </w:p>
    <w:p>
      <w:pPr>
        <w:spacing w:line="360" w:lineRule="auto"/>
        <w:ind w:firstLine="504" w:firstLineChars="210"/>
        <w:rPr>
          <w:rFonts w:ascii="仿宋" w:hAnsi="仿宋" w:eastAsia="仿宋"/>
          <w:color w:val="000000"/>
          <w:sz w:val="24"/>
          <w:lang w:eastAsia="zh-CN"/>
        </w:rPr>
      </w:pPr>
      <w:r>
        <w:rPr>
          <w:rFonts w:hint="eastAsia" w:ascii="仿宋" w:hAnsi="仿宋" w:eastAsia="仿宋"/>
          <w:color w:val="000000"/>
          <w:sz w:val="24"/>
          <w:lang w:eastAsia="zh-CN"/>
        </w:rPr>
        <w:t>地    址：</w:t>
      </w:r>
      <w:r>
        <w:rPr>
          <w:rFonts w:hint="eastAsia" w:ascii="仿宋" w:hAnsi="仿宋" w:eastAsia="仿宋"/>
          <w:sz w:val="24"/>
          <w:u w:val="single"/>
          <w:lang w:eastAsia="zh-CN"/>
        </w:rPr>
        <w:t>山东省济南市经十东路7000号汉峪金谷A3-3号楼1519室</w:t>
      </w:r>
    </w:p>
    <w:p>
      <w:pPr>
        <w:spacing w:line="360" w:lineRule="auto"/>
        <w:ind w:firstLine="504" w:firstLineChars="210"/>
        <w:rPr>
          <w:rFonts w:ascii="仿宋" w:hAnsi="仿宋" w:eastAsia="仿宋"/>
          <w:color w:val="000000"/>
          <w:sz w:val="24"/>
          <w:lang w:eastAsia="zh-CN"/>
        </w:rPr>
      </w:pPr>
      <w:r>
        <w:rPr>
          <w:rFonts w:hint="eastAsia" w:ascii="仿宋" w:hAnsi="仿宋" w:eastAsia="仿宋"/>
          <w:color w:val="000000"/>
          <w:sz w:val="24"/>
          <w:lang w:eastAsia="zh-CN"/>
        </w:rPr>
        <w:t>邮    编：</w:t>
      </w:r>
      <w:r>
        <w:rPr>
          <w:rFonts w:hint="eastAsia" w:ascii="仿宋" w:hAnsi="仿宋" w:eastAsia="仿宋"/>
          <w:color w:val="000000"/>
          <w:sz w:val="24"/>
          <w:u w:val="single"/>
          <w:lang w:eastAsia="zh-CN"/>
        </w:rPr>
        <w:t xml:space="preserve">250102                                             </w:t>
      </w:r>
    </w:p>
    <w:p>
      <w:pPr>
        <w:spacing w:line="360" w:lineRule="auto"/>
        <w:ind w:firstLine="504" w:firstLineChars="210"/>
        <w:rPr>
          <w:rFonts w:ascii="仿宋" w:hAnsi="仿宋" w:eastAsia="仿宋"/>
          <w:color w:val="000000"/>
          <w:sz w:val="24"/>
          <w:u w:val="single"/>
          <w:lang w:eastAsia="zh-CN"/>
        </w:rPr>
      </w:pPr>
      <w:r>
        <w:rPr>
          <w:rFonts w:hint="eastAsia" w:ascii="仿宋" w:hAnsi="仿宋" w:eastAsia="仿宋"/>
          <w:color w:val="000000"/>
          <w:sz w:val="24"/>
          <w:lang w:eastAsia="zh-CN"/>
        </w:rPr>
        <w:t>联 系 人：</w:t>
      </w:r>
      <w:r>
        <w:rPr>
          <w:rFonts w:hint="eastAsia" w:ascii="仿宋" w:hAnsi="仿宋" w:eastAsia="仿宋"/>
          <w:color w:val="000000"/>
          <w:sz w:val="24"/>
          <w:u w:val="single"/>
          <w:lang w:eastAsia="zh-CN"/>
        </w:rPr>
        <w:t xml:space="preserve">杜伟     </w:t>
      </w:r>
      <w:r>
        <w:rPr>
          <w:rFonts w:hint="eastAsia" w:ascii="仿宋" w:hAnsi="仿宋" w:eastAsia="仿宋"/>
          <w:color w:val="000000"/>
          <w:sz w:val="24"/>
          <w:u w:val="single"/>
          <w:lang w:eastAsia="zh-CN"/>
        </w:rPr>
        <w:tab/>
      </w:r>
      <w:r>
        <w:rPr>
          <w:rFonts w:hint="eastAsia" w:ascii="仿宋" w:hAnsi="仿宋" w:eastAsia="仿宋"/>
          <w:color w:val="000000"/>
          <w:sz w:val="24"/>
          <w:u w:val="single"/>
          <w:lang w:eastAsia="zh-CN"/>
        </w:rPr>
        <w:t xml:space="preserve">                                           </w:t>
      </w:r>
    </w:p>
    <w:p>
      <w:pPr>
        <w:spacing w:line="360" w:lineRule="auto"/>
        <w:ind w:firstLine="504" w:firstLineChars="210"/>
        <w:rPr>
          <w:rFonts w:ascii="仿宋" w:hAnsi="仿宋" w:eastAsia="仿宋"/>
          <w:color w:val="000000"/>
          <w:sz w:val="24"/>
          <w:u w:val="single"/>
          <w:lang w:eastAsia="zh-CN"/>
        </w:rPr>
      </w:pPr>
      <w:r>
        <w:rPr>
          <w:rFonts w:hint="eastAsia" w:ascii="仿宋" w:hAnsi="仿宋" w:eastAsia="仿宋"/>
          <w:color w:val="000000"/>
          <w:sz w:val="24"/>
          <w:lang w:eastAsia="zh-CN"/>
        </w:rPr>
        <w:t>电    话：</w:t>
      </w:r>
      <w:r>
        <w:rPr>
          <w:rFonts w:hint="eastAsia" w:ascii="仿宋" w:hAnsi="仿宋" w:eastAsia="仿宋"/>
          <w:color w:val="000000"/>
          <w:sz w:val="24"/>
          <w:u w:val="single"/>
          <w:lang w:eastAsia="zh-CN"/>
        </w:rPr>
        <w:t xml:space="preserve"> 0531-89812616                                </w:t>
      </w:r>
    </w:p>
    <w:p>
      <w:pPr>
        <w:spacing w:line="360" w:lineRule="auto"/>
        <w:ind w:firstLine="504" w:firstLineChars="210"/>
        <w:rPr>
          <w:rFonts w:ascii="仿宋" w:hAnsi="仿宋" w:eastAsia="仿宋"/>
          <w:color w:val="000000"/>
          <w:sz w:val="24"/>
          <w:u w:val="single"/>
          <w:lang w:eastAsia="zh-CN"/>
        </w:rPr>
      </w:pPr>
      <w:r>
        <w:rPr>
          <w:rFonts w:hint="eastAsia" w:ascii="仿宋" w:hAnsi="仿宋" w:eastAsia="仿宋"/>
          <w:color w:val="000000"/>
          <w:sz w:val="24"/>
          <w:lang w:eastAsia="zh-CN"/>
        </w:rPr>
        <w:t>电子邮箱：</w:t>
      </w:r>
      <w:r>
        <w:rPr>
          <w:rFonts w:hint="eastAsia" w:ascii="仿宋" w:hAnsi="仿宋" w:eastAsia="仿宋"/>
          <w:color w:val="000000"/>
          <w:sz w:val="24"/>
          <w:u w:val="single"/>
          <w:lang w:eastAsia="zh-CN"/>
        </w:rPr>
        <w:t xml:space="preserve"> dw6644@powerchina-ne.com                </w:t>
      </w:r>
    </w:p>
    <w:p>
      <w:pPr>
        <w:pStyle w:val="3"/>
        <w:rPr>
          <w:lang w:eastAsia="zh-CN"/>
        </w:rPr>
      </w:pPr>
      <w:bookmarkStart w:id="19" w:name="_Toc485912204"/>
      <w:bookmarkStart w:id="20" w:name="_Toc442260383"/>
      <w:r>
        <w:rPr>
          <w:rFonts w:hint="eastAsia"/>
          <w:lang w:eastAsia="zh-CN"/>
        </w:rPr>
        <w:t>九、监督机构</w:t>
      </w:r>
      <w:bookmarkEnd w:id="19"/>
      <w:bookmarkEnd w:id="20"/>
    </w:p>
    <w:p>
      <w:pPr>
        <w:spacing w:line="400" w:lineRule="exact"/>
        <w:ind w:firstLine="504" w:firstLineChars="210"/>
        <w:rPr>
          <w:rFonts w:ascii="仿宋" w:hAnsi="仿宋" w:eastAsia="仿宋"/>
          <w:color w:val="000000"/>
          <w:sz w:val="24"/>
          <w:lang w:eastAsia="zh-CN"/>
        </w:rPr>
      </w:pPr>
      <w:r>
        <w:rPr>
          <w:rFonts w:hint="eastAsia" w:ascii="仿宋" w:hAnsi="仿宋" w:eastAsia="仿宋"/>
          <w:color w:val="000000"/>
          <w:sz w:val="24"/>
          <w:lang w:eastAsia="zh-CN"/>
        </w:rPr>
        <w:t>中国电建集团核电工程有限公司监察审计部</w:t>
      </w:r>
    </w:p>
    <w:p>
      <w:pPr>
        <w:spacing w:line="360" w:lineRule="auto"/>
        <w:ind w:firstLine="480" w:firstLineChars="200"/>
        <w:rPr>
          <w:rFonts w:ascii="仿宋" w:hAnsi="仿宋" w:eastAsia="仿宋" w:cs="Arial"/>
          <w:color w:val="000000"/>
          <w:sz w:val="24"/>
          <w:lang w:eastAsia="zh-CN"/>
        </w:rPr>
      </w:pPr>
      <w:r>
        <w:rPr>
          <w:rFonts w:hint="eastAsia" w:ascii="仿宋" w:hAnsi="仿宋" w:eastAsia="仿宋" w:cs="Arial"/>
          <w:color w:val="000000"/>
          <w:sz w:val="24"/>
          <w:lang w:eastAsia="zh-CN"/>
        </w:rPr>
        <w:t>监督电话：</w:t>
      </w:r>
      <w:r>
        <w:rPr>
          <w:rFonts w:hint="eastAsia" w:ascii="仿宋" w:eastAsia="仿宋" w:cs="Arial"/>
          <w:color w:val="000000"/>
          <w:sz w:val="24"/>
          <w:lang w:eastAsia="zh-CN"/>
        </w:rPr>
        <w:t>0531-89812202，0531-89812113</w:t>
      </w:r>
    </w:p>
    <w:p>
      <w:pPr>
        <w:ind w:firstLine="6000" w:firstLineChars="2500"/>
      </w:pPr>
      <w:r>
        <w:rPr>
          <w:rFonts w:hint="eastAsia" w:ascii="仿宋" w:hAnsi="仿宋" w:eastAsia="仿宋"/>
          <w:color w:val="000000"/>
          <w:sz w:val="24"/>
          <w:u w:val="single"/>
          <w:lang w:eastAsia="zh-CN"/>
        </w:rPr>
        <w:t xml:space="preserve">2019 </w:t>
      </w:r>
      <w:r>
        <w:rPr>
          <w:rFonts w:hint="eastAsia" w:ascii="仿宋" w:hAnsi="仿宋" w:eastAsia="仿宋"/>
          <w:color w:val="000000"/>
          <w:sz w:val="24"/>
          <w:lang w:eastAsia="zh-CN"/>
        </w:rPr>
        <w:t>年</w:t>
      </w:r>
      <w:r>
        <w:rPr>
          <w:rFonts w:hint="eastAsia" w:ascii="仿宋" w:hAnsi="仿宋" w:eastAsia="仿宋"/>
          <w:color w:val="000000"/>
          <w:sz w:val="24"/>
          <w:u w:val="single"/>
          <w:lang w:eastAsia="zh-CN"/>
        </w:rPr>
        <w:t xml:space="preserve"> 06 </w:t>
      </w:r>
      <w:r>
        <w:rPr>
          <w:rFonts w:hint="eastAsia" w:ascii="仿宋" w:hAnsi="仿宋" w:eastAsia="仿宋"/>
          <w:color w:val="000000"/>
          <w:sz w:val="24"/>
          <w:lang w:eastAsia="zh-CN"/>
        </w:rPr>
        <w:t>月</w:t>
      </w:r>
      <w:r>
        <w:rPr>
          <w:rFonts w:hint="eastAsia" w:ascii="仿宋" w:hAnsi="仿宋" w:eastAsia="仿宋"/>
          <w:color w:val="000000"/>
          <w:sz w:val="24"/>
          <w:u w:val="single"/>
          <w:lang w:eastAsia="zh-CN"/>
        </w:rPr>
        <w:t xml:space="preserve"> </w:t>
      </w:r>
      <w:r>
        <w:rPr>
          <w:rFonts w:hint="default" w:ascii="仿宋" w:hAnsi="仿宋" w:eastAsia="仿宋"/>
          <w:color w:val="000000"/>
          <w:sz w:val="24"/>
          <w:u w:val="single"/>
          <w:lang w:val="en-US" w:eastAsia="zh-CN"/>
        </w:rPr>
        <w:t>21</w:t>
      </w:r>
      <w:r>
        <w:rPr>
          <w:rFonts w:hint="eastAsia" w:ascii="仿宋" w:hAnsi="仿宋" w:eastAsia="仿宋"/>
          <w:color w:val="000000"/>
          <w:sz w:val="24"/>
          <w:u w:val="single"/>
          <w:lang w:eastAsia="zh-CN"/>
        </w:rPr>
        <w:t xml:space="preserve"> </w:t>
      </w:r>
      <w:r>
        <w:rPr>
          <w:rFonts w:hint="eastAsia" w:ascii="仿宋" w:hAnsi="仿宋" w:eastAsia="仿宋"/>
          <w:color w:val="000000"/>
          <w:sz w:val="24"/>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04F6B"/>
    <w:rsid w:val="79A04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imes New Roman" w:hAnsi="Times New Roman" w:eastAsia="宋体" w:cs="Times New Roman"/>
      <w:sz w:val="22"/>
      <w:szCs w:val="22"/>
      <w:lang w:val="en-US" w:eastAsia="en-US" w:bidi="en-US"/>
    </w:rPr>
  </w:style>
  <w:style w:type="paragraph" w:styleId="2">
    <w:name w:val="heading 1"/>
    <w:basedOn w:val="1"/>
    <w:next w:val="1"/>
    <w:qFormat/>
    <w:uiPriority w:val="9"/>
    <w:pPr>
      <w:spacing w:before="480" w:after="0"/>
      <w:contextualSpacing/>
      <w:outlineLvl w:val="0"/>
    </w:pPr>
    <w:rPr>
      <w:rFonts w:ascii="Cambria" w:hAnsi="Cambria"/>
      <w:b/>
      <w:bCs/>
      <w:sz w:val="28"/>
      <w:szCs w:val="28"/>
      <w:lang w:bidi="ar-SA"/>
    </w:rPr>
  </w:style>
  <w:style w:type="paragraph" w:styleId="3">
    <w:name w:val="heading 2"/>
    <w:basedOn w:val="1"/>
    <w:next w:val="1"/>
    <w:qFormat/>
    <w:uiPriority w:val="9"/>
    <w:pPr>
      <w:spacing w:before="200" w:after="0"/>
      <w:outlineLvl w:val="1"/>
    </w:pPr>
    <w:rPr>
      <w:rFonts w:ascii="Cambria" w:hAnsi="Cambria"/>
      <w:b/>
      <w:bCs/>
      <w:sz w:val="26"/>
      <w:szCs w:val="26"/>
      <w:lang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2019-06-21T09:11:00Z</dcterms:created>
  <dc:creator>白开水的味道</dc:creator>
  <cp:lastModifiedBy>白开水的味道</cp:lastModifiedBy>
  <dcterms:modified xsi:type="dcterms:W3CDTF">2019-06-21T09:12:11Z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