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ind w:right="560"/>
        <w:rPr>
          <w:rFonts w:hint="default"/>
          <w:sz w:val="28"/>
          <w:szCs w:val="28"/>
        </w:rPr>
      </w:pPr>
      <w:r>
        <w:rPr>
          <w:sz w:val="28"/>
          <w:szCs w:val="28"/>
        </w:rPr>
        <w:t>附件一：</w:t>
      </w:r>
    </w:p>
    <w:p>
      <w:pPr>
        <w:jc w:val="center"/>
        <w:rPr>
          <w:rFonts w:hint="default" w:hAnsi="宋体"/>
          <w:b/>
          <w:sz w:val="24"/>
        </w:rPr>
      </w:pPr>
      <w:r>
        <w:rPr>
          <w:rFonts w:hAnsi="宋体"/>
          <w:b/>
          <w:sz w:val="24"/>
        </w:rPr>
        <w:t>采购物资包件清单</w:t>
      </w:r>
    </w:p>
    <w:p>
      <w:pPr>
        <w:jc w:val="center"/>
        <w:rPr>
          <w:rFonts w:hint="default" w:hAnsi="宋体"/>
          <w:sz w:val="30"/>
          <w:szCs w:val="30"/>
        </w:rPr>
      </w:pPr>
      <w:r>
        <w:rPr>
          <w:rFonts w:hAnsi="宋体"/>
          <w:sz w:val="24"/>
        </w:rPr>
        <w:t>（</w:t>
      </w:r>
      <w:r>
        <w:rPr>
          <w:sz w:val="24"/>
        </w:rPr>
        <w:t>以下数据仅作为初步依据，具体物资规格、数量以施工图为准。</w:t>
      </w:r>
      <w:r>
        <w:rPr>
          <w:rFonts w:hAnsi="宋体"/>
          <w:sz w:val="24"/>
        </w:rPr>
        <w:t>）</w:t>
      </w:r>
    </w:p>
    <w:p>
      <w:pPr>
        <w:spacing w:line="360" w:lineRule="auto"/>
        <w:jc w:val="left"/>
        <w:rPr>
          <w:rFonts w:hint="default"/>
          <w:szCs w:val="28"/>
        </w:rPr>
      </w:pPr>
    </w:p>
    <w:tbl>
      <w:tblPr>
        <w:tblStyle w:val="4"/>
        <w:tblW w:w="15026" w:type="dxa"/>
        <w:tblInd w:w="-269" w:type="dxa"/>
        <w:tblLayout w:type="fixed"/>
        <w:tblCellMar>
          <w:top w:w="0" w:type="dxa"/>
          <w:left w:w="15" w:type="dxa"/>
          <w:bottom w:w="0" w:type="dxa"/>
          <w:right w:w="15" w:type="dxa"/>
        </w:tblCellMar>
      </w:tblPr>
      <w:tblGrid>
        <w:gridCol w:w="426"/>
        <w:gridCol w:w="425"/>
        <w:gridCol w:w="583"/>
        <w:gridCol w:w="728"/>
        <w:gridCol w:w="645"/>
        <w:gridCol w:w="420"/>
        <w:gridCol w:w="810"/>
        <w:gridCol w:w="1067"/>
        <w:gridCol w:w="850"/>
        <w:gridCol w:w="709"/>
        <w:gridCol w:w="8363"/>
      </w:tblGrid>
      <w:tr>
        <w:tblPrEx>
          <w:tblCellMar>
            <w:top w:w="0" w:type="dxa"/>
            <w:left w:w="15" w:type="dxa"/>
            <w:bottom w:w="0" w:type="dxa"/>
            <w:right w:w="15" w:type="dxa"/>
          </w:tblCellMar>
        </w:tblPrEx>
        <w:trPr>
          <w:trHeight w:val="480" w:hRule="atLeast"/>
        </w:trPr>
        <w:tc>
          <w:tcPr>
            <w:tcW w:w="4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序号</w:t>
            </w:r>
          </w:p>
        </w:tc>
        <w:tc>
          <w:tcPr>
            <w:tcW w:w="42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物资名称</w:t>
            </w:r>
          </w:p>
        </w:tc>
        <w:tc>
          <w:tcPr>
            <w:tcW w:w="58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规格</w:t>
            </w:r>
            <w:r>
              <w:rPr>
                <w:rFonts w:hAnsi="宋体"/>
                <w:b/>
                <w:sz w:val="15"/>
                <w:szCs w:val="15"/>
              </w:rPr>
              <w:br w:type="textWrapping"/>
            </w:r>
            <w:r>
              <w:rPr>
                <w:rFonts w:hAnsi="宋体"/>
                <w:b/>
                <w:sz w:val="15"/>
                <w:szCs w:val="15"/>
              </w:rPr>
              <w:t>型号</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项目名称</w:t>
            </w:r>
          </w:p>
        </w:tc>
        <w:tc>
          <w:tcPr>
            <w:tcW w:w="6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包件</w:t>
            </w:r>
          </w:p>
        </w:tc>
        <w:tc>
          <w:tcPr>
            <w:tcW w:w="4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计量单位</w:t>
            </w:r>
          </w:p>
        </w:tc>
        <w:tc>
          <w:tcPr>
            <w:tcW w:w="8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包件数量</w:t>
            </w:r>
          </w:p>
        </w:tc>
        <w:tc>
          <w:tcPr>
            <w:tcW w:w="10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招标人名称</w:t>
            </w:r>
          </w:p>
        </w:tc>
        <w:tc>
          <w:tcPr>
            <w:tcW w:w="850" w:type="dxa"/>
            <w:tcBorders>
              <w:top w:val="single" w:color="000000" w:sz="4" w:space="0"/>
              <w:left w:val="single" w:color="000000" w:sz="4" w:space="0"/>
              <w:bottom w:val="single" w:color="000000" w:sz="4" w:space="0"/>
              <w:right w:val="single" w:color="auto" w:sz="4" w:space="0"/>
            </w:tcBorders>
            <w:vAlign w:val="center"/>
          </w:tcPr>
          <w:p>
            <w:pPr>
              <w:jc w:val="center"/>
              <w:textAlignment w:val="center"/>
              <w:rPr>
                <w:rFonts w:hint="default" w:hAnsi="宋体"/>
                <w:b/>
                <w:sz w:val="15"/>
                <w:szCs w:val="15"/>
              </w:rPr>
            </w:pPr>
            <w:r>
              <w:rPr>
                <w:rFonts w:hAnsi="宋体"/>
                <w:b/>
                <w:sz w:val="15"/>
                <w:szCs w:val="15"/>
              </w:rPr>
              <w:t>包件售价（元）</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投标保证金（万元）</w:t>
            </w:r>
          </w:p>
        </w:tc>
        <w:tc>
          <w:tcPr>
            <w:tcW w:w="836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rPr>
            </w:pPr>
            <w:r>
              <w:rPr>
                <w:rFonts w:hAnsi="宋体"/>
                <w:b/>
              </w:rPr>
              <w:t>投标人资格条件</w:t>
            </w:r>
          </w:p>
        </w:tc>
      </w:tr>
      <w:tr>
        <w:tblPrEx>
          <w:tblCellMar>
            <w:top w:w="0" w:type="dxa"/>
            <w:left w:w="15" w:type="dxa"/>
            <w:bottom w:w="0" w:type="dxa"/>
            <w:right w:w="15" w:type="dxa"/>
          </w:tblCellMar>
        </w:tblPrEx>
        <w:trPr>
          <w:trHeight w:val="6387" w:hRule="atLeast"/>
        </w:trPr>
        <w:tc>
          <w:tcPr>
            <w:tcW w:w="426"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default" w:hAnsi="宋体"/>
                <w:b/>
                <w:sz w:val="15"/>
                <w:szCs w:val="15"/>
              </w:rPr>
            </w:pPr>
            <w:r>
              <w:rPr>
                <w:rFonts w:hAnsi="宋体"/>
                <w:b/>
                <w:sz w:val="15"/>
                <w:szCs w:val="15"/>
                <w:lang w:val="en-US"/>
              </w:rPr>
              <w:t>1</w:t>
            </w:r>
          </w:p>
        </w:tc>
        <w:tc>
          <w:tcPr>
            <w:tcW w:w="425" w:type="dxa"/>
            <w:tcBorders>
              <w:top w:val="single" w:color="000000" w:sz="4" w:space="0"/>
              <w:left w:val="single" w:color="000000" w:sz="4" w:space="0"/>
              <w:bottom w:val="single" w:color="auto" w:sz="4" w:space="0"/>
              <w:right w:val="single" w:color="auto" w:sz="4" w:space="0"/>
            </w:tcBorders>
            <w:vAlign w:val="center"/>
          </w:tcPr>
          <w:p>
            <w:pPr>
              <w:jc w:val="center"/>
              <w:textAlignment w:val="center"/>
              <w:rPr>
                <w:rFonts w:hint="eastAsia" w:hAnsi="宋体"/>
                <w:b/>
                <w:sz w:val="15"/>
                <w:szCs w:val="15"/>
                <w:lang w:eastAsia="zh-CN"/>
              </w:rPr>
            </w:pPr>
            <w:r>
              <w:rPr>
                <w:rFonts w:hint="eastAsia" w:hAnsi="宋体"/>
                <w:b/>
                <w:sz w:val="15"/>
                <w:szCs w:val="15"/>
                <w:lang w:eastAsia="zh-CN"/>
              </w:rPr>
              <w:t>矿物质电缆</w:t>
            </w:r>
          </w:p>
        </w:tc>
        <w:tc>
          <w:tcPr>
            <w:tcW w:w="583" w:type="dxa"/>
            <w:tcBorders>
              <w:top w:val="single" w:color="000000" w:sz="4" w:space="0"/>
              <w:left w:val="single" w:color="auto" w:sz="4" w:space="0"/>
              <w:bottom w:val="single" w:color="auto" w:sz="4" w:space="0"/>
              <w:right w:val="single" w:color="000000" w:sz="4" w:space="0"/>
            </w:tcBorders>
            <w:vAlign w:val="center"/>
          </w:tcPr>
          <w:p>
            <w:pPr>
              <w:jc w:val="center"/>
              <w:textAlignment w:val="center"/>
              <w:rPr>
                <w:rFonts w:hint="eastAsia" w:hAnsi="宋体" w:eastAsia="宋体"/>
                <w:b/>
                <w:sz w:val="15"/>
                <w:szCs w:val="15"/>
                <w:lang w:eastAsia="zh-CN"/>
              </w:rPr>
            </w:pPr>
            <w:r>
              <w:rPr>
                <w:rFonts w:hint="eastAsia" w:hAnsi="宋体"/>
                <w:b/>
                <w:sz w:val="15"/>
                <w:szCs w:val="15"/>
                <w:lang w:eastAsia="zh-CN"/>
              </w:rPr>
              <w:t>详见物资需求一览表</w:t>
            </w:r>
          </w:p>
        </w:tc>
        <w:tc>
          <w:tcPr>
            <w:tcW w:w="728"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default" w:hAnsi="宋体"/>
                <w:b/>
                <w:sz w:val="15"/>
                <w:szCs w:val="15"/>
                <w:lang w:val="en-US"/>
              </w:rPr>
            </w:pPr>
            <w:r>
              <w:rPr>
                <w:rFonts w:hAnsi="宋体"/>
                <w:b/>
                <w:sz w:val="15"/>
                <w:szCs w:val="15"/>
              </w:rPr>
              <w:t>西安地铁五号线一期工程土建施工项目-1标阿房宫车辆段项目经理部</w:t>
            </w:r>
          </w:p>
        </w:tc>
        <w:tc>
          <w:tcPr>
            <w:tcW w:w="645"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eastAsia" w:hAnsi="宋体" w:eastAsia="宋体"/>
                <w:b/>
                <w:sz w:val="15"/>
                <w:szCs w:val="15"/>
                <w:lang w:val="en-US" w:eastAsia="zh-CN"/>
              </w:rPr>
            </w:pPr>
            <w:r>
              <w:rPr>
                <w:rFonts w:hint="eastAsia" w:hAnsi="宋体"/>
                <w:b/>
                <w:sz w:val="15"/>
                <w:szCs w:val="15"/>
                <w:lang w:val="en-US" w:eastAsia="zh-CN"/>
              </w:rPr>
              <w:t>/</w:t>
            </w:r>
          </w:p>
        </w:tc>
        <w:tc>
          <w:tcPr>
            <w:tcW w:w="420" w:type="dxa"/>
            <w:tcBorders>
              <w:top w:val="single" w:color="000000" w:sz="4" w:space="0"/>
              <w:left w:val="single" w:color="000000" w:sz="4" w:space="0"/>
              <w:bottom w:val="single" w:color="auto" w:sz="4" w:space="0"/>
              <w:right w:val="single" w:color="auto" w:sz="4" w:space="0"/>
            </w:tcBorders>
            <w:vAlign w:val="center"/>
          </w:tcPr>
          <w:p>
            <w:pPr>
              <w:jc w:val="center"/>
              <w:textAlignment w:val="center"/>
              <w:rPr>
                <w:rFonts w:hint="eastAsia" w:hAnsi="宋体" w:eastAsia="宋体"/>
                <w:b/>
                <w:sz w:val="15"/>
                <w:szCs w:val="15"/>
                <w:lang w:val="en-US" w:eastAsia="zh-CN"/>
              </w:rPr>
            </w:pPr>
            <w:r>
              <w:rPr>
                <w:rFonts w:hint="eastAsia" w:hAnsi="宋体"/>
                <w:b/>
                <w:sz w:val="15"/>
                <w:szCs w:val="15"/>
                <w:lang w:val="en-US" w:eastAsia="zh-CN"/>
              </w:rPr>
              <w:t>米</w:t>
            </w:r>
          </w:p>
        </w:tc>
        <w:tc>
          <w:tcPr>
            <w:tcW w:w="810" w:type="dxa"/>
            <w:tcBorders>
              <w:top w:val="single" w:color="000000" w:sz="4" w:space="0"/>
              <w:left w:val="single" w:color="auto" w:sz="4" w:space="0"/>
              <w:bottom w:val="single" w:color="auto" w:sz="4" w:space="0"/>
              <w:right w:val="single" w:color="000000" w:sz="4" w:space="0"/>
            </w:tcBorders>
            <w:vAlign w:val="center"/>
          </w:tcPr>
          <w:p>
            <w:pPr>
              <w:jc w:val="center"/>
              <w:textAlignment w:val="center"/>
              <w:rPr>
                <w:rFonts w:hint="default" w:hAnsi="宋体" w:eastAsia="宋体"/>
                <w:b/>
                <w:sz w:val="15"/>
                <w:szCs w:val="15"/>
                <w:lang w:val="en-US" w:eastAsia="zh-CN"/>
              </w:rPr>
            </w:pPr>
            <w:r>
              <w:rPr>
                <w:rFonts w:hint="eastAsia" w:hAnsi="宋体"/>
                <w:b/>
                <w:sz w:val="15"/>
                <w:szCs w:val="15"/>
                <w:lang w:val="en-US" w:eastAsia="zh-CN"/>
              </w:rPr>
              <w:t>23397</w:t>
            </w:r>
          </w:p>
        </w:tc>
        <w:tc>
          <w:tcPr>
            <w:tcW w:w="1067"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default" w:hAnsi="宋体"/>
                <w:b/>
                <w:sz w:val="15"/>
                <w:szCs w:val="15"/>
              </w:rPr>
            </w:pPr>
            <w:r>
              <w:rPr>
                <w:rFonts w:hAnsi="宋体"/>
                <w:b/>
                <w:sz w:val="15"/>
                <w:szCs w:val="15"/>
              </w:rPr>
              <w:t>中铁一局集团建筑安装工程有限公司</w:t>
            </w:r>
          </w:p>
        </w:tc>
        <w:tc>
          <w:tcPr>
            <w:tcW w:w="850"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default" w:hAnsi="宋体"/>
                <w:b/>
                <w:sz w:val="15"/>
                <w:szCs w:val="15"/>
              </w:rPr>
            </w:pPr>
            <w:r>
              <w:rPr>
                <w:rFonts w:hint="eastAsia" w:hAnsi="宋体"/>
                <w:b/>
                <w:sz w:val="15"/>
                <w:szCs w:val="15"/>
                <w:lang w:val="en-US" w:eastAsia="zh-CN"/>
              </w:rPr>
              <w:t>8</w:t>
            </w:r>
            <w:r>
              <w:rPr>
                <w:rFonts w:hAnsi="宋体"/>
                <w:b/>
                <w:sz w:val="15"/>
                <w:szCs w:val="15"/>
                <w:lang w:val="en-US"/>
              </w:rPr>
              <w:t xml:space="preserve">00 </w:t>
            </w:r>
          </w:p>
        </w:tc>
        <w:tc>
          <w:tcPr>
            <w:tcW w:w="709"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default" w:hAnsi="宋体" w:eastAsia="宋体"/>
                <w:b/>
                <w:sz w:val="15"/>
                <w:szCs w:val="15"/>
                <w:lang w:val="en-US" w:eastAsia="zh-CN"/>
              </w:rPr>
            </w:pPr>
            <w:r>
              <w:rPr>
                <w:rFonts w:hint="eastAsia" w:hAnsi="宋体"/>
                <w:b/>
                <w:sz w:val="15"/>
                <w:szCs w:val="15"/>
                <w:lang w:val="en-US" w:eastAsia="zh-CN"/>
              </w:rPr>
              <w:t>0.5</w:t>
            </w:r>
          </w:p>
        </w:tc>
        <w:tc>
          <w:tcPr>
            <w:tcW w:w="8363" w:type="dxa"/>
            <w:tcBorders>
              <w:top w:val="single" w:color="000000" w:sz="4" w:space="0"/>
              <w:left w:val="single" w:color="000000" w:sz="4" w:space="0"/>
              <w:bottom w:val="single" w:color="auto" w:sz="4" w:space="0"/>
              <w:right w:val="single" w:color="000000" w:sz="4" w:space="0"/>
            </w:tcBorders>
          </w:tcPr>
          <w:p>
            <w:pPr>
              <w:keepNext w:val="0"/>
              <w:keepLines w:val="0"/>
              <w:pageBreakBefore w:val="0"/>
              <w:widowControl/>
              <w:numPr>
                <w:ilvl w:val="0"/>
                <w:numId w:val="0"/>
              </w:numPr>
              <w:kinsoku/>
              <w:wordWrap/>
              <w:overflowPunct/>
              <w:topLinePunct w:val="0"/>
              <w:autoSpaceDE/>
              <w:autoSpaceDN/>
              <w:bidi w:val="0"/>
              <w:adjustRightInd/>
              <w:snapToGrid/>
              <w:spacing w:line="260" w:lineRule="exact"/>
              <w:ind w:right="120" w:rightChars="60"/>
              <w:jc w:val="left"/>
              <w:textAlignment w:val="auto"/>
              <w:outlineLvl w:val="9"/>
              <w:rPr>
                <w:rFonts w:hint="eastAsia" w:ascii="宋体" w:hAnsi="宋体" w:cs="宋体"/>
                <w:kern w:val="0"/>
                <w:sz w:val="18"/>
                <w:szCs w:val="18"/>
                <w:highlight w:val="none"/>
              </w:rPr>
            </w:pPr>
            <w:r>
              <w:rPr>
                <w:rFonts w:hint="eastAsia" w:ascii="宋体" w:hAnsi="宋体"/>
                <w:b/>
                <w:bCs/>
                <w:sz w:val="18"/>
                <w:szCs w:val="18"/>
              </w:rPr>
              <w:t>投标人资格要求</w:t>
            </w:r>
            <w:r>
              <w:rPr>
                <w:rFonts w:hint="eastAsia" w:hAnsi="宋体"/>
                <w:b/>
                <w:bCs/>
                <w:sz w:val="18"/>
                <w:szCs w:val="18"/>
                <w:lang w:eastAsia="zh-CN"/>
              </w:rPr>
              <w:t>：</w:t>
            </w:r>
            <w:r>
              <w:rPr>
                <w:rFonts w:hint="eastAsia" w:ascii="宋体" w:hAnsi="宋体"/>
                <w:sz w:val="18"/>
                <w:szCs w:val="18"/>
              </w:rPr>
              <w:br w:type="textWrapping"/>
            </w:r>
            <w:r>
              <w:rPr>
                <w:rFonts w:hint="eastAsia" w:hAnsi="宋体"/>
                <w:sz w:val="18"/>
                <w:szCs w:val="18"/>
                <w:lang w:val="en-US" w:eastAsia="zh-CN"/>
              </w:rPr>
              <w:t xml:space="preserve">    </w:t>
            </w:r>
            <w:r>
              <w:rPr>
                <w:rFonts w:hint="eastAsia" w:ascii="宋体" w:hAnsi="宋体" w:cs="宋体"/>
                <w:kern w:val="0"/>
                <w:sz w:val="18"/>
                <w:szCs w:val="18"/>
                <w:highlight w:val="none"/>
              </w:rPr>
              <w:t>1.营业范围要求：投标单位在中华人民共和国境内依法注册，具有独立法人资格，具有招标物资生产或供应经验的</w:t>
            </w:r>
            <w:r>
              <w:rPr>
                <w:rFonts w:hint="eastAsia" w:ascii="宋体" w:hAnsi="宋体" w:cs="宋体"/>
                <w:b/>
                <w:bCs/>
                <w:kern w:val="0"/>
                <w:sz w:val="18"/>
                <w:szCs w:val="18"/>
                <w:highlight w:val="none"/>
              </w:rPr>
              <w:t>生产厂</w:t>
            </w:r>
            <w:r>
              <w:rPr>
                <w:rFonts w:hint="eastAsia" w:ascii="宋体" w:hAnsi="宋体" w:cs="宋体"/>
                <w:kern w:val="0"/>
                <w:sz w:val="18"/>
                <w:szCs w:val="18"/>
                <w:highlight w:val="none"/>
              </w:rPr>
              <w:t>，并且具有合法、有效的</w:t>
            </w:r>
            <w:r>
              <w:rPr>
                <w:rFonts w:hint="eastAsia" w:ascii="宋体" w:hAnsi="宋体" w:cs="宋体"/>
                <w:kern w:val="0"/>
                <w:sz w:val="18"/>
                <w:szCs w:val="18"/>
                <w:highlight w:val="none"/>
                <w:lang w:val="en-US" w:eastAsia="zh-CN"/>
              </w:rPr>
              <w:t>三合一营业执照</w:t>
            </w:r>
            <w:r>
              <w:rPr>
                <w:rFonts w:hint="eastAsia" w:ascii="宋体" w:hAnsi="宋体" w:cs="宋体"/>
                <w:kern w:val="0"/>
                <w:sz w:val="18"/>
                <w:szCs w:val="18"/>
                <w:highlight w:val="none"/>
              </w:rPr>
              <w:t>。</w:t>
            </w:r>
            <w:r>
              <w:rPr>
                <w:rFonts w:hint="eastAsia" w:ascii="宋体" w:hAnsi="宋体" w:cs="宋体"/>
                <w:kern w:val="0"/>
                <w:sz w:val="18"/>
                <w:szCs w:val="18"/>
                <w:highlight w:val="none"/>
              </w:rPr>
              <w:br w:type="textWrapping"/>
            </w:r>
            <w:r>
              <w:rPr>
                <w:rFonts w:hint="eastAsia" w:hAnsi="宋体" w:cs="宋体"/>
                <w:kern w:val="0"/>
                <w:sz w:val="18"/>
                <w:szCs w:val="18"/>
                <w:highlight w:val="none"/>
                <w:lang w:val="en-US" w:eastAsia="zh-CN"/>
              </w:rPr>
              <w:t xml:space="preserve">    </w:t>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财务能力要求：投标单位具有良好的资金财务状况，</w:t>
            </w:r>
            <w:r>
              <w:rPr>
                <w:rFonts w:hint="eastAsia" w:ascii="宋体" w:hAnsi="宋体" w:cs="宋体"/>
                <w:kern w:val="0"/>
                <w:sz w:val="18"/>
                <w:szCs w:val="18"/>
                <w:highlight w:val="none"/>
                <w:lang w:eastAsia="zh-CN"/>
              </w:rPr>
              <w:t>投标单位注册资金不低于</w:t>
            </w:r>
            <w:r>
              <w:rPr>
                <w:rFonts w:hint="eastAsia" w:ascii="宋体" w:hAnsi="宋体" w:cs="宋体"/>
                <w:kern w:val="0"/>
                <w:sz w:val="18"/>
                <w:szCs w:val="18"/>
                <w:highlight w:val="none"/>
                <w:lang w:val="en-US" w:eastAsia="zh-CN"/>
              </w:rPr>
              <w:t>500</w:t>
            </w:r>
            <w:r>
              <w:rPr>
                <w:rFonts w:hint="eastAsia" w:hAnsi="宋体" w:cs="宋体"/>
                <w:kern w:val="0"/>
                <w:sz w:val="18"/>
                <w:szCs w:val="18"/>
                <w:highlight w:val="none"/>
                <w:lang w:val="en-US" w:eastAsia="zh-CN"/>
              </w:rPr>
              <w:t>0</w:t>
            </w:r>
            <w:r>
              <w:rPr>
                <w:rFonts w:hint="eastAsia" w:ascii="宋体" w:hAnsi="宋体" w:cs="宋体"/>
                <w:kern w:val="0"/>
                <w:sz w:val="18"/>
                <w:szCs w:val="18"/>
                <w:highlight w:val="none"/>
                <w:lang w:val="en-US" w:eastAsia="zh-CN"/>
              </w:rPr>
              <w:t>万元人民币，</w:t>
            </w:r>
            <w:r>
              <w:rPr>
                <w:rFonts w:hint="eastAsia" w:ascii="宋体" w:hAnsi="宋体" w:cs="宋体"/>
                <w:kern w:val="0"/>
                <w:sz w:val="18"/>
                <w:szCs w:val="18"/>
                <w:highlight w:val="none"/>
              </w:rPr>
              <w:t>投标人须提供</w:t>
            </w:r>
            <w:r>
              <w:rPr>
                <w:rFonts w:hint="eastAsia" w:ascii="宋体" w:hAnsi="宋体" w:cs="宋体"/>
                <w:kern w:val="0"/>
                <w:sz w:val="18"/>
                <w:szCs w:val="18"/>
                <w:highlight w:val="none"/>
                <w:lang w:val="en-US" w:eastAsia="zh-CN"/>
              </w:rPr>
              <w:t>近两年（</w:t>
            </w:r>
            <w:r>
              <w:rPr>
                <w:rFonts w:hint="eastAsia" w:ascii="宋体" w:hAnsi="宋体" w:cs="宋体"/>
                <w:kern w:val="0"/>
                <w:sz w:val="18"/>
                <w:szCs w:val="18"/>
                <w:highlight w:val="none"/>
              </w:rPr>
              <w:t>201</w:t>
            </w:r>
            <w:r>
              <w:rPr>
                <w:rFonts w:hint="eastAsia" w:ascii="宋体" w:hAnsi="宋体" w:cs="宋体"/>
                <w:kern w:val="0"/>
                <w:sz w:val="18"/>
                <w:szCs w:val="18"/>
                <w:highlight w:val="none"/>
                <w:lang w:val="en-US" w:eastAsia="zh-CN"/>
              </w:rPr>
              <w:t>7</w:t>
            </w:r>
            <w:r>
              <w:rPr>
                <w:rFonts w:hint="eastAsia" w:ascii="宋体" w:hAnsi="宋体" w:cs="宋体"/>
                <w:kern w:val="0"/>
                <w:sz w:val="18"/>
                <w:szCs w:val="18"/>
                <w:highlight w:val="none"/>
              </w:rPr>
              <w:t>年、201</w:t>
            </w:r>
            <w:r>
              <w:rPr>
                <w:rFonts w:hint="eastAsia" w:ascii="宋体" w:hAnsi="宋体" w:cs="宋体"/>
                <w:kern w:val="0"/>
                <w:sz w:val="18"/>
                <w:szCs w:val="18"/>
                <w:highlight w:val="none"/>
                <w:lang w:val="en-US" w:eastAsia="zh-CN"/>
              </w:rPr>
              <w:t>8</w:t>
            </w:r>
            <w:r>
              <w:rPr>
                <w:rFonts w:hint="eastAsia" w:ascii="宋体" w:hAnsi="宋体" w:cs="宋体"/>
                <w:kern w:val="0"/>
                <w:sz w:val="18"/>
                <w:szCs w:val="18"/>
                <w:highlight w:val="none"/>
              </w:rPr>
              <w:t>年</w:t>
            </w:r>
            <w:r>
              <w:rPr>
                <w:rFonts w:hint="eastAsia" w:ascii="宋体" w:hAnsi="宋体" w:cs="宋体"/>
                <w:kern w:val="0"/>
                <w:sz w:val="18"/>
                <w:szCs w:val="18"/>
                <w:highlight w:val="none"/>
                <w:lang w:eastAsia="zh-CN"/>
              </w:rPr>
              <w:t>）</w:t>
            </w:r>
            <w:r>
              <w:rPr>
                <w:rFonts w:hint="eastAsia" w:hAnsi="宋体" w:cs="宋体"/>
                <w:kern w:val="0"/>
                <w:sz w:val="18"/>
                <w:szCs w:val="18"/>
                <w:highlight w:val="none"/>
                <w:lang w:val="en-US" w:eastAsia="zh-CN"/>
              </w:rPr>
              <w:t>至少一</w:t>
            </w:r>
            <w:r>
              <w:rPr>
                <w:rFonts w:hint="eastAsia" w:ascii="宋体" w:hAnsi="宋体" w:cs="宋体"/>
                <w:kern w:val="0"/>
                <w:sz w:val="18"/>
                <w:szCs w:val="18"/>
                <w:highlight w:val="none"/>
                <w:lang w:val="en-US" w:eastAsia="zh-CN"/>
              </w:rPr>
              <w:t>年的</w:t>
            </w:r>
            <w:r>
              <w:rPr>
                <w:rFonts w:hint="eastAsia" w:ascii="宋体" w:hAnsi="宋体" w:cs="宋体"/>
                <w:kern w:val="0"/>
                <w:sz w:val="18"/>
                <w:szCs w:val="18"/>
                <w:highlight w:val="none"/>
              </w:rPr>
              <w:t>经会计师事务所</w:t>
            </w:r>
            <w:r>
              <w:rPr>
                <w:rFonts w:hint="eastAsia" w:ascii="宋体" w:hAnsi="宋体" w:cs="宋体"/>
                <w:kern w:val="0"/>
                <w:sz w:val="18"/>
                <w:szCs w:val="18"/>
                <w:highlight w:val="none"/>
                <w:lang w:val="en-US" w:eastAsia="zh-CN"/>
              </w:rPr>
              <w:t>或审计机构</w:t>
            </w:r>
            <w:r>
              <w:rPr>
                <w:rFonts w:hint="eastAsia" w:ascii="宋体" w:hAnsi="宋体" w:cs="宋体"/>
                <w:kern w:val="0"/>
                <w:sz w:val="18"/>
                <w:szCs w:val="18"/>
                <w:highlight w:val="none"/>
              </w:rPr>
              <w:t>审计</w:t>
            </w:r>
            <w:r>
              <w:rPr>
                <w:rFonts w:hint="eastAsia" w:ascii="宋体" w:hAnsi="宋体" w:cs="宋体"/>
                <w:kern w:val="0"/>
                <w:sz w:val="18"/>
                <w:szCs w:val="18"/>
                <w:highlight w:val="none"/>
                <w:lang w:val="en-US" w:eastAsia="zh-CN"/>
              </w:rPr>
              <w:t>有效</w:t>
            </w:r>
            <w:r>
              <w:rPr>
                <w:rFonts w:hint="eastAsia" w:ascii="宋体" w:hAnsi="宋体" w:cs="宋体"/>
                <w:kern w:val="0"/>
                <w:sz w:val="18"/>
                <w:szCs w:val="18"/>
                <w:highlight w:val="none"/>
              </w:rPr>
              <w:t>的财务报告及报表。</w:t>
            </w:r>
          </w:p>
          <w:p>
            <w:pPr>
              <w:keepNext w:val="0"/>
              <w:keepLines w:val="0"/>
              <w:pageBreakBefore w:val="0"/>
              <w:widowControl/>
              <w:numPr>
                <w:ilvl w:val="0"/>
                <w:numId w:val="0"/>
              </w:numPr>
              <w:kinsoku/>
              <w:wordWrap/>
              <w:overflowPunct/>
              <w:topLinePunct w:val="0"/>
              <w:autoSpaceDE/>
              <w:autoSpaceDN/>
              <w:bidi w:val="0"/>
              <w:adjustRightInd/>
              <w:snapToGrid/>
              <w:spacing w:line="260" w:lineRule="exact"/>
              <w:ind w:left="356" w:leftChars="178" w:right="120" w:rightChars="60" w:firstLine="0" w:firstLineChars="0"/>
              <w:jc w:val="left"/>
              <w:textAlignment w:val="auto"/>
              <w:outlineLvl w:val="9"/>
              <w:rPr>
                <w:rFonts w:hint="eastAsia" w:hAnsi="宋体" w:cs="宋体"/>
                <w:kern w:val="0"/>
                <w:sz w:val="18"/>
                <w:szCs w:val="18"/>
                <w:highlight w:val="none"/>
                <w:lang w:eastAsia="zh-CN"/>
              </w:rPr>
            </w:pPr>
            <w:r>
              <w:rPr>
                <w:rFonts w:hint="eastAsia" w:hAnsi="宋体" w:cs="宋体"/>
                <w:kern w:val="0"/>
                <w:sz w:val="18"/>
                <w:szCs w:val="18"/>
                <w:highlight w:val="none"/>
                <w:lang w:val="en-US" w:eastAsia="zh-CN"/>
              </w:rPr>
              <w:t>3.</w:t>
            </w:r>
            <w:r>
              <w:rPr>
                <w:rFonts w:hint="eastAsia" w:ascii="宋体" w:hAnsi="宋体" w:cs="宋体"/>
                <w:kern w:val="0"/>
                <w:sz w:val="18"/>
                <w:szCs w:val="18"/>
                <w:highlight w:val="none"/>
              </w:rPr>
              <w:t>生产能力要求：生产厂具有延伸服务及生产能力，生产工艺、装备符合国家发展政策的相关规定。</w:t>
            </w:r>
            <w:r>
              <w:rPr>
                <w:rFonts w:hint="eastAsia" w:ascii="宋体" w:hAnsi="宋体" w:cs="宋体"/>
                <w:kern w:val="0"/>
                <w:sz w:val="18"/>
                <w:szCs w:val="18"/>
                <w:highlight w:val="none"/>
              </w:rPr>
              <w:br w:type="textWrapping"/>
            </w:r>
            <w:r>
              <w:rPr>
                <w:rFonts w:hint="eastAsia" w:hAnsi="宋体" w:cs="宋体"/>
                <w:kern w:val="0"/>
                <w:sz w:val="18"/>
                <w:szCs w:val="18"/>
                <w:highlight w:val="none"/>
                <w:lang w:val="en-US" w:eastAsia="zh-CN"/>
              </w:rPr>
              <w:t>4.</w:t>
            </w:r>
            <w:r>
              <w:rPr>
                <w:rFonts w:hint="eastAsia" w:ascii="宋体" w:hAnsi="宋体" w:cs="宋体"/>
                <w:kern w:val="0"/>
                <w:sz w:val="18"/>
                <w:szCs w:val="18"/>
                <w:highlight w:val="none"/>
              </w:rPr>
              <w:t>质量保证能力要求：生产厂</w:t>
            </w:r>
            <w:r>
              <w:rPr>
                <w:rFonts w:hAnsi="宋体"/>
                <w:sz w:val="18"/>
                <w:szCs w:val="18"/>
              </w:rPr>
              <w:t>产品</w:t>
            </w:r>
            <w:r>
              <w:rPr>
                <w:rFonts w:hint="eastAsia" w:hAnsi="宋体"/>
                <w:sz w:val="18"/>
                <w:szCs w:val="18"/>
                <w:lang w:eastAsia="zh-CN"/>
              </w:rPr>
              <w:t>须</w:t>
            </w:r>
            <w:r>
              <w:rPr>
                <w:rFonts w:hAnsi="宋体"/>
                <w:sz w:val="18"/>
                <w:szCs w:val="18"/>
              </w:rPr>
              <w:t>符合国家现行标准</w:t>
            </w:r>
            <w:r>
              <w:rPr>
                <w:rFonts w:hint="eastAsia" w:ascii="宋体" w:hAnsi="宋体" w:cs="宋体"/>
                <w:kern w:val="0"/>
                <w:sz w:val="18"/>
                <w:szCs w:val="18"/>
                <w:highlight w:val="none"/>
              </w:rPr>
              <w:t>；生产厂</w:t>
            </w:r>
            <w:r>
              <w:rPr>
                <w:rFonts w:hint="eastAsia" w:hAnsi="宋体" w:cs="宋体"/>
                <w:kern w:val="0"/>
                <w:sz w:val="18"/>
                <w:szCs w:val="18"/>
                <w:highlight w:val="none"/>
                <w:lang w:eastAsia="zh-CN"/>
              </w:rPr>
              <w:t>应具有有效的</w:t>
            </w:r>
            <w:r>
              <w:rPr>
                <w:rFonts w:hint="eastAsia" w:ascii="宋体" w:hAnsi="宋体" w:cs="宋体"/>
                <w:kern w:val="0"/>
                <w:sz w:val="18"/>
                <w:szCs w:val="18"/>
                <w:highlight w:val="none"/>
              </w:rPr>
              <w:t>ISO9000</w:t>
            </w:r>
            <w:r>
              <w:rPr>
                <w:rFonts w:hint="eastAsia" w:hAnsi="宋体" w:cs="宋体"/>
                <w:kern w:val="0"/>
                <w:sz w:val="18"/>
                <w:szCs w:val="18"/>
                <w:highlight w:val="none"/>
                <w:lang w:eastAsia="zh-CN"/>
              </w:rPr>
              <w:t>系列</w:t>
            </w:r>
            <w:r>
              <w:rPr>
                <w:rFonts w:hint="eastAsia" w:ascii="宋体" w:hAnsi="宋体" w:cs="宋体"/>
                <w:kern w:val="0"/>
                <w:sz w:val="18"/>
                <w:szCs w:val="18"/>
                <w:highlight w:val="none"/>
              </w:rPr>
              <w:t>质量管</w:t>
            </w:r>
            <w:r>
              <w:rPr>
                <w:rFonts w:hint="eastAsia" w:hAnsi="宋体" w:cs="宋体"/>
                <w:kern w:val="0"/>
                <w:sz w:val="18"/>
                <w:szCs w:val="18"/>
                <w:highlight w:val="none"/>
                <w:lang w:eastAsia="zh-CN"/>
              </w:rPr>
              <w:t>理</w:t>
            </w:r>
          </w:p>
          <w:p>
            <w:pPr>
              <w:keepNext w:val="0"/>
              <w:keepLines w:val="0"/>
              <w:pageBreakBefore w:val="0"/>
              <w:widowControl/>
              <w:numPr>
                <w:ilvl w:val="0"/>
                <w:numId w:val="0"/>
              </w:numPr>
              <w:kinsoku/>
              <w:wordWrap/>
              <w:overflowPunct/>
              <w:topLinePunct w:val="0"/>
              <w:autoSpaceDE/>
              <w:autoSpaceDN/>
              <w:bidi w:val="0"/>
              <w:adjustRightInd/>
              <w:snapToGrid/>
              <w:spacing w:line="260" w:lineRule="exact"/>
              <w:ind w:leftChars="0" w:right="120" w:rightChars="60"/>
              <w:jc w:val="left"/>
              <w:textAlignment w:val="auto"/>
              <w:outlineLvl w:val="9"/>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rPr>
              <w:t>体系认证，</w:t>
            </w:r>
            <w:r>
              <w:rPr>
                <w:rFonts w:hint="eastAsia" w:hAnsi="宋体" w:cs="宋体"/>
                <w:kern w:val="0"/>
                <w:sz w:val="18"/>
                <w:szCs w:val="18"/>
                <w:highlight w:val="none"/>
                <w:lang w:val="en-US" w:eastAsia="zh-CN"/>
              </w:rPr>
              <w:t>3C认证，</w:t>
            </w:r>
            <w:r>
              <w:rPr>
                <w:rFonts w:hint="eastAsia" w:ascii="宋体" w:hAnsi="宋体" w:cs="宋体"/>
                <w:kern w:val="0"/>
                <w:sz w:val="18"/>
                <w:szCs w:val="18"/>
                <w:highlight w:val="none"/>
              </w:rPr>
              <w:t>并保持持续有效。具有近</w:t>
            </w:r>
            <w:r>
              <w:rPr>
                <w:rFonts w:hint="eastAsia" w:ascii="宋体" w:hAnsi="宋体" w:cs="宋体"/>
                <w:kern w:val="0"/>
                <w:sz w:val="18"/>
                <w:szCs w:val="18"/>
                <w:highlight w:val="none"/>
                <w:lang w:eastAsia="zh-CN"/>
              </w:rPr>
              <w:t>三</w:t>
            </w:r>
            <w:r>
              <w:rPr>
                <w:rFonts w:hint="eastAsia" w:ascii="宋体" w:hAnsi="宋体" w:cs="宋体"/>
                <w:kern w:val="0"/>
                <w:sz w:val="18"/>
                <w:szCs w:val="18"/>
                <w:highlight w:val="none"/>
              </w:rPr>
              <w:t>年</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2017年、2018年、2019年</w:t>
            </w:r>
            <w:r>
              <w:rPr>
                <w:rFonts w:hint="eastAsia" w:ascii="宋体" w:hAnsi="宋体" w:cs="宋体"/>
                <w:kern w:val="0"/>
                <w:sz w:val="18"/>
                <w:szCs w:val="18"/>
                <w:highlight w:val="none"/>
                <w:lang w:eastAsia="zh-CN"/>
              </w:rPr>
              <w:t>）</w:t>
            </w:r>
            <w:r>
              <w:rPr>
                <w:rFonts w:hint="eastAsia" w:hAnsi="宋体" w:cs="宋体"/>
                <w:kern w:val="0"/>
                <w:sz w:val="18"/>
                <w:szCs w:val="18"/>
                <w:highlight w:val="none"/>
                <w:lang w:val="en-US" w:eastAsia="zh-CN"/>
              </w:rPr>
              <w:t>至少一年的</w:t>
            </w:r>
            <w:r>
              <w:rPr>
                <w:rFonts w:hint="eastAsia" w:ascii="宋体" w:hAnsi="宋体" w:cs="宋体"/>
                <w:kern w:val="0"/>
                <w:sz w:val="18"/>
                <w:szCs w:val="18"/>
                <w:highlight w:val="none"/>
              </w:rPr>
              <w:t>省、部级的产品质量检验、检测报告。</w:t>
            </w:r>
            <w:r>
              <w:rPr>
                <w:rFonts w:hint="eastAsia" w:ascii="宋体" w:hAnsi="宋体" w:cs="宋体"/>
                <w:kern w:val="0"/>
                <w:sz w:val="18"/>
                <w:szCs w:val="18"/>
                <w:highlight w:val="none"/>
              </w:rPr>
              <w:br w:type="textWrapping"/>
            </w:r>
            <w:r>
              <w:rPr>
                <w:rFonts w:hint="eastAsia" w:hAnsi="宋体" w:cs="宋体"/>
                <w:kern w:val="0"/>
                <w:sz w:val="18"/>
                <w:szCs w:val="18"/>
                <w:highlight w:val="none"/>
                <w:lang w:val="en-US" w:eastAsia="zh-CN"/>
              </w:rPr>
              <w:t xml:space="preserve">    5.</w:t>
            </w:r>
            <w:r>
              <w:rPr>
                <w:rFonts w:hint="eastAsia" w:ascii="宋体" w:hAnsi="宋体" w:cs="宋体"/>
                <w:kern w:val="0"/>
                <w:sz w:val="18"/>
                <w:szCs w:val="18"/>
                <w:highlight w:val="none"/>
              </w:rPr>
              <w:t>供货业绩要求：</w:t>
            </w:r>
            <w:r>
              <w:rPr>
                <w:rFonts w:hint="eastAsia" w:ascii="宋体" w:hAnsi="宋体"/>
                <w:sz w:val="18"/>
                <w:szCs w:val="18"/>
                <w:highlight w:val="none"/>
              </w:rPr>
              <w:t>投标单位具有近</w:t>
            </w:r>
            <w:r>
              <w:rPr>
                <w:rFonts w:hint="eastAsia" w:ascii="宋体" w:hAnsi="宋体"/>
                <w:sz w:val="18"/>
                <w:szCs w:val="18"/>
                <w:highlight w:val="none"/>
                <w:lang w:eastAsia="zh-CN"/>
              </w:rPr>
              <w:t>三</w:t>
            </w:r>
            <w:r>
              <w:rPr>
                <w:rFonts w:hint="eastAsia" w:ascii="宋体" w:hAnsi="宋体"/>
                <w:sz w:val="18"/>
                <w:szCs w:val="18"/>
                <w:highlight w:val="none"/>
              </w:rPr>
              <w:t>年</w:t>
            </w:r>
            <w:r>
              <w:rPr>
                <w:rFonts w:hint="eastAsia" w:hAnsi="宋体"/>
                <w:sz w:val="18"/>
                <w:szCs w:val="18"/>
                <w:highlight w:val="none"/>
                <w:lang w:eastAsia="zh-CN"/>
              </w:rPr>
              <w:t>（</w:t>
            </w:r>
            <w:r>
              <w:rPr>
                <w:rFonts w:hint="eastAsia" w:hAnsi="宋体"/>
                <w:sz w:val="18"/>
                <w:szCs w:val="18"/>
                <w:highlight w:val="none"/>
                <w:lang w:val="en-US" w:eastAsia="zh-CN"/>
              </w:rPr>
              <w:t>2017年、2018年、2019年</w:t>
            </w:r>
            <w:r>
              <w:rPr>
                <w:rFonts w:hint="eastAsia" w:hAnsi="宋体"/>
                <w:sz w:val="18"/>
                <w:szCs w:val="18"/>
                <w:highlight w:val="none"/>
                <w:lang w:eastAsia="zh-CN"/>
              </w:rPr>
              <w:t>）</w:t>
            </w:r>
            <w:r>
              <w:rPr>
                <w:rFonts w:hint="eastAsia" w:hAnsi="宋体"/>
                <w:sz w:val="18"/>
                <w:szCs w:val="18"/>
                <w:highlight w:val="none"/>
                <w:lang w:val="en-US" w:eastAsia="zh-CN"/>
              </w:rPr>
              <w:t>至少一年的</w:t>
            </w:r>
            <w:r>
              <w:rPr>
                <w:rFonts w:hint="eastAsia" w:ascii="宋体" w:hAnsi="宋体"/>
                <w:sz w:val="18"/>
                <w:szCs w:val="18"/>
                <w:highlight w:val="none"/>
              </w:rPr>
              <w:t>在</w:t>
            </w:r>
            <w:r>
              <w:rPr>
                <w:rFonts w:hint="eastAsia" w:hAnsi="宋体"/>
                <w:sz w:val="18"/>
                <w:szCs w:val="18"/>
                <w:highlight w:val="none"/>
                <w:lang w:eastAsia="zh-CN"/>
              </w:rPr>
              <w:t>国内轨道交通</w:t>
            </w:r>
            <w:r>
              <w:rPr>
                <w:rFonts w:hint="eastAsia" w:ascii="宋体" w:hAnsi="宋体"/>
                <w:sz w:val="18"/>
                <w:szCs w:val="18"/>
                <w:highlight w:val="none"/>
              </w:rPr>
              <w:t>工程的供货业绩，并提供相关业绩证明材料（中标通知书</w:t>
            </w:r>
            <w:r>
              <w:rPr>
                <w:rFonts w:hint="eastAsia" w:ascii="宋体" w:hAnsi="宋体"/>
                <w:sz w:val="18"/>
                <w:szCs w:val="18"/>
                <w:highlight w:val="none"/>
                <w:lang w:eastAsia="zh-CN"/>
              </w:rPr>
              <w:t>或</w:t>
            </w:r>
            <w:r>
              <w:rPr>
                <w:rFonts w:hint="eastAsia" w:ascii="宋体" w:hAnsi="宋体"/>
                <w:sz w:val="18"/>
                <w:szCs w:val="18"/>
                <w:highlight w:val="none"/>
              </w:rPr>
              <w:t>合同）。投标文件正本</w:t>
            </w:r>
            <w:r>
              <w:rPr>
                <w:rFonts w:ascii="宋体" w:hAnsi="宋体"/>
                <w:sz w:val="18"/>
                <w:szCs w:val="18"/>
                <w:highlight w:val="none"/>
              </w:rPr>
              <w:t>须附</w:t>
            </w:r>
            <w:r>
              <w:rPr>
                <w:rFonts w:hint="eastAsia" w:ascii="宋体" w:hAnsi="宋体"/>
                <w:sz w:val="18"/>
                <w:szCs w:val="18"/>
                <w:highlight w:val="none"/>
                <w:lang w:eastAsia="zh-CN"/>
              </w:rPr>
              <w:t>中标通知书或</w:t>
            </w:r>
            <w:r>
              <w:rPr>
                <w:rFonts w:ascii="宋体" w:hAnsi="宋体"/>
                <w:sz w:val="18"/>
                <w:szCs w:val="18"/>
                <w:highlight w:val="none"/>
              </w:rPr>
              <w:t>供货合同</w:t>
            </w:r>
            <w:r>
              <w:rPr>
                <w:rFonts w:hint="eastAsia" w:ascii="宋体" w:hAnsi="宋体"/>
                <w:sz w:val="18"/>
                <w:szCs w:val="18"/>
                <w:highlight w:val="none"/>
              </w:rPr>
              <w:t>原件的</w:t>
            </w:r>
            <w:r>
              <w:rPr>
                <w:rFonts w:hint="eastAsia" w:ascii="宋体" w:hAnsi="宋体"/>
                <w:sz w:val="18"/>
                <w:szCs w:val="18"/>
                <w:highlight w:val="none"/>
                <w:lang w:eastAsia="zh-CN"/>
              </w:rPr>
              <w:t>复印</w:t>
            </w:r>
            <w:r>
              <w:rPr>
                <w:rFonts w:ascii="宋体" w:hAnsi="宋体"/>
                <w:sz w:val="18"/>
                <w:szCs w:val="18"/>
                <w:highlight w:val="none"/>
              </w:rPr>
              <w:t>件</w:t>
            </w:r>
            <w:r>
              <w:rPr>
                <w:rFonts w:hint="eastAsia" w:ascii="宋体" w:hAnsi="宋体"/>
                <w:sz w:val="18"/>
                <w:szCs w:val="18"/>
                <w:highlight w:val="none"/>
                <w:lang w:eastAsia="zh-CN"/>
              </w:rPr>
              <w:t>并加盖投标单位公章</w:t>
            </w:r>
            <w:r>
              <w:rPr>
                <w:rFonts w:ascii="宋体" w:hAnsi="宋体"/>
                <w:sz w:val="18"/>
                <w:szCs w:val="18"/>
                <w:highlight w:val="none"/>
              </w:rPr>
              <w:t>。</w:t>
            </w:r>
            <w:r>
              <w:rPr>
                <w:rFonts w:hint="eastAsia" w:ascii="宋体" w:hAnsi="宋体"/>
                <w:sz w:val="18"/>
                <w:szCs w:val="18"/>
                <w:highlight w:val="none"/>
                <w:lang w:eastAsia="zh-CN"/>
              </w:rPr>
              <w:t>供货合同中合同乙方必须与投标单位名称一致。</w:t>
            </w:r>
            <w:r>
              <w:rPr>
                <w:rFonts w:hint="eastAsia" w:ascii="宋体" w:hAnsi="宋体" w:cs="宋体"/>
                <w:kern w:val="0"/>
                <w:sz w:val="18"/>
                <w:szCs w:val="18"/>
                <w:highlight w:val="none"/>
              </w:rPr>
              <w:br w:type="textWrapping"/>
            </w:r>
            <w:r>
              <w:rPr>
                <w:rFonts w:hint="eastAsia" w:hAnsi="宋体" w:cs="宋体"/>
                <w:kern w:val="0"/>
                <w:sz w:val="18"/>
                <w:szCs w:val="18"/>
                <w:highlight w:val="none"/>
                <w:lang w:val="en-US" w:eastAsia="zh-CN"/>
              </w:rPr>
              <w:t xml:space="preserve">    </w:t>
            </w:r>
            <w:r>
              <w:rPr>
                <w:rFonts w:hint="eastAsia" w:ascii="宋体" w:hAnsi="宋体" w:cs="宋体"/>
                <w:kern w:val="0"/>
                <w:sz w:val="18"/>
                <w:szCs w:val="18"/>
                <w:highlight w:val="none"/>
              </w:rPr>
              <w:t>6．履约信用要求：</w:t>
            </w:r>
            <w:r>
              <w:rPr>
                <w:rFonts w:hint="eastAsia" w:ascii="宋体" w:hAnsi="宋体" w:cs="宋体"/>
                <w:kern w:val="0"/>
                <w:sz w:val="18"/>
                <w:szCs w:val="18"/>
                <w:highlight w:val="none"/>
                <w:lang w:eastAsia="zh-CN"/>
              </w:rPr>
              <w:t>履约信用要求：具有良好的社会信誉，近期没有在其他项目物资投标中提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不接受在铁路总公司（原铁道部）处罚</w:t>
            </w:r>
            <w:r>
              <w:rPr>
                <w:rFonts w:hint="eastAsia" w:ascii="宋体" w:hAnsi="宋体" w:cs="宋体"/>
                <w:kern w:val="0"/>
                <w:sz w:val="18"/>
                <w:szCs w:val="18"/>
                <w:highlight w:val="none"/>
                <w:lang w:val="en-US" w:eastAsia="zh-CN"/>
              </w:rPr>
              <w:t>期内的投标单位；不接受股份公司限制交易内的投标单位。</w:t>
            </w:r>
          </w:p>
          <w:p>
            <w:pPr>
              <w:keepNext w:val="0"/>
              <w:keepLines w:val="0"/>
              <w:pageBreakBefore w:val="0"/>
              <w:widowControl/>
              <w:numPr>
                <w:ilvl w:val="0"/>
                <w:numId w:val="0"/>
              </w:numPr>
              <w:kinsoku/>
              <w:wordWrap/>
              <w:overflowPunct/>
              <w:topLinePunct w:val="0"/>
              <w:autoSpaceDE/>
              <w:autoSpaceDN/>
              <w:bidi w:val="0"/>
              <w:adjustRightInd/>
              <w:snapToGrid/>
              <w:spacing w:line="260" w:lineRule="exact"/>
              <w:ind w:leftChars="0" w:right="120" w:rightChars="60" w:firstLine="360" w:firstLineChars="200"/>
              <w:jc w:val="left"/>
              <w:textAlignment w:val="auto"/>
              <w:outlineLvl w:val="9"/>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7．投标人具备诚信经营要求：通过“信用中国”或各级信用信息共享平台查询，投标人未被纳入失信被执行人、企业经营异常名录、重大税收违法案件当事人名单、政府采购严重违法失信名单（并在投标文件中附投标日期截止日前一周内“信用中国”或各级信用信息共享平台查询截图）。</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20" w:rightChars="60" w:firstLine="360" w:firstLineChars="200"/>
              <w:jc w:val="left"/>
              <w:textAlignment w:val="auto"/>
              <w:outlineLvl w:val="9"/>
              <w:rPr>
                <w:rFonts w:hint="eastAsia"/>
                <w:lang w:val="en-US" w:eastAsia="zh-CN"/>
              </w:rPr>
            </w:pPr>
            <w:r>
              <w:rPr>
                <w:rFonts w:hint="eastAsia" w:hAnsi="宋体" w:cs="宋体"/>
                <w:b/>
                <w:bCs/>
                <w:color w:val="FF0000"/>
                <w:sz w:val="18"/>
                <w:szCs w:val="18"/>
                <w:lang w:val="en-US" w:eastAsia="zh-CN"/>
              </w:rPr>
              <w:t>8</w:t>
            </w:r>
            <w:r>
              <w:rPr>
                <w:rFonts w:hint="eastAsia" w:ascii="宋体" w:hAnsi="宋体" w:eastAsia="宋体" w:cs="宋体"/>
                <w:b/>
                <w:bCs/>
                <w:color w:val="FF0000"/>
                <w:sz w:val="18"/>
                <w:szCs w:val="18"/>
                <w:lang w:eastAsia="zh-CN"/>
              </w:rPr>
              <w:t>.投标人须为中国中铁电线电缆供应商准入名录内合格、有效供应商。</w:t>
            </w:r>
            <w:r>
              <w:rPr>
                <w:rFonts w:hint="eastAsia" w:ascii="宋体" w:hAnsi="宋体" w:cs="宋体"/>
                <w:b/>
                <w:bCs/>
                <w:color w:val="FF0000"/>
                <w:sz w:val="20"/>
                <w:szCs w:val="18"/>
                <w:lang w:val="en-US" w:eastAsia="zh-CN"/>
              </w:rPr>
              <w:t xml:space="preserve"> </w:t>
            </w:r>
          </w:p>
          <w:p>
            <w:pPr>
              <w:rPr>
                <w:rFonts w:hint="eastAsia" w:hAnsi="宋体" w:eastAsia="宋体"/>
                <w:sz w:val="18"/>
                <w:lang w:val="en-US" w:eastAsia="zh-CN"/>
              </w:rPr>
            </w:pPr>
            <w:r>
              <w:rPr>
                <w:rFonts w:hint="eastAsia" w:hAnsi="宋体"/>
                <w:sz w:val="18"/>
                <w:lang w:val="en-US" w:eastAsia="zh-CN"/>
              </w:rPr>
              <w:t xml:space="preserve">    9.本包件不接受代理商投标</w:t>
            </w:r>
            <w:bookmarkStart w:id="14" w:name="_GoBack"/>
            <w:bookmarkEnd w:id="14"/>
          </w:p>
        </w:tc>
      </w:tr>
    </w:tbl>
    <w:p>
      <w:pPr>
        <w:spacing w:line="360" w:lineRule="auto"/>
        <w:jc w:val="left"/>
        <w:rPr>
          <w:rFonts w:hint="default"/>
          <w:szCs w:val="28"/>
        </w:rPr>
        <w:sectPr>
          <w:pgSz w:w="16838" w:h="11906" w:orient="landscape"/>
          <w:pgMar w:top="1191" w:right="1134" w:bottom="1418" w:left="1134" w:header="851" w:footer="1418" w:gutter="0"/>
          <w:cols w:space="720" w:num="1"/>
          <w:docGrid w:type="linesAndChars" w:linePitch="312" w:charSpace="0"/>
        </w:sectPr>
      </w:pPr>
    </w:p>
    <w:p>
      <w:pPr>
        <w:spacing w:before="100" w:line="440" w:lineRule="exact"/>
        <w:jc w:val="left"/>
        <w:outlineLvl w:val="2"/>
        <w:rPr>
          <w:rFonts w:hint="default" w:hAnsi="宋体"/>
          <w:b/>
          <w:sz w:val="27"/>
          <w:szCs w:val="27"/>
          <w:lang w:val="en-US"/>
        </w:rPr>
      </w:pPr>
      <w:r>
        <w:rPr>
          <w:rFonts w:hAnsi="宋体"/>
          <w:b/>
          <w:bCs/>
          <w:sz w:val="24"/>
        </w:rPr>
        <w:t>附件二、中国中铁采购电子商务平台报名、响应等操作流程</w:t>
      </w:r>
    </w:p>
    <w:p>
      <w:pPr>
        <w:rPr>
          <w:rFonts w:hint="default"/>
        </w:rPr>
      </w:pPr>
    </w:p>
    <w:p>
      <w:pPr>
        <w:spacing w:line="360" w:lineRule="auto"/>
        <w:outlineLvl w:val="0"/>
        <w:rPr>
          <w:rFonts w:hint="default" w:ascii="微软雅黑" w:eastAsia="微软雅黑"/>
          <w:b/>
          <w:sz w:val="24"/>
        </w:rPr>
      </w:pPr>
      <w:bookmarkStart w:id="0" w:name="_Toc376525878"/>
      <w:bookmarkStart w:id="1" w:name="_Toc396120139"/>
      <w:bookmarkStart w:id="2" w:name="_Toc481764179"/>
      <w:bookmarkStart w:id="3" w:name="_Toc396394738"/>
      <w:r>
        <w:rPr>
          <w:rFonts w:ascii="微软雅黑" w:eastAsia="微软雅黑"/>
          <w:b/>
          <w:sz w:val="24"/>
        </w:rPr>
        <w:t>一、登录供方交易系统</w:t>
      </w:r>
      <w:bookmarkEnd w:id="0"/>
      <w:bookmarkEnd w:id="1"/>
      <w:bookmarkEnd w:id="2"/>
      <w:bookmarkEnd w:id="3"/>
    </w:p>
    <w:p>
      <w:pPr>
        <w:spacing w:line="360" w:lineRule="auto"/>
        <w:rPr>
          <w:rFonts w:hint="default" w:ascii="微软雅黑" w:eastAsia="微软雅黑"/>
          <w:sz w:val="24"/>
        </w:rPr>
      </w:pPr>
      <w:r>
        <w:rPr>
          <w:rFonts w:ascii="微软雅黑" w:eastAsia="微软雅黑"/>
          <w:sz w:val="24"/>
        </w:rPr>
        <w:t>1. 登录中国中铁采购电子商务平台（</w:t>
      </w:r>
      <w:r>
        <w:fldChar w:fldCharType="begin"/>
      </w:r>
      <w:r>
        <w:instrText xml:space="preserve"> HYPERLINK "http://www.crecgec.com" </w:instrText>
      </w:r>
      <w:r>
        <w:fldChar w:fldCharType="separate"/>
      </w:r>
      <w:r>
        <w:rPr>
          <w:rStyle w:val="6"/>
          <w:rFonts w:hint="eastAsia" w:ascii="微软雅黑" w:eastAsia="微软雅黑"/>
          <w:sz w:val="24"/>
        </w:rPr>
        <w:t>www.crecgec.com</w:t>
      </w:r>
      <w:r>
        <w:rPr>
          <w:rStyle w:val="6"/>
          <w:rFonts w:hint="eastAsia" w:ascii="微软雅黑" w:eastAsia="微软雅黑"/>
          <w:sz w:val="24"/>
        </w:rPr>
        <w:fldChar w:fldCharType="end"/>
      </w:r>
      <w:r>
        <w:rPr>
          <w:rFonts w:ascii="微软雅黑" w:eastAsia="微软雅黑"/>
          <w:sz w:val="24"/>
        </w:rPr>
        <w:t xml:space="preserve"> ），单击左上角【注册会员登录】按钮，进入系统登录页面。如下图：</w:t>
      </w:r>
    </w:p>
    <w:p>
      <w:pPr>
        <w:spacing w:line="360" w:lineRule="auto"/>
        <w:rPr>
          <w:rFonts w:hint="default" w:ascii="微软雅黑" w:eastAsia="微软雅黑"/>
          <w:sz w:val="24"/>
        </w:rPr>
      </w:pPr>
      <w:r>
        <w:rPr>
          <w:lang w:val="en-US"/>
        </w:rPr>
        <w:drawing>
          <wp:inline distT="0" distB="0" distL="114300" distR="114300">
            <wp:extent cx="5275580" cy="2248535"/>
            <wp:effectExtent l="0" t="0" r="1270"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cstate="print"/>
                    <a:stretch>
                      <a:fillRect/>
                    </a:stretch>
                  </pic:blipFill>
                  <pic:spPr>
                    <a:xfrm>
                      <a:off x="0" y="0"/>
                      <a:ext cx="5275580" cy="2248535"/>
                    </a:xfrm>
                    <a:prstGeom prst="rect">
                      <a:avLst/>
                    </a:prstGeom>
                    <a:noFill/>
                    <a:ln w="9525">
                      <a:noFill/>
                    </a:ln>
                  </pic:spPr>
                </pic:pic>
              </a:graphicData>
            </a:graphic>
          </wp:inline>
        </w:drawing>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3675" cy="2917825"/>
            <wp:effectExtent l="0" t="0" r="317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cstate="print"/>
                    <a:stretch>
                      <a:fillRect/>
                    </a:stretch>
                  </pic:blipFill>
                  <pic:spPr>
                    <a:xfrm>
                      <a:off x="0" y="0"/>
                      <a:ext cx="5273675" cy="2917825"/>
                    </a:xfrm>
                    <a:prstGeom prst="rect">
                      <a:avLst/>
                    </a:prstGeom>
                    <a:noFill/>
                    <a:ln w="9525">
                      <a:noFill/>
                    </a:ln>
                  </pic:spPr>
                </pic:pic>
              </a:graphicData>
            </a:graphic>
          </wp:inline>
        </w:drawing>
      </w:r>
    </w:p>
    <w:p>
      <w:pPr>
        <w:spacing w:line="360" w:lineRule="auto"/>
        <w:rPr>
          <w:rFonts w:hint="default" w:ascii="微软雅黑" w:eastAsia="微软雅黑"/>
          <w:sz w:val="24"/>
        </w:rPr>
      </w:pPr>
    </w:p>
    <w:p>
      <w:pPr>
        <w:spacing w:line="360" w:lineRule="auto"/>
        <w:rPr>
          <w:rFonts w:hint="default" w:ascii="微软雅黑" w:eastAsia="微软雅黑"/>
          <w:sz w:val="24"/>
        </w:rPr>
      </w:pPr>
      <w:r>
        <w:rPr>
          <w:rFonts w:ascii="微软雅黑" w:eastAsia="微软雅黑"/>
          <w:sz w:val="24"/>
        </w:rPr>
        <w:t>2. 输入供应商用户名、密码、验证码，点击【登录】，页面会自动跳转回中国中铁采购电子商务平台，可以查看用户身份、用户状态，将鼠标移动到上方的【应用快速入口】，选择“供应商平台”（即原供方交易系统）进入。</w:t>
      </w:r>
    </w:p>
    <w:p>
      <w:pPr>
        <w:spacing w:line="360" w:lineRule="auto"/>
        <w:rPr>
          <w:rFonts w:hint="default" w:ascii="微软雅黑" w:eastAsia="微软雅黑"/>
          <w:sz w:val="24"/>
        </w:rPr>
      </w:pPr>
      <w:r>
        <w:rPr>
          <w:lang w:val="en-US"/>
        </w:rPr>
        <w:drawing>
          <wp:inline distT="0" distB="0" distL="114300" distR="114300">
            <wp:extent cx="5273675" cy="2247900"/>
            <wp:effectExtent l="0" t="0" r="317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cstate="print"/>
                    <a:stretch>
                      <a:fillRect/>
                    </a:stretch>
                  </pic:blipFill>
                  <pic:spPr>
                    <a:xfrm>
                      <a:off x="0" y="0"/>
                      <a:ext cx="5273675" cy="2247900"/>
                    </a:xfrm>
                    <a:prstGeom prst="rect">
                      <a:avLst/>
                    </a:prstGeom>
                    <a:noFill/>
                    <a:ln w="9525">
                      <a:noFill/>
                    </a:ln>
                  </pic:spPr>
                </pic:pic>
              </a:graphicData>
            </a:graphic>
          </wp:inline>
        </w:drawing>
      </w:r>
    </w:p>
    <w:p>
      <w:pPr>
        <w:spacing w:line="360" w:lineRule="auto"/>
        <w:rPr>
          <w:rFonts w:hint="default" w:ascii="微软雅黑" w:eastAsia="微软雅黑"/>
          <w:sz w:val="24"/>
        </w:rPr>
      </w:pPr>
      <w:r>
        <w:rPr>
          <w:lang w:val="en-US"/>
        </w:rPr>
        <w:drawing>
          <wp:inline distT="0" distB="0" distL="114300" distR="114300">
            <wp:extent cx="5277485" cy="2750185"/>
            <wp:effectExtent l="0" t="0" r="18415" b="1206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cstate="print"/>
                    <a:stretch>
                      <a:fillRect/>
                    </a:stretch>
                  </pic:blipFill>
                  <pic:spPr>
                    <a:xfrm>
                      <a:off x="0" y="0"/>
                      <a:ext cx="5277485" cy="2750185"/>
                    </a:xfrm>
                    <a:prstGeom prst="rect">
                      <a:avLst/>
                    </a:prstGeom>
                    <a:noFill/>
                    <a:ln w="9525">
                      <a:noFill/>
                    </a:ln>
                  </pic:spPr>
                </pic:pic>
              </a:graphicData>
            </a:graphic>
          </wp:inline>
        </w:drawing>
      </w:r>
    </w:p>
    <w:p>
      <w:pPr>
        <w:spacing w:line="360" w:lineRule="auto"/>
        <w:rPr>
          <w:rFonts w:hint="default" w:ascii="微软雅黑" w:eastAsia="微软雅黑"/>
          <w:sz w:val="24"/>
        </w:rPr>
      </w:pPr>
    </w:p>
    <w:p>
      <w:pPr>
        <w:spacing w:line="360" w:lineRule="auto"/>
        <w:rPr>
          <w:rFonts w:hint="default" w:ascii="微软雅黑" w:eastAsia="微软雅黑"/>
          <w:sz w:val="24"/>
        </w:rPr>
      </w:pPr>
      <w:r>
        <w:rPr>
          <w:rFonts w:ascii="微软雅黑" w:eastAsia="微软雅黑"/>
          <w:sz w:val="24"/>
        </w:rPr>
        <w:t>3. 在供应商平台中，点击【电子采购】下方的【供应商门户】，进入供应商门户功能组，可进行在线报价等操作。</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884555"/>
            <wp:effectExtent l="0" t="0" r="16510"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cstate="print"/>
                    <a:stretch>
                      <a:fillRect/>
                    </a:stretch>
                  </pic:blipFill>
                  <pic:spPr>
                    <a:xfrm>
                      <a:off x="0" y="0"/>
                      <a:ext cx="5279390" cy="884555"/>
                    </a:xfrm>
                    <a:prstGeom prst="rect">
                      <a:avLst/>
                    </a:prstGeom>
                    <a:noFill/>
                    <a:ln w="9525">
                      <a:noFill/>
                    </a:ln>
                  </pic:spPr>
                </pic:pic>
              </a:graphicData>
            </a:graphic>
          </wp:inline>
        </w:drawing>
      </w:r>
    </w:p>
    <w:p>
      <w:pPr>
        <w:spacing w:line="360" w:lineRule="auto"/>
        <w:outlineLvl w:val="0"/>
        <w:rPr>
          <w:rFonts w:hint="default" w:ascii="微软雅黑" w:eastAsia="微软雅黑"/>
          <w:b/>
          <w:sz w:val="24"/>
        </w:rPr>
      </w:pPr>
      <w:bookmarkStart w:id="4" w:name="_Toc376525879"/>
      <w:bookmarkStart w:id="5" w:name="_Toc396394739"/>
      <w:bookmarkStart w:id="6" w:name="_Toc396120140"/>
    </w:p>
    <w:p>
      <w:pPr>
        <w:spacing w:line="360" w:lineRule="auto"/>
        <w:outlineLvl w:val="0"/>
        <w:rPr>
          <w:rFonts w:hint="default" w:ascii="微软雅黑" w:eastAsia="微软雅黑"/>
          <w:b/>
          <w:sz w:val="24"/>
        </w:rPr>
      </w:pPr>
      <w:bookmarkStart w:id="7" w:name="_Toc481764180"/>
      <w:r>
        <w:rPr>
          <w:rFonts w:ascii="微软雅黑" w:eastAsia="微软雅黑"/>
          <w:b/>
          <w:sz w:val="24"/>
        </w:rPr>
        <w:t>二、在线</w:t>
      </w:r>
      <w:bookmarkEnd w:id="4"/>
      <w:bookmarkEnd w:id="5"/>
      <w:bookmarkEnd w:id="6"/>
      <w:bookmarkEnd w:id="7"/>
      <w:r>
        <w:rPr>
          <w:rFonts w:ascii="微软雅黑" w:eastAsia="微软雅黑"/>
          <w:b/>
          <w:sz w:val="24"/>
        </w:rPr>
        <w:t>报价</w:t>
      </w:r>
    </w:p>
    <w:p>
      <w:pPr>
        <w:spacing w:line="360" w:lineRule="auto"/>
        <w:outlineLvl w:val="0"/>
        <w:rPr>
          <w:rFonts w:hint="default" w:ascii="微软雅黑" w:eastAsia="微软雅黑"/>
          <w:b/>
          <w:sz w:val="24"/>
        </w:rPr>
      </w:pPr>
      <w:bookmarkStart w:id="8" w:name="_Toc481764181"/>
      <w:r>
        <w:rPr>
          <w:rFonts w:ascii="微软雅黑" w:eastAsia="微软雅黑"/>
          <w:b/>
          <w:sz w:val="24"/>
        </w:rPr>
        <w:t>（一） 采购公告</w:t>
      </w:r>
      <w:bookmarkEnd w:id="8"/>
    </w:p>
    <w:p>
      <w:pPr>
        <w:spacing w:line="360" w:lineRule="auto"/>
        <w:ind w:firstLine="480" w:firstLineChars="200"/>
        <w:rPr>
          <w:rFonts w:hint="default" w:ascii="微软雅黑" w:eastAsia="微软雅黑"/>
          <w:sz w:val="24"/>
        </w:rPr>
      </w:pPr>
      <w:r>
        <w:rPr>
          <w:rFonts w:ascii="微软雅黑" w:eastAsia="微软雅黑"/>
          <w:sz w:val="24"/>
        </w:rPr>
        <w:t>点击【采购公告】功能点，可通过【模糊匹配】来查询想要参与的标件，点击【公告标题】查看公告内容，同时可以关注采购项目，关注后的项目可通过采购信息中【只看关注】按钮快速找到。</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80025" cy="821690"/>
            <wp:effectExtent l="0" t="0" r="15875" b="165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cstate="print"/>
                    <a:stretch>
                      <a:fillRect/>
                    </a:stretch>
                  </pic:blipFill>
                  <pic:spPr>
                    <a:xfrm>
                      <a:off x="0" y="0"/>
                      <a:ext cx="5280025" cy="821690"/>
                    </a:xfrm>
                    <a:prstGeom prst="rect">
                      <a:avLst/>
                    </a:prstGeom>
                    <a:noFill/>
                    <a:ln w="9525">
                      <a:noFill/>
                    </a:ln>
                  </pic:spPr>
                </pic:pic>
              </a:graphicData>
            </a:graphic>
          </wp:inline>
        </w:drawing>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69230" cy="1357630"/>
            <wp:effectExtent l="0" t="0" r="7620"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cstate="print"/>
                    <a:stretch>
                      <a:fillRect/>
                    </a:stretch>
                  </pic:blipFill>
                  <pic:spPr>
                    <a:xfrm>
                      <a:off x="0" y="0"/>
                      <a:ext cx="5269230" cy="1357630"/>
                    </a:xfrm>
                    <a:prstGeom prst="rect">
                      <a:avLst/>
                    </a:prstGeom>
                    <a:noFill/>
                    <a:ln w="9525">
                      <a:noFill/>
                    </a:ln>
                  </pic:spPr>
                </pic:pic>
              </a:graphicData>
            </a:graphic>
          </wp:inline>
        </w:drawing>
      </w:r>
    </w:p>
    <w:p>
      <w:pPr>
        <w:spacing w:line="360" w:lineRule="auto"/>
        <w:rPr>
          <w:rFonts w:hint="default" w:ascii="微软雅黑" w:eastAsia="微软雅黑"/>
          <w:sz w:val="24"/>
        </w:rPr>
      </w:pPr>
      <w:bookmarkStart w:id="9" w:name="_Toc396394740"/>
      <w:bookmarkStart w:id="10" w:name="_Toc396120141"/>
      <w:bookmarkStart w:id="11" w:name="_Toc376525880"/>
    </w:p>
    <w:p>
      <w:pPr>
        <w:spacing w:line="360" w:lineRule="auto"/>
        <w:rPr>
          <w:rFonts w:hint="default" w:ascii="微软雅黑" w:eastAsia="微软雅黑"/>
          <w:b/>
          <w:sz w:val="24"/>
        </w:rPr>
      </w:pPr>
      <w:r>
        <w:rPr>
          <w:rFonts w:ascii="微软雅黑" w:eastAsia="微软雅黑"/>
          <w:b/>
          <w:sz w:val="24"/>
        </w:rPr>
        <w:t>（二）采购信息</w:t>
      </w:r>
      <w:bookmarkEnd w:id="9"/>
      <w:bookmarkEnd w:id="10"/>
      <w:bookmarkEnd w:id="11"/>
    </w:p>
    <w:p>
      <w:pPr>
        <w:spacing w:line="360" w:lineRule="auto"/>
        <w:ind w:firstLine="480" w:firstLineChars="200"/>
        <w:rPr>
          <w:rFonts w:hint="default" w:ascii="微软雅黑" w:eastAsia="微软雅黑"/>
          <w:sz w:val="24"/>
        </w:rPr>
      </w:pPr>
      <w:r>
        <w:rPr>
          <w:rFonts w:ascii="微软雅黑" w:eastAsia="微软雅黑"/>
          <w:sz w:val="24"/>
        </w:rPr>
        <w:t>点击【采购信息】功能点，找到想要报价的标后（对于在采购公告中关注过的项目可通过【只看关注】快速过滤），单击【采购名称】或【采购编号】，进入标的信息，选择具体的包件后，进入采购采购明细页面。首先进行响应和报价联系人的维护，如线下已向采购人缴纳标书费用，需联系采购人修改供应商标书费用缴纳状态，修改后供应商即可进行标书文件下载、提问、查看下载补遗文件、报价编辑以及上传报价文件等操作。具体步骤如下：</w:t>
      </w:r>
    </w:p>
    <w:p>
      <w:pPr>
        <w:spacing w:line="360" w:lineRule="auto"/>
        <w:ind w:firstLine="480" w:firstLineChars="200"/>
        <w:rPr>
          <w:rFonts w:hint="default" w:ascii="微软雅黑" w:eastAsia="微软雅黑"/>
          <w:sz w:val="24"/>
        </w:rPr>
      </w:pPr>
      <w:r>
        <w:rPr>
          <w:rFonts w:ascii="微软雅黑" w:eastAsia="微软雅黑"/>
          <w:sz w:val="24"/>
        </w:rPr>
        <w:t>1. 首先选择【采购编号】/【采购名称】，再选择【包件编号】/【包件名称】，进入采购采购明细界面，如图所示。</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876300"/>
            <wp:effectExtent l="0" t="0" r="1651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cstate="print"/>
                    <a:stretch>
                      <a:fillRect/>
                    </a:stretch>
                  </pic:blipFill>
                  <pic:spPr>
                    <a:xfrm>
                      <a:off x="0" y="0"/>
                      <a:ext cx="5279390" cy="876300"/>
                    </a:xfrm>
                    <a:prstGeom prst="rect">
                      <a:avLst/>
                    </a:prstGeom>
                    <a:noFill/>
                    <a:ln w="9525">
                      <a:noFill/>
                    </a:ln>
                  </pic:spPr>
                </pic:pic>
              </a:graphicData>
            </a:graphic>
          </wp:inline>
        </w:drawing>
      </w:r>
      <w:r>
        <w:rPr>
          <w:rFonts w:ascii="微软雅黑" w:eastAsia="微软雅黑"/>
          <w:sz w:val="24"/>
          <w:lang w:val="en-US"/>
        </w:rPr>
        <w:drawing>
          <wp:inline distT="0" distB="0" distL="114300" distR="114300">
            <wp:extent cx="5269230" cy="1033780"/>
            <wp:effectExtent l="0" t="0" r="7620" b="1397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2" cstate="print"/>
                    <a:stretch>
                      <a:fillRect/>
                    </a:stretch>
                  </pic:blipFill>
                  <pic:spPr>
                    <a:xfrm>
                      <a:off x="0" y="0"/>
                      <a:ext cx="5269230" cy="1033780"/>
                    </a:xfrm>
                    <a:prstGeom prst="rect">
                      <a:avLst/>
                    </a:prstGeom>
                    <a:noFill/>
                    <a:ln w="9525">
                      <a:noFill/>
                    </a:ln>
                  </pic:spPr>
                </pic:pic>
              </a:graphicData>
            </a:graphic>
          </wp:inline>
        </w:drawing>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231390"/>
            <wp:effectExtent l="0" t="0" r="16510" b="165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3" cstate="print"/>
                    <a:stretch>
                      <a:fillRect/>
                    </a:stretch>
                  </pic:blipFill>
                  <pic:spPr>
                    <a:xfrm>
                      <a:off x="0" y="0"/>
                      <a:ext cx="5279390" cy="223139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2、响应与报价联系人信息：维护联系人姓名、联系方式、密码（该密码用于保障供应商报价信息及报价文件保密，且开标后需供应商解锁后，采购人才能看到报价以及查看与下载报价文件）。提交联系人信息后，点击响应按钮进行响应（供应商响应后，采购方才能在“查看供应商”中查看到该供应商状态）。</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181860"/>
            <wp:effectExtent l="0" t="0" r="16510" b="889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4" cstate="print"/>
                    <a:stretch>
                      <a:fillRect/>
                    </a:stretch>
                  </pic:blipFill>
                  <pic:spPr>
                    <a:xfrm>
                      <a:off x="0" y="0"/>
                      <a:ext cx="5279390" cy="218186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3、供应商响应后，如已缴纳过标书费用，需联系采购人在“标书费用”页面修改该供应商标书费用状态，以允许其下载采购文件，标书费用状态变为“已缴纳”后，供应商可点击采购文件名称进行下载。</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1353820"/>
            <wp:effectExtent l="0" t="0" r="16510" b="1778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5" cstate="print"/>
                    <a:stretch>
                      <a:fillRect/>
                    </a:stretch>
                  </pic:blipFill>
                  <pic:spPr>
                    <a:xfrm>
                      <a:off x="0" y="0"/>
                      <a:ext cx="5279390" cy="135382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4、供应商可通过【澄清提问与补遗】功能点对采购人提问。</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289175"/>
            <wp:effectExtent l="0" t="0" r="16510" b="1587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6" cstate="print"/>
                    <a:stretch>
                      <a:fillRect/>
                    </a:stretch>
                  </pic:blipFill>
                  <pic:spPr>
                    <a:xfrm>
                      <a:off x="0" y="0"/>
                      <a:ext cx="5279390" cy="2289175"/>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5、澄清提问与补遗界面中，对于采购人发布的补遗文件，供应商需先下载，然后进行补遗确认。</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2317750"/>
            <wp:effectExtent l="0" t="0" r="16510" b="635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7" cstate="print"/>
                    <a:stretch>
                      <a:fillRect/>
                    </a:stretch>
                  </pic:blipFill>
                  <pic:spPr>
                    <a:xfrm>
                      <a:off x="0" y="0"/>
                      <a:ext cx="5279390" cy="231775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6、报价：供应商点击【编辑报价】，输入出厂单价和运杂费单价，系统会自动计算到站单价和到站合价；输入发站地。输入完成后，需点击【保存报价】才算有效报价。保存时，应核对系统自动合价金额是否与实际一致。</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9390" cy="1955165"/>
            <wp:effectExtent l="0" t="0" r="16510" b="698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8" cstate="print"/>
                    <a:stretch>
                      <a:fillRect/>
                    </a:stretch>
                  </pic:blipFill>
                  <pic:spPr>
                    <a:xfrm>
                      <a:off x="0" y="0"/>
                      <a:ext cx="5279390" cy="1955165"/>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7、报价文件：供应商上传报价文件。报价文件支持格式：doc、docs、jpg、pgeg、png，bmp，gif，pdf，ppt，pptx，rar，txt，xls，xlsx，zip，建议每个报价文件不大于50M。标书上传完成时，系统会提示上传文件大小，供应商需确定此文件大小是否与本地文件一致，以确保文件上传无误。</w:t>
      </w:r>
    </w:p>
    <w:p>
      <w:pPr>
        <w:spacing w:line="360" w:lineRule="auto"/>
        <w:rPr>
          <w:rFonts w:hint="default" w:ascii="微软雅黑" w:eastAsia="微软雅黑"/>
          <w:sz w:val="24"/>
        </w:rPr>
      </w:pPr>
      <w:r>
        <w:rPr>
          <w:rFonts w:ascii="微软雅黑" w:eastAsia="微软雅黑"/>
          <w:sz w:val="24"/>
          <w:lang w:val="en-US"/>
        </w:rPr>
        <w:drawing>
          <wp:inline distT="0" distB="0" distL="114300" distR="114300">
            <wp:extent cx="5271135" cy="1976120"/>
            <wp:effectExtent l="0" t="0" r="5715" b="508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9" cstate="print"/>
                    <a:stretch>
                      <a:fillRect/>
                    </a:stretch>
                  </pic:blipFill>
                  <pic:spPr>
                    <a:xfrm>
                      <a:off x="0" y="0"/>
                      <a:ext cx="5271135" cy="197612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rPr>
      </w:pPr>
    </w:p>
    <w:p>
      <w:pPr>
        <w:spacing w:line="360" w:lineRule="auto"/>
        <w:ind w:firstLine="480" w:firstLineChars="200"/>
        <w:rPr>
          <w:rFonts w:hint="default" w:ascii="微软雅黑" w:eastAsia="微软雅黑"/>
          <w:sz w:val="24"/>
        </w:rPr>
      </w:pPr>
      <w:r>
        <w:rPr>
          <w:rFonts w:ascii="微软雅黑" w:eastAsia="微软雅黑"/>
          <w:sz w:val="24"/>
        </w:rPr>
        <w:t>8、线上开标后，供应商应在采购方规定的时间内进行解锁。解锁后，采购方才能看到报价和报价文件。</w:t>
      </w:r>
    </w:p>
    <w:p>
      <w:pPr>
        <w:spacing w:line="360" w:lineRule="auto"/>
        <w:rPr>
          <w:rFonts w:hint="default" w:ascii="微软雅黑" w:eastAsia="微软雅黑"/>
          <w:sz w:val="24"/>
        </w:rPr>
      </w:pPr>
      <w:r>
        <w:rPr>
          <w:lang w:val="en-US"/>
        </w:rPr>
        <w:drawing>
          <wp:inline distT="0" distB="0" distL="114300" distR="114300">
            <wp:extent cx="7178040" cy="1877695"/>
            <wp:effectExtent l="0" t="0" r="3810" b="825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0" cstate="print"/>
                    <a:stretch>
                      <a:fillRect/>
                    </a:stretch>
                  </pic:blipFill>
                  <pic:spPr>
                    <a:xfrm>
                      <a:off x="0" y="0"/>
                      <a:ext cx="7178040" cy="1877695"/>
                    </a:xfrm>
                    <a:prstGeom prst="rect">
                      <a:avLst/>
                    </a:prstGeom>
                    <a:noFill/>
                    <a:ln w="9525">
                      <a:noFill/>
                    </a:ln>
                  </pic:spPr>
                </pic:pic>
              </a:graphicData>
            </a:graphic>
          </wp:inline>
        </w:drawing>
      </w:r>
    </w:p>
    <w:p>
      <w:pPr>
        <w:pStyle w:val="7"/>
        <w:numPr>
          <w:ilvl w:val="0"/>
          <w:numId w:val="1"/>
        </w:numPr>
        <w:rPr>
          <w:rFonts w:hint="default" w:ascii="微软雅黑" w:eastAsia="微软雅黑"/>
          <w:b/>
        </w:rPr>
      </w:pPr>
      <w:r>
        <w:rPr>
          <w:rFonts w:ascii="微软雅黑" w:eastAsia="微软雅黑"/>
          <w:b/>
        </w:rPr>
        <w:t>所有包件报价说明：供应商点击【编辑报价】，输入出厂单价和运杂费单价，系统会自动计算到站单价和到站合价。各报价单位在中国中铁电子商务采购平台报价时，保证电子商务平台报价总价与现场开标时报价文件中的“到站合价合计”相一致。</w:t>
      </w:r>
    </w:p>
    <w:p>
      <w:pPr>
        <w:pStyle w:val="7"/>
        <w:rPr>
          <w:rFonts w:hint="default" w:ascii="微软雅黑" w:eastAsia="微软雅黑"/>
          <w:b/>
        </w:rPr>
      </w:pPr>
      <w:r>
        <w:rPr>
          <w:rFonts w:ascii="微软雅黑" w:eastAsia="微软雅黑"/>
          <w:b/>
        </w:rPr>
        <w:t>电子商务平台报价单价平均价=现场开标报价总价/电子商务平台数量</w:t>
      </w:r>
    </w:p>
    <w:p>
      <w:pPr>
        <w:pStyle w:val="7"/>
        <w:rPr>
          <w:rFonts w:hint="default" w:ascii="微软雅黑" w:eastAsia="微软雅黑"/>
          <w:b/>
        </w:rPr>
      </w:pPr>
    </w:p>
    <w:p>
      <w:pPr>
        <w:pStyle w:val="7"/>
        <w:rPr>
          <w:rFonts w:hint="default" w:ascii="宋体" w:hAnsi="宋体" w:eastAsia="宋体"/>
          <w:b/>
        </w:rPr>
      </w:pPr>
    </w:p>
    <w:p>
      <w:pPr>
        <w:spacing w:line="360" w:lineRule="auto"/>
        <w:ind w:firstLine="480" w:firstLineChars="200"/>
        <w:rPr>
          <w:rFonts w:hint="default" w:ascii="微软雅黑" w:eastAsia="微软雅黑"/>
          <w:b/>
          <w:sz w:val="24"/>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tbl>
      <w:tblPr>
        <w:tblStyle w:val="4"/>
        <w:tblW w:w="9350" w:type="dxa"/>
        <w:jc w:val="center"/>
        <w:tblLayout w:type="fixed"/>
        <w:tblCellMar>
          <w:top w:w="0" w:type="dxa"/>
          <w:left w:w="0" w:type="dxa"/>
          <w:bottom w:w="0" w:type="dxa"/>
          <w:right w:w="0" w:type="dxa"/>
        </w:tblCellMar>
      </w:tblPr>
      <w:tblGrid>
        <w:gridCol w:w="1922"/>
        <w:gridCol w:w="2853"/>
        <w:gridCol w:w="2109"/>
        <w:gridCol w:w="2466"/>
      </w:tblGrid>
      <w:tr>
        <w:tblPrEx>
          <w:tblCellMar>
            <w:top w:w="0" w:type="dxa"/>
            <w:left w:w="0" w:type="dxa"/>
            <w:bottom w:w="0" w:type="dxa"/>
            <w:right w:w="0" w:type="dxa"/>
          </w:tblCellMar>
        </w:tblPrEx>
        <w:trPr>
          <w:trHeight w:val="720" w:hRule="atLeast"/>
          <w:jc w:val="center"/>
        </w:trPr>
        <w:tc>
          <w:tcPr>
            <w:tcW w:w="9350" w:type="dxa"/>
            <w:gridSpan w:val="4"/>
            <w:tcBorders>
              <w:top w:val="nil"/>
              <w:left w:val="nil"/>
              <w:bottom w:val="single" w:color="auto" w:sz="8" w:space="0"/>
              <w:right w:val="nil"/>
            </w:tcBorders>
            <w:tcMar>
              <w:top w:w="0" w:type="dxa"/>
              <w:left w:w="108" w:type="dxa"/>
              <w:bottom w:w="0" w:type="dxa"/>
              <w:right w:w="108" w:type="dxa"/>
            </w:tcMar>
            <w:vAlign w:val="center"/>
          </w:tcPr>
          <w:p>
            <w:pPr>
              <w:spacing w:before="100" w:line="400" w:lineRule="exact"/>
              <w:ind w:firstLine="562" w:firstLineChars="200"/>
              <w:outlineLvl w:val="1"/>
              <w:rPr>
                <w:rFonts w:hint="eastAsia" w:hAnsi="宋体" w:eastAsia="宋体"/>
                <w:b/>
                <w:color w:val="000000"/>
                <w:sz w:val="28"/>
                <w:szCs w:val="28"/>
                <w:lang w:eastAsia="zh-CN"/>
              </w:rPr>
            </w:pPr>
            <w:bookmarkStart w:id="12" w:name="_Toc388967684"/>
            <w:r>
              <w:rPr>
                <w:rFonts w:hAnsi="宋体"/>
                <w:b/>
                <w:color w:val="000000"/>
                <w:sz w:val="28"/>
                <w:szCs w:val="28"/>
              </w:rPr>
              <w:t>附表</w:t>
            </w:r>
            <w:bookmarkEnd w:id="12"/>
            <w:r>
              <w:rPr>
                <w:rFonts w:hint="eastAsia" w:hAnsi="宋体"/>
                <w:b/>
                <w:color w:val="000000"/>
                <w:sz w:val="28"/>
                <w:szCs w:val="28"/>
                <w:lang w:eastAsia="zh-CN"/>
              </w:rPr>
              <w:t>三：</w:t>
            </w:r>
          </w:p>
          <w:p>
            <w:pPr>
              <w:spacing w:before="100" w:line="400" w:lineRule="exact"/>
              <w:ind w:firstLine="562" w:firstLineChars="200"/>
              <w:jc w:val="center"/>
              <w:outlineLvl w:val="1"/>
              <w:rPr>
                <w:rFonts w:hint="default" w:hAnsi="宋体"/>
                <w:b/>
                <w:color w:val="000000"/>
                <w:sz w:val="28"/>
                <w:szCs w:val="28"/>
              </w:rPr>
            </w:pPr>
            <w:bookmarkStart w:id="13" w:name="_Toc388967685"/>
            <w:r>
              <w:rPr>
                <w:rFonts w:hAnsi="宋体"/>
                <w:b/>
                <w:color w:val="000000"/>
                <w:sz w:val="28"/>
                <w:szCs w:val="28"/>
              </w:rPr>
              <w:t>报价申请表</w:t>
            </w:r>
            <w:bookmarkEnd w:id="13"/>
          </w:p>
        </w:tc>
      </w:tr>
      <w:tr>
        <w:tblPrEx>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采购项目名称</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xml:space="preserve">采购文件物资名称 </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xml:space="preserve">采购文件采购编号 </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采购文件包件号</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p>
        </w:tc>
      </w:tr>
      <w:tr>
        <w:tblPrEx>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报价人单位名称：</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联系人</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xml:space="preserve">手 机 </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办公电话</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办公传真</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电子邮箱</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邮 编</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邮寄地址</w:t>
            </w:r>
          </w:p>
        </w:tc>
        <w:tc>
          <w:tcPr>
            <w:tcW w:w="4962" w:type="dxa"/>
            <w:gridSpan w:val="2"/>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声明</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采购文件为我公司自愿购买，如我公司资格条件不符合本项目报价人资格要求，相关责任由我公司自行承担。</w:t>
            </w:r>
          </w:p>
        </w:tc>
      </w:tr>
      <w:tr>
        <w:tblPrEx>
          <w:tblCellMar>
            <w:top w:w="0" w:type="dxa"/>
            <w:left w:w="0" w:type="dxa"/>
            <w:bottom w:w="0" w:type="dxa"/>
            <w:right w:w="0" w:type="dxa"/>
          </w:tblCellMar>
        </w:tblPrEx>
        <w:trPr>
          <w:trHeight w:val="825" w:hRule="atLeast"/>
          <w:jc w:val="center"/>
        </w:trPr>
        <w:tc>
          <w:tcPr>
            <w:tcW w:w="1922" w:type="dxa"/>
            <w:vMerge w:val="restart"/>
            <w:tcBorders>
              <w:top w:val="nil"/>
              <w:left w:val="single" w:color="auto" w:sz="8" w:space="0"/>
              <w:bottom w:val="single" w:color="000000"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购买人签字</w:t>
            </w:r>
          </w:p>
        </w:tc>
        <w:tc>
          <w:tcPr>
            <w:tcW w:w="7428" w:type="dxa"/>
            <w:gridSpan w:val="3"/>
            <w:tcBorders>
              <w:top w:val="nil"/>
              <w:left w:val="nil"/>
              <w:bottom w:val="nil"/>
              <w:right w:val="single" w:color="000000"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rPr>
            </w:pPr>
            <w:r>
              <w:rPr>
                <w:rFonts w:ascii="ˎ̥" w:hAnsi="ˎ̥" w:cs="宋体"/>
                <w:szCs w:val="21"/>
              </w:rPr>
              <w:t>　</w:t>
            </w:r>
          </w:p>
        </w:tc>
      </w:tr>
      <w:tr>
        <w:tblPrEx>
          <w:tblCellMar>
            <w:top w:w="0" w:type="dxa"/>
            <w:left w:w="0" w:type="dxa"/>
            <w:bottom w:w="0" w:type="dxa"/>
            <w:right w:w="0" w:type="dxa"/>
          </w:tblCellMar>
        </w:tblPrEx>
        <w:trPr>
          <w:trHeight w:val="825" w:hRule="atLeast"/>
          <w:jc w:val="center"/>
        </w:trPr>
        <w:tc>
          <w:tcPr>
            <w:tcW w:w="1922" w:type="dxa"/>
            <w:vMerge w:val="continue"/>
            <w:tcBorders>
              <w:top w:val="nil"/>
              <w:left w:val="single" w:color="auto" w:sz="8" w:space="0"/>
              <w:bottom w:val="single" w:color="000000" w:sz="8" w:space="0"/>
              <w:right w:val="single" w:color="auto" w:sz="8" w:space="0"/>
            </w:tcBorders>
            <w:vAlign w:val="center"/>
          </w:tcPr>
          <w:p>
            <w:pPr>
              <w:widowControl/>
              <w:jc w:val="left"/>
              <w:rPr>
                <w:rFonts w:hint="default" w:ascii="ˎ̥" w:hAnsi="ˎ̥" w:cs="宋体"/>
                <w:szCs w:val="21"/>
              </w:rPr>
            </w:pPr>
          </w:p>
        </w:tc>
        <w:tc>
          <w:tcPr>
            <w:tcW w:w="2853"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　</w:t>
            </w:r>
          </w:p>
        </w:tc>
        <w:tc>
          <w:tcPr>
            <w:tcW w:w="246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年  月  日</w:t>
            </w:r>
          </w:p>
        </w:tc>
      </w:tr>
      <w:tr>
        <w:tblPrEx>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如个人汇款，此栏请填写汇款人姓名</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rPr>
            </w:pPr>
            <w:r>
              <w:rPr>
                <w:rFonts w:ascii="ˎ̥" w:hAnsi="ˎ̥" w:cs="宋体"/>
                <w:szCs w:val="21"/>
              </w:rPr>
              <w:t>　</w:t>
            </w:r>
          </w:p>
        </w:tc>
      </w:tr>
    </w:tbl>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pPr>
        <w:widowControl/>
        <w:rPr>
          <w:rFonts w:hint="default" w:asciiTheme="minorEastAsia" w:hAnsiTheme="minorEastAsia" w:eastAsiaTheme="minorEastAsia"/>
          <w:sz w:val="21"/>
          <w:szCs w:val="21"/>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21FDA"/>
    <w:multiLevelType w:val="singleLevel"/>
    <w:tmpl w:val="59C21FDA"/>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6F3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jc w:val="both"/>
    </w:pPr>
    <w:rPr>
      <w:rFonts w:hint="eastAsia" w:ascii="宋体" w:hAnsi="Calibri" w:eastAsia="宋体" w:cs="Times New Roman"/>
      <w:lang w:val="zh-CN" w:eastAsia="zh-CN" w:bidi="ar-SA"/>
    </w:rPr>
  </w:style>
  <w:style w:type="paragraph" w:styleId="2">
    <w:name w:val="heading 2"/>
    <w:basedOn w:val="1"/>
    <w:next w:val="1"/>
    <w:unhideWhenUsed/>
    <w:qFormat/>
    <w:uiPriority w:val="9"/>
    <w:pPr>
      <w:keepNext/>
      <w:keepLines/>
      <w:spacing w:before="260" w:after="260" w:line="408" w:lineRule="auto"/>
      <w:outlineLvl w:val="1"/>
    </w:pPr>
    <w:rPr>
      <w:rFonts w:ascii="Cambria" w:hAnsi="Cambria"/>
      <w:b/>
      <w:sz w:val="32"/>
    </w:rPr>
  </w:style>
  <w:style w:type="paragraph" w:styleId="3">
    <w:name w:val="heading 3"/>
    <w:basedOn w:val="1"/>
    <w:next w:val="1"/>
    <w:unhideWhenUsed/>
    <w:qFormat/>
    <w:uiPriority w:val="9"/>
    <w:pPr>
      <w:keepNext/>
      <w:keepLines/>
      <w:spacing w:before="260" w:after="260" w:line="408" w:lineRule="auto"/>
      <w:outlineLvl w:val="2"/>
    </w:pPr>
    <w:rPr>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6">
    <w:name w:val="Hyperlink"/>
    <w:unhideWhenUsed/>
    <w:qFormat/>
    <w:uiPriority w:val="99"/>
    <w:rPr>
      <w:rFonts w:hint="default" w:ascii="Times New Roman"/>
      <w:color w:val="0000FF"/>
      <w:u w:val="single"/>
    </w:rPr>
  </w:style>
  <w:style w:type="paragraph" w:customStyle="1" w:styleId="7">
    <w:name w:val="样式 标题 3 + (中文) 黑体 小四 非加粗 段前: 7.8 磅 段后: 0 磅 行距: 固定值 20 磅"/>
    <w:basedOn w:val="3"/>
    <w:unhideWhenUsed/>
    <w:qFormat/>
    <w:uiPriority w:val="0"/>
    <w:pPr>
      <w:spacing w:before="0" w:after="0" w:line="400" w:lineRule="exact"/>
    </w:pPr>
    <w:rPr>
      <w:rFonts w:ascii="Times New Roman" w:hAnsi="Times New Roman" w:eastAsia="黑体"/>
      <w:b w:val="0"/>
      <w:sz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2019-11-14T10:31:02Z</dcterms:created>
  <dc:creator>Administrator.USER-20170608UH</dc:creator>
  <cp:lastModifiedBy>大龙</cp:lastModifiedBy>
  <dcterms:modified xsi:type="dcterms:W3CDTF">2019-11-14T10:31:29Z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