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right"/>
        <w:rPr>
          <w:rFonts w:hint="default" w:ascii="新宋体" w:hAnsi="新宋体" w:eastAsia="仿宋_GB2312"/>
          <w:b/>
          <w:sz w:val="21"/>
          <w:szCs w:val="21"/>
          <w:highlight w:val="none"/>
          <w:lang w:val="en-US" w:eastAsia="zh-CN"/>
        </w:rPr>
      </w:pPr>
      <w:r>
        <w:rPr>
          <w:rFonts w:hint="eastAsia" w:ascii="新宋体" w:hAnsi="新宋体" w:eastAsia="新宋体"/>
          <w:b/>
          <w:sz w:val="22"/>
          <w:szCs w:val="22"/>
          <w:highlight w:val="none"/>
          <w:lang w:eastAsia="zh-CN"/>
        </w:rPr>
        <w:t>招标编号：</w:t>
      </w:r>
      <w:r>
        <w:rPr>
          <w:rFonts w:hint="eastAsia" w:ascii="仿宋_GB2312" w:hAnsi="仿宋" w:eastAsia="仿宋_GB2312"/>
          <w:sz w:val="24"/>
          <w:szCs w:val="24"/>
        </w:rPr>
        <w:t>CSCEC2B-YGS-CDWD(</w:t>
      </w:r>
      <w:r>
        <w:rPr>
          <w:rFonts w:hint="eastAsia" w:ascii="仿宋_GB2312" w:hAnsi="仿宋" w:eastAsia="仿宋_GB2312"/>
          <w:sz w:val="24"/>
          <w:szCs w:val="24"/>
          <w:lang w:eastAsia="zh-CN"/>
        </w:rPr>
        <w:t>C-4-1</w:t>
      </w:r>
      <w:r>
        <w:rPr>
          <w:rFonts w:hint="eastAsia" w:ascii="仿宋_GB2312" w:hAnsi="仿宋" w:eastAsia="仿宋_GB2312"/>
          <w:sz w:val="24"/>
          <w:szCs w:val="24"/>
        </w:rPr>
        <w:t>)-CGZb-XN201</w:t>
      </w:r>
      <w:r>
        <w:rPr>
          <w:rFonts w:hint="eastAsia" w:ascii="仿宋_GB2312" w:hAnsi="仿宋" w:eastAsia="仿宋_GB2312"/>
          <w:sz w:val="24"/>
          <w:szCs w:val="24"/>
          <w:lang w:val="en-US" w:eastAsia="zh-CN"/>
        </w:rPr>
        <w:t>9022</w:t>
      </w:r>
    </w:p>
    <w:p>
      <w:pPr>
        <w:snapToGrid w:val="0"/>
        <w:spacing w:line="360" w:lineRule="auto"/>
        <w:jc w:val="center"/>
        <w:rPr>
          <w:rFonts w:hint="eastAsia" w:ascii="新宋体" w:hAnsi="新宋体" w:eastAsia="新宋体"/>
          <w:b/>
          <w:sz w:val="22"/>
          <w:szCs w:val="22"/>
          <w:highlight w:val="none"/>
          <w:lang w:eastAsia="zh-CN"/>
        </w:rPr>
      </w:pPr>
    </w:p>
    <w:p>
      <w:pPr>
        <w:snapToGrid w:val="0"/>
        <w:spacing w:line="360" w:lineRule="auto"/>
        <w:jc w:val="center"/>
        <w:rPr>
          <w:rFonts w:hint="eastAsia" w:ascii="新宋体" w:hAnsi="新宋体" w:eastAsia="新宋体"/>
          <w:b/>
          <w:sz w:val="36"/>
          <w:szCs w:val="36"/>
          <w:highlight w:val="none"/>
        </w:rPr>
      </w:pPr>
    </w:p>
    <w:p>
      <w:pPr>
        <w:snapToGrid w:val="0"/>
        <w:spacing w:line="360" w:lineRule="auto"/>
        <w:jc w:val="center"/>
        <w:rPr>
          <w:rFonts w:hint="eastAsia" w:ascii="新宋体" w:hAnsi="新宋体" w:eastAsia="新宋体"/>
          <w:b/>
          <w:sz w:val="36"/>
          <w:szCs w:val="36"/>
          <w:highlight w:val="none"/>
        </w:rPr>
      </w:pPr>
    </w:p>
    <w:p>
      <w:pPr>
        <w:snapToGrid w:val="0"/>
        <w:spacing w:line="360" w:lineRule="auto"/>
        <w:jc w:val="center"/>
        <w:rPr>
          <w:rFonts w:ascii="新宋体" w:hAnsi="新宋体" w:eastAsia="新宋体"/>
          <w:b/>
          <w:sz w:val="36"/>
          <w:szCs w:val="36"/>
          <w:highlight w:val="none"/>
        </w:rPr>
      </w:pPr>
      <w:r>
        <w:rPr>
          <w:rFonts w:hint="eastAsia" w:ascii="新宋体" w:hAnsi="新宋体" w:eastAsia="新宋体"/>
          <w:b/>
          <w:sz w:val="36"/>
          <w:szCs w:val="36"/>
          <w:highlight w:val="none"/>
        </w:rPr>
        <w:t>中建二局第一建筑工程有限公司</w:t>
      </w:r>
    </w:p>
    <w:p>
      <w:pPr>
        <w:widowControl w:val="0"/>
        <w:shd w:val="clear" w:color="auto" w:fill="auto"/>
        <w:snapToGrid w:val="0"/>
        <w:spacing w:line="360" w:lineRule="auto"/>
        <w:ind w:firstLine="0" w:firstLineChars="0"/>
        <w:jc w:val="center"/>
        <w:rPr>
          <w:rFonts w:hint="eastAsia" w:ascii="新宋体" w:hAnsi="新宋体" w:eastAsia="新宋体" w:cs="Times New Roman"/>
          <w:b/>
          <w:kern w:val="2"/>
          <w:sz w:val="36"/>
          <w:szCs w:val="36"/>
          <w:highlight w:val="none"/>
        </w:rPr>
      </w:pPr>
      <w:r>
        <w:rPr>
          <w:rFonts w:hint="eastAsia" w:ascii="新宋体" w:hAnsi="新宋体" w:eastAsia="新宋体"/>
          <w:b/>
          <w:sz w:val="36"/>
          <w:szCs w:val="36"/>
          <w:highlight w:val="none"/>
          <w:lang w:eastAsia="zh-CN"/>
        </w:rPr>
        <w:t>成都万达城C-4-1地块开发建设项目</w:t>
      </w:r>
      <w:r>
        <w:rPr>
          <w:rFonts w:hint="eastAsia" w:ascii="新宋体" w:hAnsi="新宋体" w:eastAsia="新宋体"/>
          <w:b/>
          <w:sz w:val="36"/>
          <w:szCs w:val="36"/>
          <w:highlight w:val="none"/>
          <w:lang w:val="en-US" w:eastAsia="zh-CN"/>
        </w:rPr>
        <w:t>电缆线采购</w:t>
      </w:r>
      <w:r>
        <w:rPr>
          <w:rFonts w:hint="eastAsia" w:ascii="新宋体" w:hAnsi="新宋体" w:eastAsia="新宋体" w:cs="Times New Roman"/>
          <w:b/>
          <w:kern w:val="2"/>
          <w:sz w:val="36"/>
          <w:szCs w:val="36"/>
          <w:highlight w:val="none"/>
        </w:rPr>
        <w:t>招标公告</w:t>
      </w:r>
    </w:p>
    <w:p>
      <w:pPr>
        <w:widowControl w:val="0"/>
        <w:shd w:val="clear" w:color="auto" w:fill="auto"/>
        <w:snapToGrid w:val="0"/>
        <w:spacing w:line="360" w:lineRule="auto"/>
        <w:ind w:firstLine="0" w:firstLineChars="0"/>
        <w:jc w:val="center"/>
        <w:rPr>
          <w:rFonts w:hint="eastAsia" w:ascii="新宋体" w:hAnsi="新宋体" w:eastAsia="新宋体" w:cs="Times New Roman"/>
          <w:b/>
          <w:kern w:val="2"/>
          <w:sz w:val="36"/>
          <w:szCs w:val="36"/>
          <w:highlight w:val="none"/>
        </w:rPr>
      </w:pPr>
    </w:p>
    <w:p>
      <w:pPr>
        <w:widowControl/>
        <w:shd w:val="clear" w:color="auto" w:fill="FFFFFF"/>
        <w:rPr>
          <w:rFonts w:ascii="宋体"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0" w:firstLineChars="0"/>
        <w:textAlignment w:val="auto"/>
        <w:rPr>
          <w:rFonts w:ascii="宋体" w:hAnsi="宋体"/>
          <w:kern w:val="0"/>
          <w:sz w:val="28"/>
          <w:szCs w:val="28"/>
        </w:rPr>
      </w:pPr>
      <w:r>
        <w:rPr>
          <w:rFonts w:hint="eastAsia" w:ascii="宋体" w:cs="宋体"/>
          <w:kern w:val="0"/>
          <w:sz w:val="24"/>
          <w:szCs w:val="24"/>
          <w:lang w:val="en-US" w:eastAsia="zh-CN"/>
        </w:rPr>
        <w:t xml:space="preserve">    </w:t>
      </w:r>
      <w:r>
        <w:rPr>
          <w:rFonts w:hint="eastAsia" w:ascii="宋体" w:hAnsi="宋体"/>
          <w:kern w:val="0"/>
          <w:sz w:val="28"/>
          <w:szCs w:val="28"/>
        </w:rPr>
        <w:t>为满足我公司</w:t>
      </w:r>
      <w:r>
        <w:rPr>
          <w:rFonts w:hint="eastAsia" w:ascii="宋体" w:hAnsi="宋体"/>
          <w:b w:val="0"/>
          <w:kern w:val="0"/>
          <w:sz w:val="28"/>
          <w:szCs w:val="28"/>
          <w:lang w:eastAsia="zh-CN"/>
        </w:rPr>
        <w:t>成都万达城C-4-1地块开发建设项目</w:t>
      </w:r>
      <w:r>
        <w:rPr>
          <w:rFonts w:hint="eastAsia" w:ascii="宋体" w:hAnsi="宋体"/>
          <w:kern w:val="0"/>
          <w:sz w:val="28"/>
          <w:szCs w:val="28"/>
        </w:rPr>
        <w:t>生产需要，现就</w:t>
      </w:r>
      <w:r>
        <w:rPr>
          <w:rFonts w:hint="eastAsia" w:ascii="宋体" w:hAnsi="宋体"/>
          <w:b w:val="0"/>
          <w:kern w:val="0"/>
          <w:sz w:val="28"/>
          <w:szCs w:val="28"/>
          <w:highlight w:val="none"/>
          <w:lang w:val="en-US" w:eastAsia="zh-CN"/>
        </w:rPr>
        <w:t>电缆线采购</w:t>
      </w:r>
      <w:r>
        <w:rPr>
          <w:rFonts w:hint="eastAsia" w:ascii="宋体" w:hAnsi="宋体"/>
          <w:kern w:val="0"/>
          <w:sz w:val="28"/>
          <w:szCs w:val="28"/>
        </w:rPr>
        <w:t>进行公开招标，诚邀合格的投标人参与报名，具体要求如下：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6" w:beforeLines="50" w:after="156" w:afterLines="50" w:line="500" w:lineRule="exact"/>
        <w:ind w:firstLine="601"/>
        <w:jc w:val="left"/>
        <w:textAlignment w:val="auto"/>
        <w:rPr>
          <w:rFonts w:hint="eastAsia" w:ascii="宋体" w:hAnsi="宋体" w:eastAsia="宋体"/>
          <w:b/>
          <w:kern w:val="0"/>
          <w:sz w:val="28"/>
          <w:szCs w:val="28"/>
          <w:lang w:val="en-US" w:eastAsia="zh-CN"/>
        </w:rPr>
      </w:pPr>
      <w:r>
        <w:rPr>
          <w:rFonts w:hint="eastAsia" w:ascii="宋体" w:hAnsi="宋体"/>
          <w:b/>
          <w:kern w:val="0"/>
          <w:sz w:val="28"/>
          <w:szCs w:val="28"/>
        </w:rPr>
        <w:t>基本情况</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156" w:beforeLines="50" w:after="156" w:afterLines="50" w:line="500" w:lineRule="exact"/>
        <w:ind w:firstLine="0"/>
        <w:jc w:val="left"/>
        <w:textAlignment w:val="auto"/>
        <w:rPr>
          <w:rFonts w:ascii="宋体" w:hAnsi="宋体"/>
          <w:kern w:val="0"/>
          <w:sz w:val="28"/>
          <w:szCs w:val="28"/>
        </w:rPr>
      </w:pPr>
      <w:r>
        <w:rPr>
          <w:rFonts w:hint="eastAsia" w:ascii="宋体" w:hAnsi="宋体"/>
          <w:b/>
          <w:kern w:val="0"/>
          <w:sz w:val="28"/>
          <w:szCs w:val="28"/>
          <w:lang w:val="en-US" w:eastAsia="zh-CN"/>
        </w:rPr>
        <w:t xml:space="preserve">    </w:t>
      </w:r>
      <w:r>
        <w:rPr>
          <w:rFonts w:hint="eastAsia" w:ascii="宋体" w:hAnsi="宋体"/>
          <w:b w:val="0"/>
          <w:bCs/>
          <w:kern w:val="0"/>
          <w:sz w:val="28"/>
          <w:szCs w:val="28"/>
          <w:lang w:val="en-US" w:eastAsia="zh-CN"/>
        </w:rPr>
        <w:t>1、</w:t>
      </w:r>
      <w:r>
        <w:rPr>
          <w:rFonts w:hint="eastAsia" w:ascii="宋体" w:hAnsi="宋体"/>
          <w:kern w:val="0"/>
          <w:sz w:val="28"/>
          <w:szCs w:val="28"/>
        </w:rPr>
        <w:t>招标组织：中建二局第一建筑工程有限公司</w:t>
      </w:r>
      <w:r>
        <w:rPr>
          <w:rFonts w:hint="eastAsia" w:ascii="宋体" w:hAnsi="宋体" w:cs="Times New Roman"/>
          <w:b w:val="0"/>
          <w:kern w:val="0"/>
          <w:sz w:val="28"/>
          <w:szCs w:val="28"/>
          <w:lang w:eastAsia="zh-CN"/>
        </w:rPr>
        <w:t>成都万达城C-4-1地块开发建设项目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rPr>
          <w:rFonts w:ascii="宋体" w:hAnsi="宋体"/>
          <w:kern w:val="0"/>
          <w:sz w:val="28"/>
          <w:szCs w:val="28"/>
        </w:rPr>
      </w:pPr>
      <w:r>
        <w:rPr>
          <w:rFonts w:ascii="宋体" w:hAnsi="宋体"/>
          <w:kern w:val="0"/>
          <w:sz w:val="28"/>
          <w:szCs w:val="28"/>
        </w:rPr>
        <w:t>2</w:t>
      </w:r>
      <w:r>
        <w:rPr>
          <w:rFonts w:hint="eastAsia" w:ascii="宋体" w:hAnsi="宋体"/>
          <w:kern w:val="0"/>
          <w:sz w:val="28"/>
          <w:szCs w:val="28"/>
        </w:rPr>
        <w:t>、招标范围：</w:t>
      </w:r>
      <w:r>
        <w:rPr>
          <w:rFonts w:hint="eastAsia" w:ascii="宋体" w:hAnsi="宋体"/>
          <w:kern w:val="0"/>
          <w:sz w:val="28"/>
          <w:szCs w:val="28"/>
          <w:lang w:eastAsia="zh-CN"/>
        </w:rPr>
        <w:t>成都万达城C-4-1地块开发建设项目</w:t>
      </w:r>
      <w:r>
        <w:rPr>
          <w:rFonts w:hint="eastAsia" w:ascii="宋体" w:hAnsi="宋体"/>
          <w:kern w:val="0"/>
          <w:sz w:val="28"/>
          <w:szCs w:val="28"/>
          <w:lang w:val="en-US" w:eastAsia="zh-CN"/>
        </w:rPr>
        <w:t>电缆线</w:t>
      </w:r>
      <w:r>
        <w:rPr>
          <w:rFonts w:hint="eastAsia" w:ascii="宋体" w:hAnsi="宋体" w:cs="Times New Roman"/>
          <w:b w:val="0"/>
          <w:kern w:val="0"/>
          <w:sz w:val="28"/>
          <w:szCs w:val="28"/>
          <w:lang w:val="en-US" w:eastAsia="zh-CN"/>
        </w:rPr>
        <w:t>采购</w:t>
      </w:r>
      <w:r>
        <w:rPr>
          <w:rFonts w:hint="eastAsia" w:ascii="宋体" w:hAnsi="宋体" w:cs="Times New Roman"/>
          <w:b w:val="0"/>
          <w:kern w:val="0"/>
          <w:sz w:val="28"/>
          <w:szCs w:val="28"/>
          <w:lang w:eastAsia="zh-CN"/>
        </w:rPr>
        <w:t>招标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00"/>
        <w:jc w:val="left"/>
        <w:textAlignment w:val="auto"/>
        <w:rPr>
          <w:rFonts w:hint="eastAsia" w:ascii="Calibri" w:hAnsi="Calibri" w:eastAsia="宋体"/>
          <w:color w:val="auto"/>
          <w:sz w:val="28"/>
          <w:szCs w:val="28"/>
          <w:lang w:val="en-US" w:eastAsia="zh-CN"/>
        </w:rPr>
      </w:pPr>
      <w:r>
        <w:rPr>
          <w:rFonts w:hint="eastAsia"/>
          <w:sz w:val="28"/>
          <w:szCs w:val="28"/>
        </w:rPr>
        <w:t>3项目地址：</w:t>
      </w:r>
      <w:bookmarkStart w:id="0" w:name="OLE_LINK19"/>
      <w:r>
        <w:rPr>
          <w:rFonts w:hint="eastAsia" w:ascii="Calibri" w:hAnsi="Calibri" w:eastAsia="宋体"/>
          <w:color w:val="auto"/>
          <w:sz w:val="28"/>
          <w:szCs w:val="28"/>
        </w:rPr>
        <w:t>四川省成都市都江堰市玉堂镇</w:t>
      </w:r>
      <w:bookmarkEnd w:id="0"/>
      <w:r>
        <w:rPr>
          <w:rFonts w:hint="eastAsia"/>
          <w:sz w:val="28"/>
          <w:szCs w:val="28"/>
        </w:rPr>
        <w:t>青城桥社区</w:t>
      </w:r>
      <w:r>
        <w:rPr>
          <w:rFonts w:hint="eastAsia"/>
          <w:color w:val="auto"/>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00"/>
        <w:jc w:val="left"/>
        <w:textAlignment w:val="auto"/>
        <w:rPr>
          <w:rFonts w:ascii="宋体"/>
          <w:kern w:val="0"/>
          <w:sz w:val="28"/>
          <w:szCs w:val="28"/>
        </w:rPr>
      </w:pPr>
      <w:r>
        <w:rPr>
          <w:rFonts w:hint="eastAsia"/>
          <w:sz w:val="28"/>
          <w:szCs w:val="28"/>
        </w:rPr>
        <w:t>4、项目规模：</w:t>
      </w:r>
      <w:r>
        <w:rPr>
          <w:rFonts w:hint="eastAsia"/>
          <w:b/>
          <w:bCs/>
          <w:sz w:val="28"/>
          <w:szCs w:val="28"/>
        </w:rPr>
        <w:t> </w:t>
      </w:r>
      <w:r>
        <w:rPr>
          <w:rFonts w:hint="eastAsia"/>
          <w:sz w:val="28"/>
          <w:szCs w:val="28"/>
        </w:rPr>
        <w:t> 建筑面积约</w:t>
      </w:r>
      <w:r>
        <w:rPr>
          <w:rFonts w:hint="eastAsia"/>
          <w:sz w:val="28"/>
          <w:szCs w:val="28"/>
          <w:u w:val="single"/>
          <w:lang w:val="en-US" w:eastAsia="zh-CN"/>
        </w:rPr>
        <w:t>5.5</w:t>
      </w:r>
      <w:r>
        <w:rPr>
          <w:rFonts w:hint="eastAsia" w:ascii="宋体" w:hAnsi="宋体"/>
          <w:sz w:val="28"/>
          <w:szCs w:val="28"/>
          <w:u w:val="single"/>
          <w:lang w:val="en-US" w:eastAsia="zh-CN"/>
        </w:rPr>
        <w:t>万</w:t>
      </w:r>
      <w:r>
        <w:rPr>
          <w:rFonts w:hint="eastAsia" w:ascii="宋体" w:hAnsi="宋体"/>
          <w:sz w:val="28"/>
          <w:szCs w:val="28"/>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beforeLines="50" w:after="156" w:afterLines="50" w:line="500" w:lineRule="exact"/>
        <w:ind w:firstLine="560" w:firstLineChars="200"/>
        <w:jc w:val="left"/>
        <w:textAlignment w:val="auto"/>
        <w:rPr>
          <w:rFonts w:ascii="宋体" w:hAnsi="宋体"/>
          <w:kern w:val="0"/>
          <w:sz w:val="28"/>
          <w:szCs w:val="28"/>
        </w:rPr>
      </w:pPr>
      <w:r>
        <w:rPr>
          <w:rFonts w:hint="eastAsia" w:ascii="宋体" w:hAnsi="宋体"/>
          <w:kern w:val="0"/>
          <w:sz w:val="28"/>
          <w:szCs w:val="28"/>
        </w:rPr>
        <w:t>5、招标内容：</w:t>
      </w:r>
      <w:r>
        <w:rPr>
          <w:rFonts w:hint="eastAsia" w:ascii="宋体" w:hAnsi="宋体"/>
          <w:kern w:val="0"/>
          <w:sz w:val="28"/>
          <w:szCs w:val="28"/>
          <w:lang w:eastAsia="zh-CN"/>
        </w:rPr>
        <w:t>成都万达城C-4-1地块开发建设项目</w:t>
      </w:r>
      <w:r>
        <w:rPr>
          <w:rFonts w:hint="eastAsia" w:ascii="宋体" w:hAnsi="宋体"/>
          <w:kern w:val="0"/>
          <w:sz w:val="28"/>
          <w:szCs w:val="28"/>
        </w:rPr>
        <w:t>生产所需临建</w:t>
      </w:r>
      <w:bookmarkStart w:id="18" w:name="_GoBack"/>
      <w:bookmarkEnd w:id="18"/>
      <w:r>
        <w:rPr>
          <w:rFonts w:hint="eastAsia" w:ascii="宋体" w:hAnsi="宋体" w:cs="Times New Roman"/>
          <w:b w:val="0"/>
          <w:kern w:val="0"/>
          <w:sz w:val="28"/>
          <w:szCs w:val="28"/>
          <w:lang w:val="en-US" w:eastAsia="zh-CN"/>
        </w:rPr>
        <w:t xml:space="preserve">电缆线 物资暂估工程量：6585米 </w:t>
      </w:r>
      <w:r>
        <w:rPr>
          <w:rFonts w:hint="eastAsia" w:ascii="宋体" w:hAnsi="宋体"/>
          <w:color w:val="auto"/>
          <w:kern w:val="0"/>
          <w:sz w:val="28"/>
          <w:szCs w:val="28"/>
          <w:highlight w:val="none"/>
        </w:rPr>
        <w:t>，实际数量以</w:t>
      </w:r>
      <w:r>
        <w:rPr>
          <w:rFonts w:hint="eastAsia" w:ascii="宋体" w:hAnsi="宋体"/>
          <w:kern w:val="0"/>
          <w:sz w:val="28"/>
          <w:szCs w:val="28"/>
          <w:lang w:eastAsia="zh-CN"/>
        </w:rPr>
        <w:t>成都万达城C-4-1地块开发建设项目</w:t>
      </w:r>
      <w:r>
        <w:rPr>
          <w:rFonts w:hint="eastAsia" w:ascii="宋体" w:hAnsi="宋体" w:cs="Times New Roman"/>
          <w:b w:val="0"/>
          <w:kern w:val="0"/>
          <w:sz w:val="28"/>
          <w:szCs w:val="28"/>
          <w:lang w:val="en-US" w:eastAsia="zh-CN"/>
        </w:rPr>
        <w:t>电缆线采购</w:t>
      </w:r>
      <w:r>
        <w:rPr>
          <w:rFonts w:hint="eastAsia" w:ascii="宋体" w:hAnsi="宋体" w:cs="Times New Roman"/>
          <w:b w:val="0"/>
          <w:kern w:val="0"/>
          <w:sz w:val="28"/>
          <w:szCs w:val="28"/>
          <w:lang w:eastAsia="zh-CN"/>
        </w:rPr>
        <w:t>招标报价单内数量为准。</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after="156" w:afterLines="50" w:line="500" w:lineRule="exact"/>
        <w:ind w:firstLine="601"/>
        <w:jc w:val="left"/>
        <w:textAlignment w:val="auto"/>
        <w:rPr>
          <w:rFonts w:ascii="宋体"/>
          <w:b/>
          <w:kern w:val="0"/>
          <w:sz w:val="28"/>
          <w:szCs w:val="28"/>
        </w:rPr>
      </w:pPr>
      <w:r>
        <w:rPr>
          <w:rFonts w:hint="eastAsia" w:ascii="宋体" w:hAnsi="宋体"/>
          <w:b/>
          <w:kern w:val="0"/>
          <w:sz w:val="28"/>
          <w:szCs w:val="28"/>
        </w:rPr>
        <w:t>二、投标人资格要求</w:t>
      </w:r>
    </w:p>
    <w:p>
      <w:pPr>
        <w:keepNext w:val="0"/>
        <w:keepLines w:val="0"/>
        <w:pageBreakBefore w:val="0"/>
        <w:kinsoku/>
        <w:wordWrap/>
        <w:overflowPunct/>
        <w:topLinePunct w:val="0"/>
        <w:autoSpaceDE/>
        <w:autoSpaceDN/>
        <w:bidi w:val="0"/>
        <w:adjustRightInd/>
        <w:snapToGrid/>
        <w:spacing w:before="156" w:beforeLines="50" w:after="156" w:afterLines="50" w:line="500" w:lineRule="exact"/>
        <w:ind w:firstLine="560" w:firstLineChars="200"/>
        <w:textAlignment w:val="auto"/>
        <w:outlineLvl w:val="2"/>
        <w:rPr>
          <w:rFonts w:hint="eastAsia" w:ascii="宋体" w:hAnsi="宋体" w:cs="Calibri"/>
          <w:bCs/>
          <w:sz w:val="28"/>
          <w:szCs w:val="28"/>
        </w:rPr>
      </w:pPr>
      <w:bookmarkStart w:id="1" w:name="_Toc403051837"/>
      <w:bookmarkStart w:id="2" w:name="_Toc396288067"/>
      <w:bookmarkStart w:id="3" w:name="_Toc396294859"/>
      <w:bookmarkStart w:id="4" w:name="_Toc407185215"/>
      <w:r>
        <w:rPr>
          <w:rFonts w:ascii="宋体" w:hAnsi="宋体" w:cs="Calibri"/>
          <w:bCs/>
          <w:sz w:val="28"/>
          <w:szCs w:val="28"/>
        </w:rPr>
        <w:t>1</w:t>
      </w:r>
      <w:r>
        <w:rPr>
          <w:rFonts w:hint="eastAsia" w:ascii="宋体" w:hAnsi="宋体" w:cs="Calibri"/>
          <w:bCs/>
          <w:sz w:val="28"/>
          <w:szCs w:val="28"/>
        </w:rPr>
        <w:t>、具备法律主体资格，具有独立订立及履行合同的能力。</w:t>
      </w:r>
      <w:bookmarkEnd w:id="1"/>
      <w:bookmarkEnd w:id="2"/>
      <w:bookmarkEnd w:id="3"/>
      <w:bookmarkEnd w:id="4"/>
      <w:bookmarkStart w:id="5" w:name="_Toc407185216"/>
    </w:p>
    <w:p>
      <w:pPr>
        <w:keepNext w:val="0"/>
        <w:keepLines w:val="0"/>
        <w:pageBreakBefore w:val="0"/>
        <w:kinsoku/>
        <w:wordWrap/>
        <w:overflowPunct/>
        <w:topLinePunct w:val="0"/>
        <w:autoSpaceDE/>
        <w:autoSpaceDN/>
        <w:bidi w:val="0"/>
        <w:adjustRightInd/>
        <w:snapToGrid/>
        <w:spacing w:before="156" w:beforeLines="50" w:after="156" w:afterLines="50" w:line="500" w:lineRule="exact"/>
        <w:ind w:firstLine="560" w:firstLineChars="200"/>
        <w:textAlignment w:val="auto"/>
        <w:outlineLvl w:val="2"/>
        <w:rPr>
          <w:rFonts w:ascii="宋体" w:cs="Calibri"/>
          <w:bCs/>
          <w:kern w:val="0"/>
          <w:sz w:val="28"/>
          <w:szCs w:val="28"/>
        </w:rPr>
      </w:pPr>
      <w:r>
        <w:rPr>
          <w:rFonts w:ascii="宋体" w:hAnsi="宋体" w:cs="Calibri"/>
          <w:bCs/>
          <w:kern w:val="0"/>
          <w:sz w:val="28"/>
          <w:szCs w:val="28"/>
        </w:rPr>
        <w:t>2</w:t>
      </w:r>
      <w:r>
        <w:rPr>
          <w:rFonts w:hint="eastAsia" w:ascii="宋体" w:hAnsi="宋体" w:cs="Calibri"/>
          <w:bCs/>
          <w:kern w:val="0"/>
          <w:sz w:val="28"/>
          <w:szCs w:val="28"/>
        </w:rPr>
        <w:t>、具备一般纳税人资格，可开具增值税专用发票。</w:t>
      </w:r>
      <w:bookmarkEnd w:id="5"/>
    </w:p>
    <w:p>
      <w:pPr>
        <w:keepNext w:val="0"/>
        <w:keepLines w:val="0"/>
        <w:pageBreakBefore w:val="0"/>
        <w:kinsoku/>
        <w:wordWrap/>
        <w:overflowPunct/>
        <w:topLinePunct w:val="0"/>
        <w:autoSpaceDE/>
        <w:autoSpaceDN/>
        <w:bidi w:val="0"/>
        <w:adjustRightInd/>
        <w:snapToGrid/>
        <w:spacing w:before="120" w:after="120" w:line="500" w:lineRule="exact"/>
        <w:ind w:firstLine="560" w:firstLineChars="200"/>
        <w:textAlignment w:val="auto"/>
        <w:outlineLvl w:val="2"/>
        <w:rPr>
          <w:rFonts w:ascii="宋体" w:cs="Calibri"/>
          <w:bCs/>
          <w:kern w:val="0"/>
          <w:sz w:val="28"/>
          <w:szCs w:val="28"/>
        </w:rPr>
      </w:pPr>
      <w:bookmarkStart w:id="6" w:name="_Toc403051838"/>
      <w:bookmarkStart w:id="7" w:name="_Toc396288068"/>
      <w:bookmarkStart w:id="8" w:name="_Toc396294860"/>
      <w:bookmarkStart w:id="9" w:name="_Toc407185217"/>
      <w:r>
        <w:rPr>
          <w:rFonts w:ascii="宋体" w:hAnsi="宋体" w:cs="Calibri"/>
          <w:bCs/>
          <w:kern w:val="0"/>
          <w:sz w:val="28"/>
          <w:szCs w:val="28"/>
        </w:rPr>
        <w:t>3</w:t>
      </w:r>
      <w:r>
        <w:rPr>
          <w:rFonts w:hint="eastAsia" w:ascii="宋体" w:hAnsi="宋体" w:cs="Calibri"/>
          <w:bCs/>
          <w:kern w:val="0"/>
          <w:sz w:val="28"/>
          <w:szCs w:val="28"/>
        </w:rPr>
        <w:t>、具备国家有关部门、行业或公司要求必须取得的质量、计量、安全、环保认证及其他经营许可；在国家有关部门和行业的监督检查中没有不良记录；与中建二局及下属各分子公司没有不良合作记录。</w:t>
      </w:r>
      <w:bookmarkEnd w:id="6"/>
      <w:bookmarkEnd w:id="7"/>
      <w:bookmarkEnd w:id="8"/>
      <w:bookmarkEnd w:id="9"/>
    </w:p>
    <w:p>
      <w:pPr>
        <w:keepNext w:val="0"/>
        <w:keepLines w:val="0"/>
        <w:pageBreakBefore w:val="0"/>
        <w:kinsoku/>
        <w:wordWrap/>
        <w:overflowPunct/>
        <w:topLinePunct w:val="0"/>
        <w:autoSpaceDE/>
        <w:autoSpaceDN/>
        <w:bidi w:val="0"/>
        <w:adjustRightInd/>
        <w:snapToGrid/>
        <w:spacing w:before="120" w:after="120" w:line="500" w:lineRule="exact"/>
        <w:ind w:firstLine="560" w:firstLineChars="200"/>
        <w:textAlignment w:val="auto"/>
        <w:outlineLvl w:val="2"/>
        <w:rPr>
          <w:rFonts w:hint="eastAsia" w:ascii="宋体" w:hAnsi="宋体" w:cs="Calibri"/>
          <w:bCs/>
          <w:color w:val="000000"/>
          <w:kern w:val="0"/>
          <w:sz w:val="28"/>
          <w:szCs w:val="28"/>
          <w:lang w:eastAsia="zh-CN"/>
        </w:rPr>
      </w:pPr>
      <w:bookmarkStart w:id="10" w:name="_Toc407185218"/>
      <w:bookmarkStart w:id="11" w:name="_Toc396288069"/>
      <w:bookmarkStart w:id="12" w:name="_Toc403051839"/>
      <w:bookmarkStart w:id="13" w:name="_Toc396294861"/>
      <w:r>
        <w:rPr>
          <w:rFonts w:ascii="宋体" w:hAnsi="宋体" w:cs="Calibri"/>
          <w:bCs/>
          <w:color w:val="000000"/>
          <w:kern w:val="0"/>
          <w:sz w:val="28"/>
          <w:szCs w:val="28"/>
        </w:rPr>
        <w:t>4</w:t>
      </w:r>
      <w:r>
        <w:rPr>
          <w:rFonts w:hint="eastAsia" w:ascii="宋体" w:hAnsi="宋体" w:cs="Calibri"/>
          <w:bCs/>
          <w:color w:val="000000"/>
          <w:kern w:val="0"/>
          <w:sz w:val="28"/>
          <w:szCs w:val="28"/>
        </w:rPr>
        <w:t>、具有一定的经营规模和服务能力和</w:t>
      </w:r>
      <w:bookmarkEnd w:id="10"/>
      <w:bookmarkEnd w:id="11"/>
      <w:bookmarkEnd w:id="12"/>
      <w:bookmarkEnd w:id="13"/>
      <w:r>
        <w:rPr>
          <w:rFonts w:hint="eastAsia" w:ascii="宋体" w:hAnsi="宋体" w:cs="Calibri"/>
          <w:bCs/>
          <w:color w:val="000000"/>
          <w:kern w:val="0"/>
          <w:sz w:val="28"/>
          <w:szCs w:val="28"/>
        </w:rPr>
        <w:t>具备生产销售</w:t>
      </w:r>
      <w:r>
        <w:rPr>
          <w:rFonts w:hint="eastAsia" w:ascii="宋体" w:hAnsi="宋体" w:cs="Calibri"/>
          <w:bCs/>
          <w:color w:val="000000"/>
          <w:kern w:val="0"/>
          <w:sz w:val="28"/>
          <w:szCs w:val="28"/>
          <w:lang w:eastAsia="zh-CN"/>
        </w:rPr>
        <w:t>电缆线</w:t>
      </w:r>
      <w:r>
        <w:rPr>
          <w:rFonts w:hint="eastAsia" w:ascii="宋体" w:hAnsi="宋体" w:cs="Calibri"/>
          <w:bCs/>
          <w:color w:val="000000"/>
          <w:kern w:val="0"/>
          <w:sz w:val="28"/>
          <w:szCs w:val="28"/>
        </w:rPr>
        <w:t>专业资质</w:t>
      </w:r>
      <w:r>
        <w:rPr>
          <w:rFonts w:hint="eastAsia" w:ascii="宋体" w:hAnsi="宋体" w:cs="Calibri"/>
          <w:bCs/>
          <w:color w:val="000000"/>
          <w:kern w:val="0"/>
          <w:sz w:val="28"/>
          <w:szCs w:val="28"/>
          <w:lang w:eastAsia="zh-CN"/>
        </w:rPr>
        <w:t>。</w:t>
      </w:r>
      <w:bookmarkStart w:id="14" w:name="_Toc396288070"/>
      <w:bookmarkStart w:id="15" w:name="_Toc396294862"/>
      <w:bookmarkStart w:id="16" w:name="_Toc407185219"/>
      <w:bookmarkStart w:id="17" w:name="_Toc403051840"/>
    </w:p>
    <w:p>
      <w:pPr>
        <w:keepNext w:val="0"/>
        <w:keepLines w:val="0"/>
        <w:pageBreakBefore w:val="0"/>
        <w:kinsoku/>
        <w:wordWrap/>
        <w:overflowPunct/>
        <w:topLinePunct w:val="0"/>
        <w:autoSpaceDE/>
        <w:autoSpaceDN/>
        <w:bidi w:val="0"/>
        <w:adjustRightInd/>
        <w:snapToGrid/>
        <w:spacing w:before="120" w:after="120" w:line="500" w:lineRule="exact"/>
        <w:ind w:firstLine="560" w:firstLineChars="200"/>
        <w:textAlignment w:val="auto"/>
        <w:outlineLvl w:val="2"/>
        <w:rPr>
          <w:rFonts w:ascii="宋体" w:cs="Calibri"/>
          <w:bCs/>
          <w:kern w:val="0"/>
          <w:sz w:val="28"/>
          <w:szCs w:val="28"/>
        </w:rPr>
      </w:pPr>
      <w:r>
        <w:rPr>
          <w:rFonts w:ascii="宋体" w:hAnsi="宋体" w:cs="Calibri"/>
          <w:bCs/>
          <w:kern w:val="0"/>
          <w:sz w:val="28"/>
          <w:szCs w:val="28"/>
        </w:rPr>
        <w:t>5</w:t>
      </w:r>
      <w:r>
        <w:rPr>
          <w:rFonts w:hint="eastAsia" w:ascii="宋体" w:hAnsi="宋体" w:cs="Calibri"/>
          <w:bCs/>
          <w:kern w:val="0"/>
          <w:sz w:val="28"/>
          <w:szCs w:val="28"/>
        </w:rPr>
        <w:t>、具有良好的商业信誉和健全的财务会计制度。</w:t>
      </w:r>
      <w:bookmarkEnd w:id="14"/>
      <w:bookmarkEnd w:id="15"/>
      <w:bookmarkEnd w:id="16"/>
      <w:bookmarkEnd w:id="17"/>
    </w:p>
    <w:p>
      <w:pPr>
        <w:keepNext w:val="0"/>
        <w:keepLines w:val="0"/>
        <w:pageBreakBefore w:val="0"/>
        <w:widowControl/>
        <w:shd w:val="clear" w:color="auto" w:fill="FFFFFF"/>
        <w:kinsoku/>
        <w:wordWrap/>
        <w:overflowPunct/>
        <w:topLinePunct w:val="0"/>
        <w:autoSpaceDE/>
        <w:autoSpaceDN/>
        <w:bidi w:val="0"/>
        <w:adjustRightInd/>
        <w:snapToGrid/>
        <w:spacing w:before="156" w:beforeLines="50" w:after="156" w:afterLines="50" w:line="500" w:lineRule="exact"/>
        <w:ind w:firstLine="601"/>
        <w:jc w:val="left"/>
        <w:textAlignment w:val="auto"/>
        <w:rPr>
          <w:rFonts w:ascii="宋体"/>
          <w:b/>
          <w:kern w:val="0"/>
          <w:sz w:val="28"/>
          <w:szCs w:val="28"/>
        </w:rPr>
      </w:pPr>
      <w:r>
        <w:rPr>
          <w:rFonts w:hint="eastAsia" w:ascii="宋体" w:hAnsi="宋体"/>
          <w:b/>
          <w:kern w:val="0"/>
          <w:sz w:val="28"/>
          <w:szCs w:val="28"/>
        </w:rPr>
        <w:t>三、投标报名</w:t>
      </w:r>
    </w:p>
    <w:p>
      <w:pPr>
        <w:widowControl/>
        <w:shd w:val="clear" w:color="auto" w:fill="FFFFFF"/>
        <w:spacing w:line="500" w:lineRule="exact"/>
        <w:ind w:firstLine="600"/>
        <w:jc w:val="left"/>
        <w:rPr>
          <w:rFonts w:ascii="宋体"/>
          <w:kern w:val="0"/>
          <w:sz w:val="28"/>
          <w:szCs w:val="28"/>
        </w:rPr>
      </w:pPr>
      <w:r>
        <w:rPr>
          <w:rFonts w:ascii="宋体" w:hAnsi="宋体"/>
          <w:kern w:val="0"/>
          <w:sz w:val="28"/>
          <w:szCs w:val="28"/>
        </w:rPr>
        <w:t>1</w:t>
      </w:r>
      <w:r>
        <w:rPr>
          <w:rFonts w:hint="eastAsia" w:ascii="宋体" w:hAnsi="宋体"/>
          <w:kern w:val="0"/>
          <w:sz w:val="28"/>
          <w:szCs w:val="28"/>
        </w:rPr>
        <w:t>、报名时间：</w:t>
      </w:r>
      <w:r>
        <w:rPr>
          <w:rFonts w:hint="eastAsia" w:ascii="宋体" w:hAnsi="宋体"/>
          <w:color w:val="FF0000"/>
          <w:kern w:val="0"/>
          <w:sz w:val="28"/>
          <w:szCs w:val="28"/>
          <w:u w:val="single"/>
        </w:rPr>
        <w:t>截止201</w:t>
      </w:r>
      <w:r>
        <w:rPr>
          <w:rFonts w:hint="eastAsia" w:ascii="宋体" w:hAnsi="宋体"/>
          <w:color w:val="FF0000"/>
          <w:kern w:val="0"/>
          <w:sz w:val="28"/>
          <w:szCs w:val="28"/>
          <w:u w:val="single"/>
          <w:lang w:val="en-US" w:eastAsia="zh-CN"/>
        </w:rPr>
        <w:t>9</w:t>
      </w:r>
      <w:r>
        <w:rPr>
          <w:rFonts w:hint="eastAsia" w:ascii="宋体" w:hAnsi="宋体"/>
          <w:color w:val="FF0000"/>
          <w:kern w:val="0"/>
          <w:sz w:val="28"/>
          <w:szCs w:val="28"/>
          <w:u w:val="single"/>
        </w:rPr>
        <w:t>年</w:t>
      </w:r>
      <w:r>
        <w:rPr>
          <w:rFonts w:hint="eastAsia" w:ascii="宋体" w:hAnsi="宋体"/>
          <w:color w:val="FF0000"/>
          <w:kern w:val="0"/>
          <w:sz w:val="28"/>
          <w:szCs w:val="28"/>
          <w:u w:val="single"/>
          <w:lang w:val="en-US" w:eastAsia="zh-CN"/>
        </w:rPr>
        <w:t>12</w:t>
      </w:r>
      <w:r>
        <w:rPr>
          <w:rFonts w:hint="eastAsia" w:ascii="宋体" w:hAnsi="宋体"/>
          <w:color w:val="FF0000"/>
          <w:kern w:val="0"/>
          <w:sz w:val="28"/>
          <w:szCs w:val="28"/>
          <w:u w:val="single"/>
        </w:rPr>
        <w:t>月</w:t>
      </w:r>
      <w:r>
        <w:rPr>
          <w:rFonts w:hint="eastAsia" w:ascii="宋体" w:hAnsi="宋体"/>
          <w:color w:val="FF0000"/>
          <w:kern w:val="0"/>
          <w:sz w:val="28"/>
          <w:szCs w:val="28"/>
          <w:u w:val="single"/>
          <w:lang w:val="en-US" w:eastAsia="zh-CN"/>
        </w:rPr>
        <w:t>8</w:t>
      </w:r>
      <w:r>
        <w:rPr>
          <w:rFonts w:hint="eastAsia" w:ascii="宋体" w:hAnsi="宋体"/>
          <w:color w:val="FF0000"/>
          <w:kern w:val="0"/>
          <w:sz w:val="28"/>
          <w:szCs w:val="28"/>
          <w:u w:val="single"/>
        </w:rPr>
        <w:t>日</w:t>
      </w:r>
      <w:r>
        <w:rPr>
          <w:rFonts w:ascii="宋体" w:hAnsi="宋体"/>
          <w:color w:val="FF0000"/>
          <w:kern w:val="0"/>
          <w:sz w:val="28"/>
          <w:szCs w:val="28"/>
          <w:u w:val="single"/>
        </w:rPr>
        <w:t>1</w:t>
      </w:r>
      <w:r>
        <w:rPr>
          <w:rFonts w:hint="eastAsia" w:ascii="宋体" w:hAnsi="宋体"/>
          <w:color w:val="FF0000"/>
          <w:kern w:val="0"/>
          <w:sz w:val="28"/>
          <w:szCs w:val="28"/>
          <w:u w:val="single"/>
          <w:lang w:val="en-US" w:eastAsia="zh-CN"/>
        </w:rPr>
        <w:t>7</w:t>
      </w:r>
      <w:r>
        <w:rPr>
          <w:rFonts w:hint="eastAsia" w:ascii="宋体" w:hAnsi="宋体"/>
          <w:color w:val="FF0000"/>
          <w:kern w:val="0"/>
          <w:sz w:val="28"/>
          <w:szCs w:val="28"/>
          <w:u w:val="single"/>
        </w:rPr>
        <w:t>时</w:t>
      </w:r>
      <w:r>
        <w:rPr>
          <w:rFonts w:hint="eastAsia" w:ascii="宋体" w:hAnsi="宋体"/>
          <w:color w:val="FF0000"/>
          <w:kern w:val="0"/>
          <w:sz w:val="28"/>
          <w:szCs w:val="28"/>
        </w:rPr>
        <w:t>，</w:t>
      </w:r>
      <w:r>
        <w:rPr>
          <w:rFonts w:hint="eastAsia" w:ascii="宋体" w:hAnsi="宋体"/>
          <w:color w:val="auto"/>
          <w:kern w:val="0"/>
          <w:sz w:val="28"/>
          <w:szCs w:val="28"/>
        </w:rPr>
        <w:t>逾期</w:t>
      </w:r>
      <w:r>
        <w:rPr>
          <w:rFonts w:hint="eastAsia" w:ascii="宋体" w:hAnsi="宋体"/>
          <w:kern w:val="0"/>
          <w:sz w:val="28"/>
          <w:szCs w:val="28"/>
        </w:rPr>
        <w:t>不再接受投标单位的报名。</w:t>
      </w:r>
    </w:p>
    <w:p>
      <w:pPr>
        <w:widowControl/>
        <w:shd w:val="clear" w:color="auto" w:fill="FFFFFF"/>
        <w:spacing w:line="500" w:lineRule="exact"/>
        <w:ind w:firstLine="600"/>
        <w:jc w:val="left"/>
        <w:rPr>
          <w:rFonts w:ascii="宋体" w:hAnsi="宋体"/>
          <w:kern w:val="0"/>
          <w:sz w:val="28"/>
          <w:szCs w:val="28"/>
        </w:rPr>
      </w:pPr>
      <w:r>
        <w:rPr>
          <w:rFonts w:ascii="宋体" w:hAnsi="宋体"/>
          <w:kern w:val="0"/>
          <w:sz w:val="28"/>
          <w:szCs w:val="28"/>
        </w:rPr>
        <w:t>2</w:t>
      </w:r>
      <w:r>
        <w:rPr>
          <w:rFonts w:hint="eastAsia" w:ascii="宋体" w:hAnsi="宋体"/>
          <w:kern w:val="0"/>
          <w:sz w:val="28"/>
          <w:szCs w:val="28"/>
        </w:rPr>
        <w:t>、报名方式：采取</w:t>
      </w:r>
      <w:r>
        <w:rPr>
          <w:rFonts w:hint="eastAsia" w:ascii="宋体" w:hAnsi="宋体"/>
          <w:b/>
          <w:kern w:val="0"/>
          <w:sz w:val="28"/>
          <w:szCs w:val="28"/>
        </w:rPr>
        <w:t>网上报名方式</w:t>
      </w:r>
      <w:r>
        <w:rPr>
          <w:rFonts w:hint="eastAsia" w:ascii="宋体" w:hAnsi="宋体"/>
          <w:kern w:val="0"/>
          <w:sz w:val="28"/>
          <w:szCs w:val="28"/>
        </w:rPr>
        <w:t>，通过“云筑网”上进行报名（网址</w:t>
      </w:r>
      <w:r>
        <w:rPr>
          <w:rFonts w:ascii="宋体" w:hAnsi="宋体"/>
          <w:kern w:val="0"/>
          <w:sz w:val="28"/>
          <w:szCs w:val="28"/>
        </w:rPr>
        <w:t>http://www.yzw.cn/</w:t>
      </w:r>
      <w:r>
        <w:rPr>
          <w:rFonts w:hint="eastAsia" w:ascii="宋体" w:hAnsi="宋体"/>
          <w:kern w:val="0"/>
          <w:sz w:val="28"/>
          <w:szCs w:val="28"/>
        </w:rPr>
        <w:t>），不接受其他方式报名。</w:t>
      </w:r>
    </w:p>
    <w:p>
      <w:pPr>
        <w:widowControl/>
        <w:shd w:val="clear" w:color="auto" w:fill="FFFFFF"/>
        <w:spacing w:line="500" w:lineRule="exact"/>
        <w:ind w:firstLine="600"/>
        <w:jc w:val="left"/>
        <w:rPr>
          <w:rFonts w:ascii="宋体"/>
          <w:kern w:val="0"/>
          <w:sz w:val="28"/>
          <w:szCs w:val="28"/>
        </w:rPr>
      </w:pPr>
      <w:r>
        <w:rPr>
          <w:rFonts w:ascii="宋体" w:hAnsi="宋体"/>
          <w:kern w:val="0"/>
          <w:sz w:val="28"/>
          <w:szCs w:val="28"/>
        </w:rPr>
        <w:fldChar w:fldCharType="begin"/>
      </w:r>
      <w:r>
        <w:rPr>
          <w:rFonts w:ascii="宋体" w:hAnsi="宋体"/>
          <w:kern w:val="0"/>
          <w:sz w:val="28"/>
          <w:szCs w:val="28"/>
        </w:rPr>
        <w:instrText xml:space="preserve"> = 1 \* GB3 \* MERGEFORMAT </w:instrText>
      </w:r>
      <w:r>
        <w:rPr>
          <w:rFonts w:ascii="宋体" w:hAnsi="宋体"/>
          <w:kern w:val="0"/>
          <w:sz w:val="28"/>
          <w:szCs w:val="28"/>
        </w:rPr>
        <w:fldChar w:fldCharType="separate"/>
      </w:r>
      <w:r>
        <w:rPr>
          <w:rFonts w:hint="eastAsia" w:ascii="宋体" w:hAnsi="宋体"/>
        </w:rPr>
        <w:t>①</w:t>
      </w:r>
      <w:r>
        <w:rPr>
          <w:rFonts w:ascii="宋体" w:hAnsi="宋体"/>
          <w:kern w:val="0"/>
          <w:sz w:val="28"/>
          <w:szCs w:val="28"/>
        </w:rPr>
        <w:fldChar w:fldCharType="end"/>
      </w:r>
      <w:r>
        <w:rPr>
          <w:rFonts w:hint="eastAsia" w:ascii="宋体" w:hAnsi="宋体"/>
          <w:kern w:val="0"/>
          <w:sz w:val="28"/>
          <w:szCs w:val="28"/>
        </w:rPr>
        <w:t>已在“云筑网”完成正式分供方注册的投标人，直接登录“云筑网”（网址</w:t>
      </w:r>
      <w:r>
        <w:rPr>
          <w:rFonts w:ascii="宋体" w:hAnsi="宋体"/>
          <w:kern w:val="0"/>
          <w:sz w:val="28"/>
          <w:szCs w:val="28"/>
        </w:rPr>
        <w:t>http://www.yzw.cn/</w:t>
      </w:r>
      <w:r>
        <w:rPr>
          <w:rFonts w:hint="eastAsia" w:ascii="宋体" w:hAnsi="宋体"/>
          <w:kern w:val="0"/>
          <w:sz w:val="28"/>
          <w:szCs w:val="28"/>
        </w:rPr>
        <w:t>）输入用户名和密码，成功登录后签收招标公告并点击报名；</w:t>
      </w:r>
    </w:p>
    <w:p>
      <w:pPr>
        <w:widowControl/>
        <w:shd w:val="clear" w:color="auto" w:fill="FFFFFF"/>
        <w:spacing w:line="500" w:lineRule="exact"/>
        <w:ind w:firstLine="600"/>
        <w:jc w:val="left"/>
        <w:rPr>
          <w:rFonts w:ascii="宋体" w:hAnsi="宋体"/>
          <w:kern w:val="0"/>
          <w:sz w:val="28"/>
          <w:szCs w:val="28"/>
        </w:rPr>
      </w:pPr>
      <w:r>
        <w:rPr>
          <w:rFonts w:ascii="宋体" w:hAnsi="宋体"/>
          <w:kern w:val="0"/>
          <w:sz w:val="28"/>
          <w:szCs w:val="28"/>
        </w:rPr>
        <w:fldChar w:fldCharType="begin"/>
      </w:r>
      <w:r>
        <w:rPr>
          <w:rFonts w:ascii="宋体" w:hAnsi="宋体"/>
          <w:kern w:val="0"/>
          <w:sz w:val="28"/>
          <w:szCs w:val="28"/>
        </w:rPr>
        <w:instrText xml:space="preserve"> = 2 \* GB3 \* MERGEFORMAT </w:instrText>
      </w:r>
      <w:r>
        <w:rPr>
          <w:rFonts w:ascii="宋体" w:hAnsi="宋体"/>
          <w:kern w:val="0"/>
          <w:sz w:val="28"/>
          <w:szCs w:val="28"/>
        </w:rPr>
        <w:fldChar w:fldCharType="separate"/>
      </w:r>
      <w:r>
        <w:rPr>
          <w:rFonts w:hint="eastAsia" w:ascii="宋体" w:hAnsi="宋体"/>
        </w:rPr>
        <w:t>②</w:t>
      </w:r>
      <w:r>
        <w:rPr>
          <w:rFonts w:ascii="宋体" w:hAnsi="宋体"/>
          <w:kern w:val="0"/>
          <w:sz w:val="28"/>
          <w:szCs w:val="28"/>
        </w:rPr>
        <w:fldChar w:fldCharType="end"/>
      </w:r>
      <w:r>
        <w:rPr>
          <w:rFonts w:hint="eastAsia" w:ascii="宋体" w:hAnsi="宋体"/>
          <w:kern w:val="0"/>
          <w:sz w:val="28"/>
          <w:szCs w:val="28"/>
        </w:rPr>
        <w:t>未在“云筑网”注册的投标人，需先登录“云筑网”（网址</w:t>
      </w:r>
      <w:r>
        <w:rPr>
          <w:rFonts w:ascii="宋体" w:hAnsi="宋体"/>
          <w:kern w:val="0"/>
          <w:sz w:val="28"/>
          <w:szCs w:val="28"/>
        </w:rPr>
        <w:t>http://www.yzw.cn/</w:t>
      </w:r>
      <w:r>
        <w:rPr>
          <w:rFonts w:hint="eastAsia" w:ascii="宋体" w:hAnsi="宋体"/>
          <w:kern w:val="0"/>
          <w:sz w:val="28"/>
          <w:szCs w:val="28"/>
        </w:rPr>
        <w:t>）网页注册成功后，再行报名</w:t>
      </w:r>
    </w:p>
    <w:p>
      <w:pPr>
        <w:widowControl/>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3、需报名时需要在附件中上传以下资料：</w:t>
      </w:r>
    </w:p>
    <w:p>
      <w:pPr>
        <w:widowControl/>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 xml:space="preserve">①《企业情况表》(签字盖章扫描件，具体详见附表1)；            </w:t>
      </w:r>
    </w:p>
    <w:p>
      <w:pPr>
        <w:widowControl/>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②营业执照扫描件；</w:t>
      </w:r>
    </w:p>
    <w:p>
      <w:pPr>
        <w:widowControl/>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③提供一般纳税人证明原件扫描件或本年度开具的增值税专用发票扫描件；</w:t>
      </w:r>
    </w:p>
    <w:p>
      <w:pPr>
        <w:widowControl/>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④法定代表人身份证扫描件；</w:t>
      </w:r>
    </w:p>
    <w:p>
      <w:pPr>
        <w:widowControl/>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⑤法人授权委托书原件；</w:t>
      </w:r>
    </w:p>
    <w:p>
      <w:pPr>
        <w:widowControl/>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以上所有资料须提供原件扫描，请各投标单位务必认真填写并按要求提供相应的证明资料，投标人应保证本表所填内容真实有效，如与事实有出入，则取消报名资格，未在云筑网提交以上附件的供方资审不予通过、消报名资格（详情见附件）。</w:t>
      </w:r>
    </w:p>
    <w:p>
      <w:pPr>
        <w:widowControl/>
        <w:numPr>
          <w:ilvl w:val="0"/>
          <w:numId w:val="2"/>
        </w:numPr>
        <w:shd w:val="clear" w:color="auto" w:fill="FFFFFF"/>
        <w:spacing w:before="156" w:beforeLines="50" w:after="156" w:afterLines="50" w:line="500" w:lineRule="exact"/>
        <w:ind w:firstLine="601"/>
        <w:jc w:val="left"/>
        <w:rPr>
          <w:rFonts w:hint="eastAsia" w:ascii="宋体" w:hAnsi="宋体"/>
          <w:color w:val="FF0000"/>
          <w:kern w:val="0"/>
          <w:sz w:val="28"/>
          <w:szCs w:val="28"/>
        </w:rPr>
      </w:pPr>
      <w:r>
        <w:rPr>
          <w:rFonts w:hint="eastAsia" w:ascii="宋体" w:hAnsi="宋体"/>
          <w:color w:val="FF0000"/>
          <w:kern w:val="0"/>
          <w:sz w:val="28"/>
          <w:szCs w:val="28"/>
        </w:rPr>
        <w:t>网上出现IP地址相同的报名单位资审不予通过、取消报名资格。</w:t>
      </w:r>
    </w:p>
    <w:p>
      <w:pPr>
        <w:widowControl/>
        <w:shd w:val="clear" w:color="auto" w:fill="FFFFFF"/>
        <w:spacing w:before="156" w:beforeLines="50" w:after="156" w:afterLines="50" w:line="500" w:lineRule="exact"/>
        <w:ind w:firstLine="601"/>
        <w:jc w:val="left"/>
        <w:rPr>
          <w:rFonts w:ascii="宋体"/>
          <w:b/>
          <w:kern w:val="0"/>
          <w:sz w:val="28"/>
          <w:szCs w:val="28"/>
        </w:rPr>
      </w:pPr>
      <w:r>
        <w:rPr>
          <w:rFonts w:hint="eastAsia" w:ascii="宋体" w:hAnsi="宋体"/>
          <w:b/>
          <w:kern w:val="0"/>
          <w:sz w:val="28"/>
          <w:szCs w:val="28"/>
        </w:rPr>
        <w:t>四、发布标书时间</w:t>
      </w:r>
    </w:p>
    <w:p>
      <w:pPr>
        <w:widowControl/>
        <w:shd w:val="clear" w:color="auto" w:fill="FFFFFF"/>
        <w:spacing w:line="500" w:lineRule="exact"/>
        <w:ind w:firstLine="600"/>
        <w:jc w:val="left"/>
        <w:rPr>
          <w:rFonts w:ascii="宋体"/>
          <w:kern w:val="0"/>
          <w:sz w:val="28"/>
          <w:szCs w:val="28"/>
        </w:rPr>
      </w:pPr>
      <w:r>
        <w:rPr>
          <w:rFonts w:hint="eastAsia" w:ascii="宋体" w:hAnsi="宋体"/>
          <w:kern w:val="0"/>
          <w:sz w:val="28"/>
          <w:szCs w:val="28"/>
        </w:rPr>
        <w:t>招标人将告知投标人是否通过资格预审，对通过资格预审的投标人发布招标文件，时间另行通知。</w:t>
      </w:r>
    </w:p>
    <w:p>
      <w:pPr>
        <w:widowControl/>
        <w:shd w:val="clear" w:color="auto" w:fill="FFFFFF"/>
        <w:spacing w:line="500" w:lineRule="exact"/>
        <w:ind w:firstLine="600"/>
        <w:jc w:val="left"/>
        <w:rPr>
          <w:rFonts w:ascii="宋体"/>
          <w:b/>
          <w:kern w:val="0"/>
          <w:sz w:val="28"/>
          <w:szCs w:val="28"/>
        </w:rPr>
      </w:pPr>
    </w:p>
    <w:p>
      <w:pPr>
        <w:widowControl/>
        <w:shd w:val="clear" w:color="auto" w:fill="FFFFFF"/>
        <w:spacing w:line="500" w:lineRule="exact"/>
        <w:ind w:firstLine="600"/>
        <w:jc w:val="left"/>
        <w:rPr>
          <w:rFonts w:hint="eastAsia" w:ascii="宋体" w:eastAsia="宋体"/>
          <w:kern w:val="0"/>
          <w:sz w:val="28"/>
          <w:szCs w:val="28"/>
          <w:lang w:eastAsia="zh-CN"/>
        </w:rPr>
      </w:pPr>
      <w:r>
        <w:rPr>
          <w:rFonts w:hint="eastAsia" w:ascii="宋体" w:hAnsi="宋体"/>
          <w:kern w:val="0"/>
          <w:sz w:val="28"/>
          <w:szCs w:val="28"/>
        </w:rPr>
        <w:t>联系人：</w:t>
      </w:r>
      <w:r>
        <w:rPr>
          <w:rFonts w:hint="eastAsia" w:ascii="宋体"/>
          <w:kern w:val="0"/>
          <w:sz w:val="28"/>
          <w:szCs w:val="28"/>
          <w:lang w:val="en-US" w:eastAsia="zh-CN"/>
        </w:rPr>
        <w:t>陈晓虹</w:t>
      </w:r>
    </w:p>
    <w:p>
      <w:pPr>
        <w:numPr>
          <w:ilvl w:val="0"/>
          <w:numId w:val="0"/>
        </w:numPr>
        <w:autoSpaceDE/>
        <w:autoSpaceDN/>
        <w:spacing w:before="0" w:after="0" w:line="384" w:lineRule="auto"/>
        <w:ind w:right="0" w:firstLine="560" w:firstLineChars="200"/>
        <w:jc w:val="both"/>
        <w:rPr>
          <w:rFonts w:hint="default" w:ascii="宋体" w:hAnsi="宋体" w:eastAsia="宋体"/>
          <w:kern w:val="0"/>
          <w:sz w:val="28"/>
          <w:szCs w:val="28"/>
          <w:lang w:val="en-US" w:eastAsia="zh-CN"/>
        </w:rPr>
      </w:pPr>
      <w:r>
        <w:rPr>
          <w:rFonts w:hint="eastAsia" w:ascii="宋体" w:hAnsi="宋体"/>
          <w:kern w:val="0"/>
          <w:sz w:val="28"/>
          <w:szCs w:val="28"/>
        </w:rPr>
        <w:t>联系电话：</w:t>
      </w:r>
      <w:r>
        <w:rPr>
          <w:rFonts w:hint="eastAsia" w:ascii="仿宋_GB2312" w:hAnsi="仿宋_GB2312" w:eastAsia="仿宋_GB2312"/>
          <w:b/>
          <w:color w:val="auto"/>
          <w:spacing w:val="0"/>
          <w:position w:val="0"/>
          <w:sz w:val="28"/>
          <w:szCs w:val="28"/>
          <w:lang w:val="en-US" w:eastAsia="zh-CN"/>
        </w:rPr>
        <w:t>13548137516</w:t>
      </w:r>
    </w:p>
    <w:p>
      <w:pPr>
        <w:widowControl/>
        <w:shd w:val="clear" w:color="auto" w:fill="FFFFFF"/>
        <w:spacing w:line="500" w:lineRule="exact"/>
        <w:ind w:left="1401" w:leftChars="267" w:hanging="840" w:hangingChars="300"/>
        <w:jc w:val="left"/>
        <w:rPr>
          <w:rFonts w:hint="eastAsia" w:ascii="宋体" w:cs="宋体"/>
          <w:sz w:val="28"/>
          <w:szCs w:val="28"/>
          <w:shd w:val="clear" w:color="auto" w:fill="FFFFFF"/>
          <w:lang w:val="en-US" w:eastAsia="zh-CN"/>
        </w:rPr>
      </w:pPr>
      <w:r>
        <w:rPr>
          <w:rFonts w:hint="eastAsia" w:ascii="宋体" w:hAnsi="宋体"/>
          <w:kern w:val="0"/>
          <w:sz w:val="28"/>
          <w:szCs w:val="28"/>
        </w:rPr>
        <w:t>地址：</w:t>
      </w:r>
      <w:r>
        <w:rPr>
          <w:rFonts w:hint="eastAsia" w:ascii="宋体" w:cs="宋体"/>
          <w:sz w:val="28"/>
          <w:szCs w:val="28"/>
          <w:shd w:val="clear" w:color="auto" w:fill="FFFFFF"/>
          <w:lang w:val="en-US" w:eastAsia="zh-CN"/>
        </w:rPr>
        <w:t>四川省成都市都江堰市中建二局成都万达城B-4地块中学项目部</w:t>
      </w:r>
    </w:p>
    <w:p>
      <w:pPr>
        <w:widowControl/>
        <w:shd w:val="clear" w:color="auto" w:fill="FFFFFF"/>
        <w:spacing w:line="500" w:lineRule="exact"/>
        <w:ind w:left="1401" w:leftChars="267" w:hanging="840" w:hangingChars="300"/>
        <w:jc w:val="left"/>
        <w:rPr>
          <w:rFonts w:hint="eastAsia" w:ascii="宋体" w:cs="宋体"/>
          <w:sz w:val="28"/>
          <w:szCs w:val="28"/>
          <w:shd w:val="clear" w:color="auto" w:fill="FFFFFF"/>
          <w:lang w:val="en-US" w:eastAsia="zh-CN"/>
        </w:rPr>
      </w:pPr>
    </w:p>
    <w:p>
      <w:pPr>
        <w:widowControl/>
        <w:shd w:val="clear" w:color="auto" w:fill="FFFFFF"/>
        <w:wordWrap w:val="0"/>
        <w:spacing w:line="500" w:lineRule="exact"/>
        <w:ind w:firstLine="600"/>
        <w:jc w:val="right"/>
        <w:rPr>
          <w:rFonts w:ascii="宋体"/>
          <w:kern w:val="0"/>
          <w:sz w:val="28"/>
          <w:szCs w:val="28"/>
        </w:rPr>
      </w:pPr>
    </w:p>
    <w:p>
      <w:pPr>
        <w:widowControl/>
        <w:shd w:val="clear" w:color="auto" w:fill="FFFFFF"/>
        <w:wordWrap/>
        <w:spacing w:line="500" w:lineRule="exact"/>
        <w:ind w:firstLine="600"/>
        <w:jc w:val="right"/>
        <w:rPr>
          <w:rFonts w:ascii="宋体"/>
          <w:kern w:val="0"/>
          <w:sz w:val="28"/>
          <w:szCs w:val="28"/>
        </w:rPr>
      </w:pPr>
    </w:p>
    <w:p>
      <w:pPr>
        <w:widowControl/>
        <w:shd w:val="clear" w:color="auto" w:fill="FFFFFF"/>
        <w:spacing w:line="500" w:lineRule="exact"/>
        <w:ind w:firstLine="600"/>
        <w:jc w:val="right"/>
        <w:rPr>
          <w:rFonts w:hint="eastAsia" w:ascii="宋体" w:hAnsi="宋体" w:eastAsia="宋体" w:cs="Times New Roman"/>
          <w:b w:val="0"/>
          <w:kern w:val="0"/>
          <w:sz w:val="28"/>
          <w:szCs w:val="28"/>
          <w:lang w:eastAsia="zh-CN"/>
        </w:rPr>
      </w:pPr>
      <w:r>
        <w:rPr>
          <w:rFonts w:hint="eastAsia" w:ascii="宋体" w:hAnsi="宋体" w:eastAsia="宋体" w:cs="Times New Roman"/>
          <w:b w:val="0"/>
          <w:kern w:val="0"/>
          <w:sz w:val="28"/>
          <w:szCs w:val="28"/>
          <w:lang w:eastAsia="zh-CN"/>
        </w:rPr>
        <w:t>成都万达城</w:t>
      </w:r>
      <w:r>
        <w:rPr>
          <w:rFonts w:hint="eastAsia" w:ascii="宋体" w:hAnsi="宋体" w:cs="Times New Roman"/>
          <w:b w:val="0"/>
          <w:kern w:val="0"/>
          <w:sz w:val="28"/>
          <w:szCs w:val="28"/>
          <w:lang w:eastAsia="zh-CN"/>
        </w:rPr>
        <w:t>C-4-1</w:t>
      </w:r>
      <w:r>
        <w:rPr>
          <w:rFonts w:hint="eastAsia" w:ascii="宋体" w:hAnsi="宋体" w:eastAsia="宋体" w:cs="Times New Roman"/>
          <w:b w:val="0"/>
          <w:kern w:val="0"/>
          <w:sz w:val="28"/>
          <w:szCs w:val="28"/>
          <w:lang w:eastAsia="zh-CN"/>
        </w:rPr>
        <w:t>地块开发建设项目</w:t>
      </w:r>
    </w:p>
    <w:p>
      <w:pPr>
        <w:widowControl/>
        <w:shd w:val="clear" w:color="auto" w:fill="FFFFFF"/>
        <w:spacing w:line="500" w:lineRule="exact"/>
        <w:ind w:firstLine="600"/>
        <w:jc w:val="right"/>
        <w:rPr>
          <w:rFonts w:ascii="宋体"/>
          <w:color w:val="FF0000"/>
          <w:kern w:val="0"/>
          <w:sz w:val="28"/>
          <w:szCs w:val="28"/>
        </w:rPr>
      </w:pPr>
      <w:r>
        <w:rPr>
          <w:rFonts w:hint="eastAsia" w:ascii="宋体" w:hAnsi="宋体"/>
          <w:color w:val="FF0000"/>
          <w:kern w:val="0"/>
          <w:sz w:val="28"/>
          <w:szCs w:val="28"/>
        </w:rPr>
        <w:t>201</w:t>
      </w:r>
      <w:r>
        <w:rPr>
          <w:rFonts w:hint="eastAsia" w:ascii="宋体" w:hAnsi="宋体"/>
          <w:color w:val="FF0000"/>
          <w:kern w:val="0"/>
          <w:sz w:val="28"/>
          <w:szCs w:val="28"/>
          <w:lang w:val="en-US" w:eastAsia="zh-CN"/>
        </w:rPr>
        <w:t>9</w:t>
      </w:r>
      <w:r>
        <w:rPr>
          <w:rFonts w:hint="eastAsia" w:ascii="宋体" w:hAnsi="宋体"/>
          <w:color w:val="FF0000"/>
          <w:kern w:val="0"/>
          <w:sz w:val="28"/>
          <w:szCs w:val="28"/>
        </w:rPr>
        <w:t>年</w:t>
      </w:r>
      <w:r>
        <w:rPr>
          <w:rFonts w:hint="eastAsia" w:ascii="宋体" w:hAnsi="宋体"/>
          <w:color w:val="FF0000"/>
          <w:kern w:val="0"/>
          <w:sz w:val="28"/>
          <w:szCs w:val="28"/>
          <w:lang w:val="en-US" w:eastAsia="zh-CN"/>
        </w:rPr>
        <w:t>12</w:t>
      </w:r>
      <w:r>
        <w:rPr>
          <w:rFonts w:hint="eastAsia" w:ascii="宋体" w:hAnsi="宋体"/>
          <w:color w:val="FF0000"/>
          <w:kern w:val="0"/>
          <w:sz w:val="28"/>
          <w:szCs w:val="28"/>
        </w:rPr>
        <w:t>月</w:t>
      </w:r>
      <w:r>
        <w:rPr>
          <w:rFonts w:hint="eastAsia" w:ascii="宋体" w:hAnsi="宋体"/>
          <w:color w:val="FF0000"/>
          <w:kern w:val="0"/>
          <w:sz w:val="28"/>
          <w:szCs w:val="28"/>
          <w:lang w:val="en-US" w:eastAsia="zh-CN"/>
        </w:rPr>
        <w:t>02</w:t>
      </w:r>
      <w:r>
        <w:rPr>
          <w:rFonts w:hint="eastAsia" w:ascii="宋体" w:hAnsi="宋体"/>
          <w:color w:val="FF0000"/>
          <w:kern w:val="0"/>
          <w:sz w:val="28"/>
          <w:szCs w:val="28"/>
        </w:rPr>
        <w:t>日</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D39C38"/>
    <w:multiLevelType w:val="singleLevel"/>
    <w:tmpl w:val="FCD39C38"/>
    <w:lvl w:ilvl="0" w:tentative="0">
      <w:start w:val="4"/>
      <w:numFmt w:val="decimal"/>
      <w:suff w:val="nothing"/>
      <w:lvlText w:val="%1、"/>
      <w:lvlJc w:val="left"/>
    </w:lvl>
  </w:abstractNum>
  <w:abstractNum w:abstractNumId="1">
    <w:nsid w:val="347FE00D"/>
    <w:multiLevelType w:val="singleLevel"/>
    <w:tmpl w:val="347FE00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20D30"/>
    <w:rsid w:val="18375A85"/>
    <w:rsid w:val="1B0E5BCD"/>
    <w:rsid w:val="1BC8062A"/>
    <w:rsid w:val="1E0F4006"/>
    <w:rsid w:val="1EB54FB2"/>
    <w:rsid w:val="240943C5"/>
    <w:rsid w:val="31B04DD7"/>
    <w:rsid w:val="324955C2"/>
    <w:rsid w:val="34456996"/>
    <w:rsid w:val="34A43D72"/>
    <w:rsid w:val="35D953ED"/>
    <w:rsid w:val="393C5031"/>
    <w:rsid w:val="39B34A00"/>
    <w:rsid w:val="3A9C497D"/>
    <w:rsid w:val="43F333EC"/>
    <w:rsid w:val="4D937456"/>
    <w:rsid w:val="4FFA3B5A"/>
    <w:rsid w:val="66F74D23"/>
    <w:rsid w:val="6808233F"/>
    <w:rsid w:val="68A142DF"/>
    <w:rsid w:val="68B56777"/>
    <w:rsid w:val="7501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欲之言</cp:lastModifiedBy>
  <dcterms:modified xsi:type="dcterms:W3CDTF">2019-12-02T09:04:25Z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