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429325357"/>
      <w:bookmarkStart w:id="1" w:name="_Toc429324868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中建八局第一建设有限公司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合肥维信诺总包工程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B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3、工程地点: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安徽省合肥市新站区新蚌埠路与魏武路交叉口维信诺中建八局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、招标内容：项目施工生产所需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电线电缆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9"/>
        <w:tblW w:w="8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96"/>
        <w:gridCol w:w="1588"/>
        <w:gridCol w:w="1296"/>
        <w:gridCol w:w="697"/>
        <w:gridCol w:w="1297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材料名称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规格型号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品牌/厂家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计划数量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YJV-1*300mm2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YJV-1*95mm2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ZB-YJV22-4*120+1*70mm2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ZB-YJV22-4*150+1*70mm2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ZB-YJV22-4*35+1*16mm2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ZB-YJV22-4*50+1*25mm2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ZB-YJV22-4*95+1*50mm2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ZB-YJV22-5*2.5mm2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ZB-YJV22-5*4mm2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ZB-YJV22-5*10mm2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ZB-YJV-3*2.5mm2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ZB-YJV-3*4mm2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ZB-YJV-3*6mm2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ZB-YJV-5*10mm2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ZB-YJV-5*6mm2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BV-2.5mm2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ZB-BV-2.5mm2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ZB-BV-4mm2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远东、宝胜、上上、华新丽华、江南、国昌、胜华、普睿司曼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以下空白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highlight w:val="none"/>
        </w:rPr>
      </w:pPr>
      <w:r>
        <w:rPr>
          <w:rFonts w:ascii="宋体" w:hAnsi="宋体"/>
          <w:kern w:val="0"/>
          <w:sz w:val="24"/>
          <w:szCs w:val="24"/>
          <w:highlight w:val="none"/>
        </w:rPr>
        <w:t>3</w:t>
      </w:r>
      <w:r>
        <w:rPr>
          <w:rFonts w:hint="eastAsia" w:ascii="宋体" w:hAnsi="宋体"/>
          <w:kern w:val="0"/>
          <w:sz w:val="24"/>
          <w:szCs w:val="24"/>
          <w:highlight w:val="none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8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其他：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hint="eastAsia" w:ascii="宋体" w:hAnsi="宋体"/>
          <w:kern w:val="0"/>
          <w:sz w:val="24"/>
          <w:szCs w:val="24"/>
          <w:u w:val="single"/>
        </w:rPr>
        <w:t>）在招标公告截止后24个小时之内，样品必须送达指定地点，且所送样品必须符合《电力工程电缆设计规范》GB50217—2007标准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/>
          <w:kern w:val="0"/>
          <w:sz w:val="24"/>
          <w:szCs w:val="24"/>
          <w:u w:val="single"/>
        </w:rPr>
        <w:t>否则视为不合格样品。【与我方签订过合同的且无不良记录的优质供应商，可不要求寄送样品】。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hint="eastAsia" w:ascii="宋体" w:hAnsi="宋体"/>
          <w:kern w:val="0"/>
          <w:sz w:val="24"/>
          <w:szCs w:val="24"/>
          <w:u w:val="single"/>
        </w:rPr>
        <w:t>）所招标物资的其他质量要求。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3）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品牌要求：</w:t>
      </w:r>
      <w:r>
        <w:rPr>
          <w:rFonts w:hint="eastAsia" w:ascii="宋体" w:hAnsi="宋体"/>
          <w:kern w:val="0"/>
          <w:sz w:val="24"/>
          <w:szCs w:val="24"/>
          <w:u w:val="single"/>
        </w:rPr>
        <w:t>远东、宝胜、上上、华新丽华、江南、国昌、胜华、普睿司曼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2" w:name="_Hlk520388654"/>
      <w:r>
        <w:rPr>
          <w:rFonts w:hint="eastAsia" w:ascii="宋体" w:hAnsi="宋体"/>
          <w:kern w:val="0"/>
          <w:sz w:val="24"/>
          <w:szCs w:val="24"/>
        </w:rPr>
        <w:t>类似</w:t>
      </w:r>
      <w:r>
        <w:rPr>
          <w:rFonts w:ascii="宋体" w:hAnsi="宋体"/>
          <w:kern w:val="0"/>
          <w:sz w:val="24"/>
          <w:szCs w:val="24"/>
        </w:rPr>
        <w:t>合同</w:t>
      </w:r>
      <w:bookmarkEnd w:id="2"/>
      <w:r>
        <w:rPr>
          <w:rFonts w:hint="eastAsia" w:ascii="宋体" w:hAnsi="宋体"/>
          <w:kern w:val="0"/>
          <w:sz w:val="24"/>
          <w:szCs w:val="24"/>
        </w:rPr>
        <w:t>业绩和信誉等。以上资料扫描件在云筑网报名时以附件形式上传。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u w:val="single"/>
        </w:rPr>
        <w:t>【与我方签订过合同的且无不良记录的优质供应商，可不要求上传附件】。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投标样品</w:t>
      </w:r>
    </w:p>
    <w:tbl>
      <w:tblPr>
        <w:tblStyle w:val="8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976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YJV-1*95mm2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ZB-YJV22-4*95+1*50mm2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15cm</w:t>
            </w:r>
          </w:p>
        </w:tc>
      </w:tr>
    </w:tbl>
    <w:p>
      <w:pPr>
        <w:pStyle w:val="15"/>
        <w:spacing w:line="360" w:lineRule="auto"/>
        <w:ind w:left="420" w:firstLine="0" w:firstLineChars="0"/>
        <w:rPr>
          <w:rFonts w:hint="eastAsia" w:ascii="宋体" w:hAnsi="宋体"/>
          <w:kern w:val="0"/>
          <w:sz w:val="24"/>
          <w:szCs w:val="24"/>
          <w:u w:val="single"/>
        </w:rPr>
      </w:pPr>
      <w:bookmarkStart w:id="3" w:name="_GoBack"/>
      <w:bookmarkEnd w:id="3"/>
      <w:r>
        <w:rPr>
          <w:rFonts w:hint="eastAsia" w:ascii="宋体" w:hAnsi="宋体"/>
          <w:kern w:val="0"/>
          <w:sz w:val="24"/>
          <w:szCs w:val="24"/>
        </w:rPr>
        <w:t>以上所需样品递交地点：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安徽省合肥市新站区新蚌埠路与魏武路交叉口维信诺中建八局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pStyle w:val="15"/>
        <w:numPr>
          <w:ilvl w:val="0"/>
          <w:numId w:val="1"/>
        </w:numPr>
        <w:spacing w:line="360" w:lineRule="auto"/>
        <w:ind w:left="0" w:leftChars="0" w:firstLine="426" w:firstLineChars="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报名时请确认我方的结算方式，付款方式。结算方式：双方每月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16-20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日对上月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16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日至本月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15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日所供货物进行数量、单价、金额的确认，办理月度物资采购结算单，全部供货完毕后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日内，双方完成物资总结算办理。货款支付：按约定的时间和比例支付。甲方在次月的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25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日前支付上月月度结算货款的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70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%。双方办理完成物资总结算后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6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个月内付至总结算货款的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80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%，甲方整体工程竣工验收（以四方验收为准）合格后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6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个月内付至总结算货款的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95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%，余款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 xml:space="preserve">  5  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 xml:space="preserve"> %作为质保金，在质保期满后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single"/>
          <w:lang w:val="en-US" w:eastAsia="zh-CN"/>
        </w:rPr>
        <w:t>28</w:t>
      </w: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日内无息付清。</w:t>
      </w:r>
    </w:p>
    <w:p>
      <w:pPr>
        <w:pStyle w:val="15"/>
        <w:numPr>
          <w:ilvl w:val="0"/>
          <w:numId w:val="1"/>
        </w:numPr>
        <w:spacing w:line="360" w:lineRule="auto"/>
        <w:ind w:left="0" w:leftChars="0" w:firstLine="426" w:firstLineChars="0"/>
        <w:rPr>
          <w:rFonts w:hint="eastAsia"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yellow"/>
          <w:u w:val="none"/>
          <w:lang w:val="en-US" w:eastAsia="zh-CN"/>
        </w:rPr>
        <w:t>乙方按照甲方要求的时间，依据甲乙双方共同确认的结算金额和结算明细向甲方开具结算值100%的增值税发票，否则甲方有权拒绝支付货款且不构成违约。货款支付方式可选择银行转账支票、网银转账、银行承兑汇票、商业承兑汇票、国内信用证、银行保理、建行“E点通”、云筑金服及其他常规支付方式的付款方式，具体付款方式以双方每次付款前协商确定为准。付款过程中产生的贴息费用由乙方承担，所产生的手续费用由双方各自承担。乙方委托专职收款人办理收付款业务，收款人必须取得授权。每次付款时，乙方应为甲方留出  20  天财务办理支付手续的时间。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15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张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然（公告答疑）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18701876821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倪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丹（片区商务）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13865956681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范前锋（片区物资）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联系方式：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13855373819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  <w:rPr>
          <w:rFonts w:hint="default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分公司物资设备部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联系方式：0531-66628676</w:t>
      </w:r>
    </w:p>
    <w:p>
      <w:pPr>
        <w:pStyle w:val="15"/>
        <w:widowControl/>
        <w:shd w:val="clear" w:color="auto" w:fill="FFFFFF"/>
        <w:spacing w:line="360" w:lineRule="auto"/>
        <w:ind w:left="720" w:firstLine="0" w:firstLineChars="0"/>
        <w:jc w:val="left"/>
      </w:pP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152B18"/>
    <w:rsid w:val="001B1DCA"/>
    <w:rsid w:val="00206F98"/>
    <w:rsid w:val="002B118B"/>
    <w:rsid w:val="002E0101"/>
    <w:rsid w:val="002E5B24"/>
    <w:rsid w:val="003734FA"/>
    <w:rsid w:val="003D7153"/>
    <w:rsid w:val="003E4C79"/>
    <w:rsid w:val="004B0EF0"/>
    <w:rsid w:val="004C5A96"/>
    <w:rsid w:val="004E613A"/>
    <w:rsid w:val="004F51D0"/>
    <w:rsid w:val="00522BA4"/>
    <w:rsid w:val="0053148D"/>
    <w:rsid w:val="00571494"/>
    <w:rsid w:val="005F3888"/>
    <w:rsid w:val="00656618"/>
    <w:rsid w:val="006677AC"/>
    <w:rsid w:val="006A388F"/>
    <w:rsid w:val="006B5803"/>
    <w:rsid w:val="00735CDD"/>
    <w:rsid w:val="00741CC0"/>
    <w:rsid w:val="007468F3"/>
    <w:rsid w:val="0077770F"/>
    <w:rsid w:val="00796764"/>
    <w:rsid w:val="008E15DF"/>
    <w:rsid w:val="00921F06"/>
    <w:rsid w:val="00933DC1"/>
    <w:rsid w:val="0096342B"/>
    <w:rsid w:val="00984CE9"/>
    <w:rsid w:val="00A064FA"/>
    <w:rsid w:val="00A15005"/>
    <w:rsid w:val="00A26D62"/>
    <w:rsid w:val="00A71E60"/>
    <w:rsid w:val="00A75008"/>
    <w:rsid w:val="00B22166"/>
    <w:rsid w:val="00B4687D"/>
    <w:rsid w:val="00B84DB8"/>
    <w:rsid w:val="00BE31FE"/>
    <w:rsid w:val="00C313E0"/>
    <w:rsid w:val="00C5529F"/>
    <w:rsid w:val="00CC1132"/>
    <w:rsid w:val="00CF0B69"/>
    <w:rsid w:val="00CF181A"/>
    <w:rsid w:val="00D75949"/>
    <w:rsid w:val="00E0315F"/>
    <w:rsid w:val="00E0333C"/>
    <w:rsid w:val="00EA4B32"/>
    <w:rsid w:val="00F3035F"/>
    <w:rsid w:val="00F86FF0"/>
    <w:rsid w:val="00FC46A2"/>
    <w:rsid w:val="00FD468A"/>
    <w:rsid w:val="00FD6EA4"/>
    <w:rsid w:val="00FD7BA3"/>
    <w:rsid w:val="21ED4DFC"/>
    <w:rsid w:val="30DE08B5"/>
    <w:rsid w:val="443E61BF"/>
    <w:rsid w:val="57BA2928"/>
    <w:rsid w:val="5DDE669D"/>
    <w:rsid w:val="616B5757"/>
    <w:rsid w:val="621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191</Words>
  <Characters>1092</Characters>
  <Lines>9</Lines>
  <Paragraphs>2</Paragraphs>
  <TotalTime>1</TotalTime>
  <ScaleCrop>false</ScaleCrop>
  <LinksUpToDate>false</LinksUpToDate>
  <CharactersWithSpaces>1281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2019-05-10T10:47:00Z</dcterms:created>
  <dc:creator>Administrator</dc:creator>
  <cp:lastModifiedBy>昵称不可以为空</cp:lastModifiedBy>
  <dcterms:modified xsi:type="dcterms:W3CDTF">2019-12-04T06:43:40Z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