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rPr>
      </w:pPr>
      <w:bookmarkStart w:id="131" w:name="_GoBack"/>
      <w:bookmarkStart w:id="0" w:name="_Toc376982914"/>
      <w:r>
        <w:rPr>
          <w:rFonts w:hint="eastAsia" w:ascii="宋体" w:hAnsi="宋体"/>
          <w:b/>
          <w:sz w:val="32"/>
          <w:szCs w:val="32"/>
        </w:rPr>
        <w:t>中铁一局广州分公司</w:t>
      </w:r>
      <w:r>
        <w:rPr>
          <w:rFonts w:hint="eastAsia" w:ascii="宋体" w:hAnsi="宋体"/>
          <w:b/>
          <w:sz w:val="32"/>
          <w:szCs w:val="32"/>
          <w:lang w:val="en-US" w:eastAsia="zh-CN"/>
        </w:rPr>
        <w:t>肇庆三期项目电线电缆采购</w:t>
      </w:r>
      <w:r>
        <w:rPr>
          <w:rFonts w:hint="eastAsia" w:ascii="宋体" w:hAnsi="宋体"/>
          <w:b/>
          <w:sz w:val="32"/>
          <w:szCs w:val="32"/>
        </w:rPr>
        <w:t>招标公告</w:t>
      </w:r>
    </w:p>
    <w:bookmarkEnd w:id="131"/>
    <w:p>
      <w:pPr>
        <w:snapToGrid w:val="0"/>
        <w:spacing w:line="360" w:lineRule="auto"/>
        <w:ind w:firstLine="413" w:firstLineChars="196"/>
        <w:jc w:val="left"/>
        <w:outlineLvl w:val="1"/>
        <w:rPr>
          <w:b/>
        </w:rPr>
      </w:pPr>
      <w:bookmarkStart w:id="1" w:name="_Toc416354581"/>
      <w:bookmarkStart w:id="2" w:name="_Toc381350425"/>
      <w:bookmarkStart w:id="3" w:name="_Toc439149417"/>
      <w:bookmarkStart w:id="4" w:name="_Toc414355671"/>
      <w:bookmarkStart w:id="5" w:name="_Toc19729"/>
      <w:r>
        <w:rPr>
          <w:b/>
        </w:rPr>
        <w:t>1</w:t>
      </w:r>
      <w:r>
        <w:rPr>
          <w:rFonts w:hint="eastAsia"/>
          <w:b/>
        </w:rPr>
        <w:t>．</w:t>
      </w:r>
      <w:bookmarkEnd w:id="1"/>
      <w:bookmarkEnd w:id="2"/>
      <w:bookmarkEnd w:id="3"/>
      <w:bookmarkEnd w:id="4"/>
      <w:bookmarkStart w:id="6" w:name="_Toc258487778"/>
      <w:r>
        <w:rPr>
          <w:rFonts w:hint="eastAsia"/>
          <w:b/>
        </w:rPr>
        <w:t>招标依据</w:t>
      </w:r>
      <w:bookmarkEnd w:id="5"/>
    </w:p>
    <w:p>
      <w:pPr>
        <w:spacing w:line="360" w:lineRule="auto"/>
        <w:ind w:firstLine="405"/>
        <w:jc w:val="left"/>
        <w:rPr>
          <w:rFonts w:ascii="宋体" w:hAnsi="宋体"/>
          <w:szCs w:val="22"/>
        </w:rPr>
      </w:pPr>
      <w:bookmarkStart w:id="7" w:name="sendword"/>
      <w:bookmarkEnd w:id="7"/>
      <w:r>
        <w:rPr>
          <w:rFonts w:ascii="宋体" w:hAnsi="宋体"/>
          <w:szCs w:val="22"/>
        </w:rPr>
        <w:t>1.1</w:t>
      </w:r>
      <w:r>
        <w:rPr>
          <w:rFonts w:hint="eastAsia" w:ascii="宋体" w:hAnsi="宋体"/>
          <w:szCs w:val="22"/>
        </w:rPr>
        <w:t>《中华人民共和国招标投标法》（中华人民共和国主席令第</w:t>
      </w:r>
      <w:r>
        <w:rPr>
          <w:rFonts w:ascii="宋体" w:hAnsi="宋体"/>
          <w:szCs w:val="22"/>
        </w:rPr>
        <w:t>21</w:t>
      </w:r>
      <w:r>
        <w:rPr>
          <w:rFonts w:hint="eastAsia" w:ascii="宋体" w:hAnsi="宋体"/>
          <w:szCs w:val="22"/>
        </w:rPr>
        <w:t>号）；</w:t>
      </w:r>
    </w:p>
    <w:p>
      <w:pPr>
        <w:spacing w:line="360" w:lineRule="auto"/>
        <w:ind w:firstLine="405"/>
        <w:jc w:val="left"/>
        <w:rPr>
          <w:rFonts w:ascii="宋体" w:hAnsi="宋体"/>
          <w:szCs w:val="22"/>
        </w:rPr>
      </w:pPr>
      <w:r>
        <w:rPr>
          <w:rFonts w:ascii="宋体" w:hAnsi="宋体"/>
          <w:szCs w:val="22"/>
        </w:rPr>
        <w:t>1.2</w:t>
      </w:r>
      <w:r>
        <w:rPr>
          <w:rFonts w:hint="eastAsia" w:ascii="宋体" w:hAnsi="宋体"/>
          <w:szCs w:val="22"/>
        </w:rPr>
        <w:t>《中华人民共和国招标投标实施条例》（中华人民共和国国务院令第</w:t>
      </w:r>
      <w:r>
        <w:rPr>
          <w:rFonts w:ascii="宋体" w:hAnsi="宋体"/>
          <w:szCs w:val="22"/>
        </w:rPr>
        <w:t>613</w:t>
      </w:r>
      <w:r>
        <w:rPr>
          <w:rFonts w:hint="eastAsia" w:ascii="宋体" w:hAnsi="宋体"/>
          <w:szCs w:val="22"/>
        </w:rPr>
        <w:t>号）；</w:t>
      </w:r>
    </w:p>
    <w:p>
      <w:pPr>
        <w:spacing w:line="360" w:lineRule="auto"/>
        <w:ind w:firstLine="405"/>
        <w:jc w:val="left"/>
        <w:rPr>
          <w:rFonts w:ascii="宋体" w:hAnsi="宋体"/>
          <w:szCs w:val="22"/>
        </w:rPr>
      </w:pPr>
      <w:r>
        <w:rPr>
          <w:rFonts w:ascii="宋体" w:hAnsi="宋体"/>
          <w:szCs w:val="22"/>
        </w:rPr>
        <w:t>1.3</w:t>
      </w:r>
      <w:r>
        <w:rPr>
          <w:rFonts w:hint="eastAsia" w:ascii="宋体" w:hAnsi="宋体"/>
          <w:szCs w:val="22"/>
        </w:rPr>
        <w:t>《评标委员会和评标办法暂行规定》（国家发展改革委等七部委第</w:t>
      </w:r>
      <w:r>
        <w:rPr>
          <w:rFonts w:ascii="宋体" w:hAnsi="宋体"/>
          <w:szCs w:val="22"/>
        </w:rPr>
        <w:t>12</w:t>
      </w:r>
      <w:r>
        <w:rPr>
          <w:rFonts w:hint="eastAsia" w:ascii="宋体" w:hAnsi="宋体"/>
          <w:szCs w:val="22"/>
        </w:rPr>
        <w:t>号令）；</w:t>
      </w:r>
    </w:p>
    <w:p>
      <w:pPr>
        <w:spacing w:line="360" w:lineRule="auto"/>
        <w:ind w:firstLine="405"/>
        <w:jc w:val="left"/>
        <w:rPr>
          <w:rFonts w:ascii="宋体" w:hAnsi="宋体"/>
          <w:szCs w:val="22"/>
        </w:rPr>
      </w:pPr>
      <w:r>
        <w:rPr>
          <w:rFonts w:ascii="宋体" w:hAnsi="宋体"/>
          <w:szCs w:val="22"/>
        </w:rPr>
        <w:t>1</w:t>
      </w:r>
      <w:r>
        <w:rPr>
          <w:rFonts w:hint="eastAsia" w:ascii="宋体" w:hAnsi="宋体"/>
          <w:szCs w:val="22"/>
        </w:rPr>
        <w:t>.4《工程建设项目货物招标投标办法》（国家发展改革委等七部委第</w:t>
      </w:r>
      <w:r>
        <w:rPr>
          <w:rFonts w:ascii="宋体" w:hAnsi="宋体"/>
          <w:szCs w:val="22"/>
        </w:rPr>
        <w:t>27</w:t>
      </w:r>
      <w:r>
        <w:rPr>
          <w:rFonts w:hint="eastAsia" w:ascii="宋体" w:hAnsi="宋体"/>
          <w:szCs w:val="22"/>
        </w:rPr>
        <w:t>号令）；</w:t>
      </w:r>
    </w:p>
    <w:p>
      <w:pPr>
        <w:spacing w:line="360" w:lineRule="auto"/>
        <w:ind w:firstLine="405"/>
        <w:jc w:val="left"/>
        <w:rPr>
          <w:rFonts w:ascii="宋体" w:hAnsi="宋体"/>
          <w:szCs w:val="21"/>
        </w:rPr>
      </w:pPr>
      <w:r>
        <w:rPr>
          <w:rFonts w:ascii="宋体" w:hAnsi="宋体"/>
          <w:szCs w:val="22"/>
        </w:rPr>
        <w:t>1</w:t>
      </w:r>
      <w:bookmarkStart w:id="8" w:name="_Toc376982915"/>
      <w:r>
        <w:rPr>
          <w:rFonts w:hint="eastAsia" w:ascii="宋体" w:hAnsi="宋体"/>
          <w:szCs w:val="22"/>
        </w:rPr>
        <w:t>.</w:t>
      </w:r>
      <w:r>
        <w:rPr>
          <w:rFonts w:ascii="宋体" w:hAnsi="宋体"/>
          <w:szCs w:val="22"/>
        </w:rPr>
        <w:t>5</w:t>
      </w:r>
      <w:r>
        <w:rPr>
          <w:rFonts w:hint="eastAsia" w:ascii="宋体" w:hAnsi="宋体"/>
          <w:szCs w:val="22"/>
        </w:rPr>
        <w:t>其它相关法律、法</w:t>
      </w:r>
      <w:r>
        <w:rPr>
          <w:rFonts w:hint="eastAsia" w:ascii="宋体" w:hAnsi="宋体" w:cs="宋体"/>
          <w:kern w:val="0"/>
          <w:szCs w:val="21"/>
        </w:rPr>
        <w:t>规、规章。</w:t>
      </w:r>
    </w:p>
    <w:p>
      <w:pPr>
        <w:snapToGrid w:val="0"/>
        <w:spacing w:line="360" w:lineRule="auto"/>
        <w:ind w:firstLine="413" w:firstLineChars="196"/>
        <w:jc w:val="left"/>
        <w:outlineLvl w:val="1"/>
        <w:rPr>
          <w:rFonts w:ascii="宋体" w:hAnsi="宋体"/>
          <w:szCs w:val="21"/>
        </w:rPr>
      </w:pPr>
      <w:bookmarkStart w:id="9" w:name="_Toc23243"/>
      <w:bookmarkStart w:id="10" w:name="_Toc439149418"/>
      <w:bookmarkStart w:id="11" w:name="_Toc381350426"/>
      <w:bookmarkStart w:id="12" w:name="_Toc416354582"/>
      <w:bookmarkStart w:id="13" w:name="_Toc414355672"/>
      <w:r>
        <w:rPr>
          <w:b/>
        </w:rPr>
        <w:t>2</w:t>
      </w:r>
      <w:r>
        <w:rPr>
          <w:rFonts w:hint="eastAsia"/>
          <w:b/>
        </w:rPr>
        <w:t>．项目概况与招标内容</w:t>
      </w:r>
      <w:bookmarkEnd w:id="6"/>
      <w:bookmarkEnd w:id="8"/>
      <w:bookmarkEnd w:id="9"/>
      <w:bookmarkEnd w:id="10"/>
      <w:bookmarkEnd w:id="11"/>
      <w:bookmarkEnd w:id="12"/>
      <w:bookmarkEnd w:id="13"/>
    </w:p>
    <w:p>
      <w:pPr>
        <w:spacing w:line="360" w:lineRule="auto"/>
        <w:ind w:firstLine="426" w:firstLineChars="202"/>
        <w:rPr>
          <w:rFonts w:hint="eastAsia" w:ascii="宋体" w:hAnsi="宋体"/>
          <w:b/>
        </w:rPr>
      </w:pPr>
      <w:r>
        <w:rPr>
          <w:rFonts w:hint="eastAsia" w:ascii="宋体" w:hAnsi="宋体"/>
          <w:b/>
        </w:rPr>
        <w:t>2.1招标方式</w:t>
      </w:r>
    </w:p>
    <w:p>
      <w:pPr>
        <w:spacing w:line="360" w:lineRule="auto"/>
        <w:ind w:firstLine="424" w:firstLineChars="202"/>
        <w:rPr>
          <w:rFonts w:hint="eastAsia" w:ascii="宋体" w:hAnsi="宋体"/>
          <w:bCs/>
        </w:rPr>
      </w:pPr>
      <w:r>
        <w:rPr>
          <w:rFonts w:hint="eastAsia" w:ascii="宋体" w:hAnsi="宋体"/>
          <w:bCs/>
        </w:rPr>
        <w:t>公开招标</w:t>
      </w:r>
    </w:p>
    <w:p>
      <w:pPr>
        <w:spacing w:line="360" w:lineRule="auto"/>
        <w:ind w:firstLine="420" w:firstLineChars="200"/>
        <w:rPr>
          <w:rFonts w:hint="eastAsia" w:ascii="宋体" w:hAnsi="宋体" w:cs="宋体"/>
          <w:szCs w:val="21"/>
        </w:rPr>
      </w:pPr>
      <w:r>
        <w:rPr>
          <w:rFonts w:hint="eastAsia" w:ascii="宋体" w:hAnsi="宋体" w:cs="宋体"/>
          <w:szCs w:val="21"/>
        </w:rPr>
        <w:t>2.</w:t>
      </w:r>
      <w:bookmarkStart w:id="14" w:name="_Toc185304885"/>
      <w:r>
        <w:rPr>
          <w:rFonts w:hint="eastAsia" w:ascii="宋体" w:hAnsi="宋体" w:cs="宋体"/>
          <w:szCs w:val="21"/>
        </w:rPr>
        <w:t>2项目概况</w:t>
      </w:r>
    </w:p>
    <w:bookmarkEnd w:id="14"/>
    <w:p>
      <w:pPr>
        <w:pStyle w:val="2"/>
        <w:ind w:firstLine="422" w:firstLineChars="200"/>
        <w:rPr>
          <w:rFonts w:hint="eastAsia" w:ascii="Times New Roman" w:hAnsi="Times New Roman"/>
          <w:b/>
          <w:bCs/>
          <w:sz w:val="21"/>
          <w:szCs w:val="24"/>
          <w:lang w:val="en-US" w:eastAsia="zh-CN"/>
        </w:rPr>
      </w:pPr>
      <w:bookmarkStart w:id="15" w:name="_Toc484676396"/>
      <w:r>
        <w:rPr>
          <w:rFonts w:hint="eastAsia" w:ascii="Times New Roman" w:hAnsi="Times New Roman"/>
          <w:b/>
          <w:bCs/>
          <w:sz w:val="21"/>
          <w:szCs w:val="24"/>
          <w:lang w:val="en-US" w:eastAsia="zh-CN"/>
        </w:rPr>
        <w:t>中铁一局广州分公司肇庆市四会南江工业园至肇庆新区一级公路新建工程项目经理部（以下简称：肇庆三期项目）</w:t>
      </w:r>
    </w:p>
    <w:p>
      <w:pPr>
        <w:pStyle w:val="2"/>
        <w:ind w:firstLine="420" w:firstLineChars="200"/>
        <w:rPr>
          <w:rFonts w:hint="eastAsia" w:ascii="Times New Roman" w:hAnsi="Times New Roman"/>
          <w:sz w:val="21"/>
          <w:szCs w:val="24"/>
          <w:lang w:val="en-US" w:eastAsia="zh-CN"/>
        </w:rPr>
      </w:pPr>
      <w:r>
        <w:rPr>
          <w:rFonts w:hint="eastAsia" w:ascii="Times New Roman" w:hAnsi="Times New Roman"/>
          <w:sz w:val="21"/>
          <w:szCs w:val="24"/>
          <w:lang w:val="en-US" w:eastAsia="zh-CN"/>
        </w:rPr>
        <w:t>项目起点位于国道321线四会马房与三水交界处（桩号K44+805），沿国道321走向， 跨北江，采用下沉式隧道穿过大旺路口（与X503线交叉）后，路线往西南方向偏离国道 321线，与规划肇庆市环城快速路拟设置互通立交，在大沙园村附近跨越青岐涌及X433 线，经过富溪工业园南侧后，与珠三角环线高速拟设置互通立交，利用现轻轨桥梁通道 下穿广佛肇轻轨，经莲塘、古遗后，在莲花南田与国道321线相交，沿国道321线走向， 经蔗村、布基后，终于国道321线新区富廊至端州前村段城市化改造工程起点，并与规 划东站大道相交（终点桩号K66+350），路线全长21.545km。主路及辅路采用沥青混凝土路面结构。全线共设特大桥 2793.9m /2座；大桥126m/1座；中桥60m /2座；小桥37.5m /3座；涵洞99道；互通式立体 交叉2处，分离式立体立交7处；人行天桥6座；主路与市政道路平面交叉1处，辅路与二级以上公路平面交叉5处，掉头车道4处，辅路出入口18处；软土路基10.292km。本项目估算建安费53.06亿元。工期31个月2017年6月至2019年11月。</w:t>
      </w:r>
    </w:p>
    <w:p>
      <w:pPr>
        <w:pStyle w:val="2"/>
        <w:ind w:firstLine="420" w:firstLineChars="200"/>
        <w:rPr>
          <w:rFonts w:hint="eastAsia" w:ascii="Times New Roman" w:hAnsi="Times New Roman"/>
          <w:sz w:val="21"/>
          <w:szCs w:val="24"/>
          <w:lang w:val="en-US" w:eastAsia="zh-CN"/>
        </w:rPr>
      </w:pPr>
      <w:r>
        <w:rPr>
          <w:rFonts w:hint="eastAsia" w:ascii="Times New Roman" w:hAnsi="Times New Roman"/>
          <w:sz w:val="21"/>
          <w:szCs w:val="24"/>
          <w:lang w:val="en-US" w:eastAsia="zh-CN"/>
        </w:rPr>
        <w:t>本项目估算建安费53.06亿元。</w:t>
      </w:r>
    </w:p>
    <w:p>
      <w:pPr>
        <w:pStyle w:val="2"/>
        <w:ind w:firstLine="420" w:firstLineChars="200"/>
        <w:rPr>
          <w:rFonts w:hint="eastAsia" w:ascii="Times New Roman" w:hAnsi="Times New Roman"/>
          <w:sz w:val="21"/>
          <w:szCs w:val="24"/>
        </w:rPr>
      </w:pPr>
      <w:r>
        <w:rPr>
          <w:rFonts w:hint="eastAsia" w:ascii="Times New Roman" w:hAnsi="Times New Roman"/>
          <w:sz w:val="21"/>
          <w:szCs w:val="24"/>
          <w:lang w:val="en-US" w:eastAsia="zh-CN"/>
        </w:rPr>
        <w:t>工期43个月2017年6月至2021年12月</w:t>
      </w:r>
      <w:r>
        <w:rPr>
          <w:rFonts w:hint="eastAsia" w:ascii="Times New Roman" w:hAnsi="Times New Roman"/>
          <w:sz w:val="21"/>
          <w:szCs w:val="24"/>
        </w:rPr>
        <w:t>。</w:t>
      </w:r>
    </w:p>
    <w:bookmarkEnd w:id="15"/>
    <w:p>
      <w:pPr>
        <w:spacing w:line="360" w:lineRule="auto"/>
        <w:ind w:firstLine="420" w:firstLineChars="200"/>
        <w:rPr>
          <w:rFonts w:hint="eastAsia" w:ascii="宋体" w:hAnsi="宋体" w:cs="宋体"/>
          <w:szCs w:val="21"/>
        </w:rPr>
      </w:pPr>
      <w:r>
        <w:rPr>
          <w:rFonts w:hint="eastAsia" w:ascii="宋体" w:hAnsi="宋体" w:cs="宋体"/>
          <w:szCs w:val="21"/>
        </w:rPr>
        <w:t>2.3招标内容</w:t>
      </w:r>
    </w:p>
    <w:p>
      <w:pPr>
        <w:spacing w:line="360" w:lineRule="auto"/>
        <w:ind w:firstLine="405"/>
        <w:jc w:val="left"/>
        <w:rPr>
          <w:rFonts w:ascii="宋体" w:hAnsi="宋体"/>
          <w:bCs/>
          <w:szCs w:val="21"/>
        </w:rPr>
      </w:pPr>
      <w:r>
        <w:rPr>
          <w:rFonts w:hint="eastAsia" w:ascii="宋体" w:hAnsi="宋体"/>
          <w:bCs/>
          <w:szCs w:val="21"/>
        </w:rPr>
        <w:t>本次招标的物资数量及包件划分详见附件一。</w:t>
      </w:r>
    </w:p>
    <w:p>
      <w:pPr>
        <w:spacing w:line="360" w:lineRule="auto"/>
        <w:ind w:firstLine="426" w:firstLineChars="202"/>
        <w:outlineLvl w:val="0"/>
        <w:rPr>
          <w:b/>
        </w:rPr>
      </w:pPr>
      <w:bookmarkStart w:id="16" w:name="_Toc258487779"/>
      <w:bookmarkStart w:id="17" w:name="_Toc439149419"/>
      <w:bookmarkStart w:id="18" w:name="_Toc238552179"/>
      <w:bookmarkStart w:id="19" w:name="_Toc416354583"/>
      <w:bookmarkStart w:id="20" w:name="_Toc152045514"/>
      <w:bookmarkStart w:id="21" w:name="_Toc414355673"/>
      <w:bookmarkStart w:id="22" w:name="_Toc376982916"/>
      <w:bookmarkStart w:id="23" w:name="_Toc144974482"/>
      <w:bookmarkStart w:id="24" w:name="_Toc238797534"/>
      <w:bookmarkStart w:id="25" w:name="_Toc152042290"/>
      <w:bookmarkStart w:id="26" w:name="_Toc381350427"/>
      <w:bookmarkStart w:id="27" w:name="_Toc22450"/>
      <w:r>
        <w:rPr>
          <w:b/>
        </w:rPr>
        <w:t>3</w:t>
      </w:r>
      <w:r>
        <w:rPr>
          <w:rFonts w:hint="eastAsia"/>
          <w:b/>
        </w:rPr>
        <w:t>．投标人资格要求</w:t>
      </w:r>
      <w:bookmarkEnd w:id="16"/>
      <w:bookmarkEnd w:id="17"/>
      <w:bookmarkEnd w:id="18"/>
      <w:bookmarkEnd w:id="19"/>
      <w:bookmarkEnd w:id="20"/>
      <w:bookmarkEnd w:id="21"/>
      <w:bookmarkEnd w:id="22"/>
      <w:bookmarkEnd w:id="23"/>
      <w:bookmarkEnd w:id="24"/>
      <w:bookmarkEnd w:id="25"/>
      <w:bookmarkEnd w:id="26"/>
      <w:bookmarkEnd w:id="27"/>
    </w:p>
    <w:p>
      <w:pPr>
        <w:spacing w:line="360" w:lineRule="auto"/>
        <w:ind w:firstLine="424" w:firstLineChars="202"/>
        <w:rPr>
          <w:rFonts w:ascii="宋体" w:hAnsi="宋体"/>
        </w:rPr>
      </w:pPr>
      <w:bookmarkStart w:id="28" w:name="_Toc381449806"/>
      <w:bookmarkStart w:id="29" w:name="_Toc376982917"/>
      <w:bookmarkStart w:id="30" w:name="_Toc381350430"/>
      <w:bookmarkStart w:id="31" w:name="_Toc375392868"/>
      <w:bookmarkStart w:id="32" w:name="_Toc357427217"/>
      <w:bookmarkStart w:id="33" w:name="_Toc238797535"/>
      <w:bookmarkStart w:id="34" w:name="_Toc144974483"/>
      <w:bookmarkStart w:id="35" w:name="_Toc238552180"/>
      <w:bookmarkStart w:id="36" w:name="_Toc152042291"/>
      <w:bookmarkStart w:id="37" w:name="_Toc152045515"/>
      <w:r>
        <w:rPr>
          <w:rFonts w:hint="eastAsia" w:ascii="宋体" w:hAnsi="宋体"/>
        </w:rPr>
        <w:t xml:space="preserve">3.1 </w:t>
      </w:r>
      <w:bookmarkEnd w:id="28"/>
      <w:r>
        <w:rPr>
          <w:rFonts w:hint="eastAsia" w:ascii="宋体" w:hAnsi="宋体"/>
        </w:rPr>
        <w:t>投标人资格条件要求：详见附件一。</w:t>
      </w:r>
    </w:p>
    <w:p>
      <w:pPr>
        <w:spacing w:line="360" w:lineRule="auto"/>
        <w:ind w:firstLine="424" w:firstLineChars="202"/>
        <w:rPr>
          <w:rFonts w:ascii="宋体" w:hAnsi="宋体"/>
        </w:rPr>
      </w:pPr>
      <w:bookmarkStart w:id="38" w:name="_Toc381449807"/>
      <w:r>
        <w:rPr>
          <w:rFonts w:hint="eastAsia" w:ascii="宋体" w:hAnsi="宋体"/>
        </w:rPr>
        <w:t>3.2 本次招标不接受联合体投标。</w:t>
      </w:r>
      <w:bookmarkEnd w:id="38"/>
    </w:p>
    <w:p>
      <w:pPr>
        <w:spacing w:line="360" w:lineRule="auto"/>
        <w:ind w:firstLine="422" w:firstLineChars="200"/>
        <w:outlineLvl w:val="1"/>
        <w:rPr>
          <w:rFonts w:ascii="宋体" w:hAnsi="宋体"/>
          <w:szCs w:val="21"/>
        </w:rPr>
      </w:pPr>
      <w:bookmarkStart w:id="39" w:name="_Toc7402"/>
      <w:bookmarkStart w:id="40" w:name="_Toc414355674"/>
      <w:bookmarkStart w:id="41" w:name="_Toc439149420"/>
      <w:bookmarkStart w:id="42" w:name="_Toc416354584"/>
      <w:r>
        <w:rPr>
          <w:b/>
        </w:rPr>
        <w:t>4</w:t>
      </w:r>
      <w:r>
        <w:rPr>
          <w:rFonts w:hint="eastAsia"/>
          <w:b/>
        </w:rPr>
        <w:t>．资格审查方式</w:t>
      </w:r>
      <w:bookmarkEnd w:id="29"/>
      <w:bookmarkEnd w:id="30"/>
      <w:bookmarkEnd w:id="31"/>
      <w:bookmarkEnd w:id="32"/>
      <w:bookmarkEnd w:id="39"/>
      <w:bookmarkEnd w:id="40"/>
      <w:bookmarkEnd w:id="41"/>
      <w:bookmarkEnd w:id="42"/>
    </w:p>
    <w:p>
      <w:pPr>
        <w:spacing w:line="360" w:lineRule="auto"/>
        <w:ind w:firstLine="424" w:firstLineChars="202"/>
        <w:rPr>
          <w:rFonts w:ascii="宋体" w:hAnsi="宋体"/>
          <w:szCs w:val="21"/>
        </w:rPr>
      </w:pPr>
      <w:r>
        <w:rPr>
          <w:rFonts w:hint="eastAsia" w:ascii="宋体" w:hAnsi="宋体"/>
          <w:szCs w:val="21"/>
        </w:rPr>
        <w:t>本次招标采用资格后审方式。</w:t>
      </w:r>
      <w:bookmarkStart w:id="43" w:name="_Toc258487780"/>
      <w:bookmarkStart w:id="44" w:name="_Toc376982918"/>
    </w:p>
    <w:p>
      <w:pPr>
        <w:spacing w:line="360" w:lineRule="auto"/>
        <w:ind w:firstLine="426" w:firstLineChars="202"/>
        <w:outlineLvl w:val="1"/>
        <w:rPr>
          <w:b/>
        </w:rPr>
      </w:pPr>
      <w:bookmarkStart w:id="45" w:name="_Toc416354585"/>
      <w:bookmarkStart w:id="46" w:name="_Toc381350431"/>
      <w:bookmarkStart w:id="47" w:name="_Toc414355675"/>
      <w:bookmarkStart w:id="48" w:name="_Toc20199"/>
      <w:bookmarkStart w:id="49" w:name="_Toc439149421"/>
      <w:r>
        <w:rPr>
          <w:b/>
        </w:rPr>
        <w:t>5</w:t>
      </w:r>
      <w:r>
        <w:rPr>
          <w:rFonts w:hint="eastAsia"/>
          <w:b/>
        </w:rPr>
        <w:t>．招标文件的获取</w:t>
      </w:r>
      <w:bookmarkEnd w:id="33"/>
      <w:bookmarkEnd w:id="34"/>
      <w:bookmarkEnd w:id="35"/>
      <w:bookmarkEnd w:id="36"/>
      <w:bookmarkEnd w:id="37"/>
      <w:bookmarkEnd w:id="43"/>
      <w:bookmarkEnd w:id="44"/>
      <w:bookmarkEnd w:id="45"/>
      <w:bookmarkEnd w:id="46"/>
      <w:bookmarkEnd w:id="47"/>
      <w:bookmarkEnd w:id="48"/>
      <w:bookmarkEnd w:id="49"/>
    </w:p>
    <w:p>
      <w:pPr>
        <w:spacing w:line="360" w:lineRule="auto"/>
        <w:ind w:firstLine="420" w:firstLineChars="200"/>
        <w:jc w:val="left"/>
        <w:rPr>
          <w:rFonts w:ascii="宋体" w:hAnsi="宋体"/>
        </w:rPr>
      </w:pPr>
      <w:r>
        <w:rPr>
          <w:rFonts w:ascii="宋体" w:hAnsi="宋体"/>
        </w:rPr>
        <w:t>5.1</w:t>
      </w:r>
      <w:r>
        <w:rPr>
          <w:rFonts w:hint="eastAsia" w:ascii="宋体" w:hAnsi="宋体"/>
        </w:rPr>
        <w:t>本次招标文件仅采用电子版方式发售，潜在投标人购买招标文件务必先在中国中铁采购电子商务平台（</w:t>
      </w:r>
      <w:r>
        <w:rPr>
          <w:rFonts w:ascii="宋体" w:hAnsi="宋体"/>
        </w:rPr>
        <w:t>www.crecgec.com</w:t>
      </w:r>
      <w:r>
        <w:rPr>
          <w:rFonts w:hint="eastAsia" w:ascii="宋体" w:hAnsi="宋体"/>
        </w:rPr>
        <w:t>）进行供应商注册。</w:t>
      </w:r>
      <w:r>
        <w:rPr>
          <w:rFonts w:ascii="宋体" w:hAnsi="宋体"/>
        </w:rPr>
        <w:t>凡有意参加投标的潜在投标人，请于公告之日起至</w:t>
      </w:r>
      <w:r>
        <w:rPr>
          <w:rFonts w:hint="eastAsia" w:ascii="宋体" w:hAnsi="宋体"/>
        </w:rPr>
        <w:t>2019年</w:t>
      </w:r>
      <w:r>
        <w:rPr>
          <w:rFonts w:hint="eastAsia" w:ascii="宋体" w:hAnsi="宋体"/>
          <w:lang w:val="en-US" w:eastAsia="zh-CN"/>
        </w:rPr>
        <w:t>12</w:t>
      </w:r>
      <w:r>
        <w:rPr>
          <w:rFonts w:hint="eastAsia" w:ascii="宋体" w:hAnsi="宋体"/>
        </w:rPr>
        <w:t>月</w:t>
      </w:r>
      <w:r>
        <w:rPr>
          <w:rFonts w:hint="eastAsia" w:ascii="宋体" w:hAnsi="宋体"/>
          <w:lang w:val="en-US" w:eastAsia="zh-CN"/>
        </w:rPr>
        <w:t>23</w:t>
      </w:r>
      <w:r>
        <w:rPr>
          <w:rFonts w:hint="eastAsia" w:ascii="宋体" w:hAnsi="宋体"/>
        </w:rPr>
        <w:t>日17时</w:t>
      </w:r>
      <w:r>
        <w:rPr>
          <w:rFonts w:ascii="宋体" w:hAnsi="宋体"/>
        </w:rPr>
        <w:t>前将投标申请表（附件</w:t>
      </w:r>
      <w:r>
        <w:rPr>
          <w:rFonts w:hint="eastAsia" w:ascii="宋体" w:hAnsi="宋体"/>
        </w:rPr>
        <w:t>二</w:t>
      </w:r>
      <w:r>
        <w:rPr>
          <w:rFonts w:ascii="宋体" w:hAnsi="宋体"/>
        </w:rPr>
        <w:t>）、营业执照副本（加盖公章）、投标联系人身份证扫描件（加盖公章）发至招标联系人电子邮箱</w:t>
      </w:r>
      <w:r>
        <w:rPr>
          <w:rFonts w:hint="eastAsia" w:ascii="宋体" w:hAnsi="宋体"/>
        </w:rPr>
        <w:t>。提交资料经招标采购工作小组审核通过后，</w:t>
      </w:r>
      <w:r>
        <w:rPr>
          <w:rFonts w:ascii="宋体" w:hAnsi="宋体"/>
        </w:rPr>
        <w:t>投标人登陆中国中铁采购电子商务平台</w:t>
      </w:r>
      <w:r>
        <w:rPr>
          <w:rFonts w:hint="eastAsia" w:ascii="宋体" w:hAnsi="宋体"/>
        </w:rPr>
        <w:t>自行下载</w:t>
      </w:r>
      <w:r>
        <w:rPr>
          <w:rFonts w:ascii="宋体" w:hAnsi="宋体"/>
        </w:rPr>
        <w:t xml:space="preserve">电子版招标文件。 </w:t>
      </w:r>
    </w:p>
    <w:p>
      <w:pPr>
        <w:spacing w:line="360" w:lineRule="auto"/>
        <w:ind w:firstLine="424" w:firstLineChars="202"/>
        <w:rPr>
          <w:rFonts w:ascii="宋体" w:hAnsi="宋体"/>
        </w:rPr>
      </w:pPr>
      <w:r>
        <w:rPr>
          <w:rFonts w:ascii="宋体" w:hAnsi="宋体"/>
          <w:szCs w:val="21"/>
        </w:rPr>
        <w:t>5.2</w:t>
      </w:r>
      <w:r>
        <w:rPr>
          <w:rFonts w:hint="eastAsia" w:ascii="宋体" w:hAnsi="宋体"/>
          <w:szCs w:val="21"/>
        </w:rPr>
        <w:t>招标文件每套售价（见附件一）</w:t>
      </w:r>
      <w:r>
        <w:rPr>
          <w:rFonts w:hint="eastAsia" w:ascii="宋体" w:hAnsi="宋体"/>
        </w:rPr>
        <w:t>。</w:t>
      </w:r>
      <w:bookmarkStart w:id="50" w:name="_Toc381350432"/>
    </w:p>
    <w:p>
      <w:pPr>
        <w:spacing w:line="360" w:lineRule="auto"/>
        <w:ind w:firstLine="424" w:firstLineChars="202"/>
        <w:rPr>
          <w:rFonts w:ascii="宋体" w:hAnsi="宋体"/>
        </w:rPr>
      </w:pPr>
      <w:r>
        <w:rPr>
          <w:rFonts w:hint="eastAsia" w:ascii="宋体" w:hAnsi="宋体"/>
        </w:rPr>
        <w:t>投标人将标书款、投标保证金电汇至下述账号，同时须在汇款单据上注明招标编号及购买包件号；招标文件售后不退；购买标书的费用不提供发票，只提供收据；投标人在开标日领取收据。</w:t>
      </w:r>
      <w:r>
        <w:rPr>
          <w:rFonts w:hint="eastAsia" w:ascii="新宋体" w:hAnsi="新宋体" w:eastAsia="新宋体" w:cs="新宋体"/>
          <w:szCs w:val="21"/>
        </w:rPr>
        <w:t>投标人将银行回单扫描件发送至招标组织单位</w:t>
      </w:r>
      <w:r>
        <w:rPr>
          <w:rFonts w:hint="eastAsia" w:ascii="新宋体" w:hAnsi="新宋体" w:eastAsia="新宋体" w:cs="新宋体"/>
          <w:b/>
          <w:bCs/>
          <w:szCs w:val="21"/>
        </w:rPr>
        <w:t>邮箱</w:t>
      </w:r>
      <w:r>
        <w:rPr>
          <w:rFonts w:hint="eastAsia" w:ascii="宋体" w:hAnsi="宋体" w:eastAsia="新宋体"/>
          <w:b/>
          <w:bCs/>
          <w:u w:val="single"/>
        </w:rPr>
        <w:t xml:space="preserve"> 1442481556@qq.com </w:t>
      </w:r>
      <w:r>
        <w:rPr>
          <w:rFonts w:hint="eastAsia" w:ascii="宋体" w:hAnsi="宋体" w:eastAsia="新宋体"/>
        </w:rPr>
        <w:t>，</w:t>
      </w:r>
      <w:r>
        <w:rPr>
          <w:rFonts w:hint="eastAsia" w:ascii="新宋体" w:hAnsi="新宋体" w:eastAsia="新宋体" w:cs="新宋体"/>
          <w:szCs w:val="21"/>
        </w:rPr>
        <w:t>招标组织单位收到信息经核实后，通知投标人在中国中铁采购电子商务平台（www.crecgec.com）下载电子版招标文件或将电子版招标文件发送至投标人申请表提供的邮箱中。</w:t>
      </w:r>
    </w:p>
    <w:p>
      <w:pPr>
        <w:spacing w:line="360" w:lineRule="auto"/>
        <w:ind w:left="420" w:leftChars="200"/>
        <w:rPr>
          <w:rFonts w:hint="eastAsia" w:ascii="宋体" w:hAnsi="宋体"/>
        </w:rPr>
      </w:pPr>
      <w:r>
        <w:rPr>
          <w:rFonts w:hint="eastAsia" w:ascii="宋体" w:hAnsi="宋体"/>
        </w:rPr>
        <w:t>户名：中铁一局集团有限公司广州分公司</w:t>
      </w:r>
      <w:r>
        <w:rPr>
          <w:rFonts w:hint="eastAsia" w:ascii="宋体" w:hAnsi="宋体"/>
        </w:rPr>
        <w:br w:type="textWrapping"/>
      </w:r>
      <w:r>
        <w:rPr>
          <w:rFonts w:hint="eastAsia" w:ascii="宋体" w:hAnsi="宋体"/>
        </w:rPr>
        <w:t>账号：44050170870100000515</w:t>
      </w:r>
      <w:r>
        <w:rPr>
          <w:rFonts w:hint="eastAsia" w:ascii="宋体" w:hAnsi="宋体"/>
        </w:rPr>
        <w:br w:type="textWrapping"/>
      </w:r>
      <w:r>
        <w:rPr>
          <w:rFonts w:hint="eastAsia" w:ascii="宋体" w:hAnsi="宋体"/>
        </w:rPr>
        <w:t>开户行：中国建设银行肇庆分行</w:t>
      </w:r>
    </w:p>
    <w:p>
      <w:pPr>
        <w:spacing w:line="360" w:lineRule="auto"/>
        <w:ind w:firstLine="424" w:firstLineChars="202"/>
        <w:rPr>
          <w:rFonts w:ascii="宋体" w:hAnsi="宋体"/>
          <w:szCs w:val="21"/>
        </w:rPr>
      </w:pPr>
      <w:r>
        <w:rPr>
          <w:rFonts w:ascii="宋体" w:hAnsi="宋体"/>
          <w:szCs w:val="21"/>
        </w:rPr>
        <w:t xml:space="preserve">5.3 </w:t>
      </w:r>
      <w:r>
        <w:rPr>
          <w:rFonts w:hint="eastAsia" w:ascii="宋体" w:hAnsi="宋体"/>
          <w:szCs w:val="21"/>
        </w:rPr>
        <w:t>本次招标的招标文件将采用电子邮件方式发售（鲁班网上下载）。</w:t>
      </w:r>
      <w:bookmarkEnd w:id="50"/>
      <w:bookmarkStart w:id="51" w:name="_Toc152042292"/>
      <w:bookmarkStart w:id="52" w:name="_Toc376982919"/>
      <w:bookmarkStart w:id="53" w:name="_Toc238797536"/>
      <w:bookmarkStart w:id="54" w:name="_Toc152045516"/>
      <w:bookmarkStart w:id="55" w:name="_Toc144974484"/>
      <w:bookmarkStart w:id="56" w:name="_Toc258487781"/>
      <w:bookmarkStart w:id="57" w:name="_Toc238552181"/>
    </w:p>
    <w:p>
      <w:pPr>
        <w:spacing w:line="360" w:lineRule="auto"/>
        <w:ind w:firstLine="424" w:firstLineChars="202"/>
        <w:rPr>
          <w:rFonts w:ascii="宋体" w:hAnsi="宋体"/>
        </w:rPr>
      </w:pPr>
      <w:r>
        <w:rPr>
          <w:rFonts w:hint="eastAsia" w:ascii="宋体" w:hAnsi="宋体"/>
        </w:rPr>
        <w:t>5.4本次招标物资一包一投。</w:t>
      </w:r>
    </w:p>
    <w:bookmarkEnd w:id="51"/>
    <w:bookmarkEnd w:id="52"/>
    <w:bookmarkEnd w:id="53"/>
    <w:bookmarkEnd w:id="54"/>
    <w:bookmarkEnd w:id="55"/>
    <w:bookmarkEnd w:id="56"/>
    <w:bookmarkEnd w:id="57"/>
    <w:p>
      <w:pPr>
        <w:tabs>
          <w:tab w:val="left" w:pos="3150"/>
        </w:tabs>
        <w:spacing w:line="360" w:lineRule="auto"/>
        <w:ind w:firstLine="426" w:firstLineChars="202"/>
        <w:outlineLvl w:val="0"/>
        <w:rPr>
          <w:b/>
        </w:rPr>
      </w:pPr>
      <w:bookmarkStart w:id="58" w:name="_Toc21429"/>
      <w:bookmarkStart w:id="59" w:name="_Toc381350433"/>
      <w:bookmarkStart w:id="60" w:name="_Toc416354586"/>
      <w:bookmarkStart w:id="61" w:name="_Toc414355676"/>
      <w:bookmarkStart w:id="62" w:name="_Toc439149422"/>
      <w:bookmarkStart w:id="63" w:name="_Toc376982921"/>
      <w:bookmarkStart w:id="64" w:name="_Toc439149424"/>
      <w:bookmarkStart w:id="65" w:name="_Toc258487783"/>
      <w:bookmarkStart w:id="66" w:name="_Toc238797537"/>
      <w:bookmarkStart w:id="67" w:name="_Toc157499355"/>
      <w:bookmarkStart w:id="68" w:name="_Toc416354588"/>
      <w:bookmarkStart w:id="69" w:name="_Toc414355678"/>
      <w:bookmarkStart w:id="70" w:name="_Toc238552182"/>
      <w:bookmarkStart w:id="71" w:name="_Toc381350435"/>
      <w:r>
        <w:rPr>
          <w:b/>
        </w:rPr>
        <w:t>6</w:t>
      </w:r>
      <w:r>
        <w:rPr>
          <w:rFonts w:hint="eastAsia"/>
          <w:b/>
        </w:rPr>
        <w:t>．投标文件的递交</w:t>
      </w:r>
      <w:bookmarkEnd w:id="58"/>
      <w:bookmarkEnd w:id="59"/>
      <w:bookmarkEnd w:id="60"/>
      <w:bookmarkEnd w:id="61"/>
      <w:bookmarkEnd w:id="62"/>
      <w:r>
        <w:rPr>
          <w:b/>
        </w:rPr>
        <w:tab/>
      </w:r>
    </w:p>
    <w:p>
      <w:pPr>
        <w:spacing w:line="360" w:lineRule="auto"/>
        <w:ind w:firstLine="420" w:firstLineChars="200"/>
        <w:rPr>
          <w:rFonts w:ascii="宋体" w:hAnsi="宋体"/>
        </w:rPr>
      </w:pPr>
      <w:r>
        <w:rPr>
          <w:rFonts w:hint="eastAsia" w:ascii="宋体" w:hAnsi="宋体"/>
        </w:rPr>
        <w:t>6.1投标文件递交的时间为：20</w:t>
      </w:r>
      <w:r>
        <w:rPr>
          <w:rFonts w:hint="eastAsia" w:ascii="宋体" w:hAnsi="宋体"/>
          <w:lang w:val="en-US" w:eastAsia="zh-CN"/>
        </w:rPr>
        <w:t>20</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6</w:t>
      </w:r>
      <w:r>
        <w:rPr>
          <w:rFonts w:hint="eastAsia" w:ascii="宋体" w:hAnsi="宋体"/>
        </w:rPr>
        <w:t>日09：30时，递交投标文件的截止时间（投标截止时间，下同）为20</w:t>
      </w:r>
      <w:r>
        <w:rPr>
          <w:rFonts w:hint="eastAsia" w:ascii="宋体" w:hAnsi="宋体"/>
          <w:lang w:val="en-US" w:eastAsia="zh-CN"/>
        </w:rPr>
        <w:t>20</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6</w:t>
      </w:r>
      <w:r>
        <w:rPr>
          <w:rFonts w:hint="eastAsia" w:ascii="宋体" w:hAnsi="宋体"/>
        </w:rPr>
        <w:t>日09：30时，地点为：广东省广州市番禺区东艺路金山谷意库6栋，请投标人法定代表人或其授权委托代理人届时参加。</w:t>
      </w:r>
    </w:p>
    <w:p>
      <w:pPr>
        <w:spacing w:line="360" w:lineRule="auto"/>
        <w:ind w:firstLine="424" w:firstLineChars="202"/>
        <w:rPr>
          <w:rFonts w:ascii="宋体" w:hAnsi="宋体"/>
        </w:rPr>
      </w:pPr>
      <w:r>
        <w:rPr>
          <w:rFonts w:hint="eastAsia" w:ascii="宋体" w:hAnsi="宋体"/>
        </w:rPr>
        <w:t>6.2 逾期送达的或者未送达指定地点的投标文件，招标人不予受理。</w:t>
      </w:r>
      <w:bookmarkStart w:id="72" w:name="_Toc376982920"/>
      <w:bookmarkStart w:id="73" w:name="_Toc258487782"/>
    </w:p>
    <w:p>
      <w:pPr>
        <w:spacing w:line="360" w:lineRule="auto"/>
        <w:ind w:firstLine="426" w:firstLineChars="202"/>
        <w:outlineLvl w:val="0"/>
        <w:rPr>
          <w:rFonts w:ascii="宋体" w:hAnsi="宋体"/>
        </w:rPr>
      </w:pPr>
      <w:bookmarkStart w:id="74" w:name="_Toc439149423"/>
      <w:bookmarkStart w:id="75" w:name="_Toc406672554"/>
      <w:bookmarkStart w:id="76" w:name="_Toc22000"/>
      <w:bookmarkStart w:id="77" w:name="_Toc416354587"/>
      <w:bookmarkStart w:id="78" w:name="_Toc381350434"/>
      <w:bookmarkStart w:id="79" w:name="_Toc414355677"/>
      <w:r>
        <w:rPr>
          <w:b/>
        </w:rPr>
        <w:t>7</w:t>
      </w:r>
      <w:r>
        <w:rPr>
          <w:rFonts w:hint="eastAsia"/>
          <w:b/>
        </w:rPr>
        <w:t>．开标</w:t>
      </w:r>
      <w:bookmarkEnd w:id="72"/>
      <w:bookmarkEnd w:id="73"/>
      <w:bookmarkEnd w:id="74"/>
      <w:bookmarkEnd w:id="75"/>
      <w:bookmarkEnd w:id="76"/>
      <w:bookmarkEnd w:id="77"/>
      <w:bookmarkEnd w:id="78"/>
      <w:bookmarkEnd w:id="79"/>
    </w:p>
    <w:p>
      <w:pPr>
        <w:spacing w:line="360" w:lineRule="auto"/>
        <w:ind w:firstLine="424" w:firstLineChars="202"/>
        <w:rPr>
          <w:rFonts w:ascii="宋体" w:hAnsi="宋体"/>
        </w:rPr>
      </w:pPr>
      <w:r>
        <w:rPr>
          <w:rFonts w:hint="eastAsia" w:ascii="宋体" w:hAnsi="宋体"/>
        </w:rPr>
        <w:t>7.1时间：20</w:t>
      </w:r>
      <w:r>
        <w:rPr>
          <w:rFonts w:hint="eastAsia" w:ascii="宋体" w:hAnsi="宋体"/>
          <w:lang w:val="en-US" w:eastAsia="zh-CN"/>
        </w:rPr>
        <w:t>20</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6</w:t>
      </w:r>
      <w:r>
        <w:rPr>
          <w:rFonts w:hint="eastAsia" w:ascii="宋体" w:hAnsi="宋体"/>
        </w:rPr>
        <w:t>日09：30时。</w:t>
      </w:r>
    </w:p>
    <w:p>
      <w:pPr>
        <w:spacing w:line="360" w:lineRule="auto"/>
        <w:ind w:firstLine="424" w:firstLineChars="202"/>
        <w:rPr>
          <w:rFonts w:ascii="宋体" w:hAnsi="宋体"/>
        </w:rPr>
      </w:pPr>
      <w:r>
        <w:rPr>
          <w:rFonts w:hint="eastAsia" w:ascii="宋体" w:hAnsi="宋体"/>
        </w:rPr>
        <w:t>7.2地点：广东省广州市番禺区东艺路金山谷意库6栋</w:t>
      </w:r>
      <w:r>
        <w:rPr>
          <w:rFonts w:hint="eastAsia" w:ascii="新宋体" w:hAnsi="新宋体" w:eastAsia="新宋体" w:cs="新宋体"/>
          <w:szCs w:val="21"/>
        </w:rPr>
        <w:t>。</w:t>
      </w:r>
      <w:r>
        <w:rPr>
          <w:rFonts w:hint="eastAsia" w:ascii="宋体" w:hAnsi="宋体"/>
        </w:rPr>
        <w:t>上述安排如有变化，招标人将通过发布公告的媒介发布通知。</w:t>
      </w:r>
    </w:p>
    <w:p>
      <w:pPr>
        <w:spacing w:line="360" w:lineRule="auto"/>
        <w:ind w:firstLine="426" w:firstLineChars="202"/>
        <w:outlineLvl w:val="0"/>
        <w:rPr>
          <w:rFonts w:ascii="宋体" w:hAnsi="宋体"/>
        </w:rPr>
      </w:pPr>
      <w:bookmarkStart w:id="80" w:name="_Toc14973"/>
      <w:r>
        <w:rPr>
          <w:b/>
        </w:rPr>
        <w:t>8</w:t>
      </w:r>
      <w:r>
        <w:rPr>
          <w:rFonts w:hint="eastAsia"/>
          <w:b/>
        </w:rPr>
        <w:t>．发布公告的媒介</w:t>
      </w:r>
      <w:bookmarkEnd w:id="63"/>
      <w:bookmarkEnd w:id="64"/>
      <w:bookmarkEnd w:id="65"/>
      <w:bookmarkEnd w:id="66"/>
      <w:bookmarkEnd w:id="67"/>
      <w:bookmarkEnd w:id="68"/>
      <w:bookmarkEnd w:id="69"/>
      <w:bookmarkEnd w:id="70"/>
      <w:bookmarkEnd w:id="71"/>
      <w:bookmarkEnd w:id="80"/>
    </w:p>
    <w:p>
      <w:pPr>
        <w:spacing w:line="360" w:lineRule="auto"/>
        <w:ind w:firstLine="424" w:firstLineChars="202"/>
        <w:rPr>
          <w:rFonts w:ascii="宋体" w:hAnsi="宋体"/>
        </w:rPr>
      </w:pPr>
      <w:r>
        <w:rPr>
          <w:rFonts w:hint="eastAsia" w:ascii="宋体" w:hAnsi="宋体"/>
        </w:rPr>
        <w:t>本次招标公告在中国采购与招标网（</w:t>
      </w:r>
      <w:r>
        <w:rPr>
          <w:rFonts w:ascii="宋体" w:hAnsi="宋体"/>
        </w:rPr>
        <w:t>http</w:t>
      </w:r>
      <w:r>
        <w:rPr>
          <w:rFonts w:hint="eastAsia" w:ascii="宋体" w:hAnsi="宋体"/>
        </w:rPr>
        <w:t>：</w:t>
      </w:r>
      <w:r>
        <w:rPr>
          <w:rFonts w:ascii="宋体" w:hAnsi="宋体"/>
        </w:rPr>
        <w:t>//www.chinabidding.com.cn</w:t>
      </w:r>
      <w:r>
        <w:rPr>
          <w:rFonts w:hint="eastAsia" w:ascii="宋体" w:hAnsi="宋体"/>
        </w:rPr>
        <w:t xml:space="preserve"> ）和中国中铁采购电子商务平台(</w:t>
      </w:r>
      <w:r>
        <w:rPr>
          <w:rFonts w:ascii="宋体" w:hAnsi="宋体"/>
        </w:rPr>
        <w:t>http://www.crecgec.com/</w:t>
      </w:r>
      <w:r>
        <w:rPr>
          <w:rFonts w:hint="eastAsia" w:ascii="宋体" w:hAnsi="宋体"/>
        </w:rPr>
        <w:t>)网站上发布。</w:t>
      </w:r>
      <w:bookmarkStart w:id="81" w:name="_Toc152042293"/>
      <w:bookmarkStart w:id="82" w:name="_Toc152045517"/>
      <w:bookmarkStart w:id="83" w:name="_Toc376982922"/>
      <w:bookmarkStart w:id="84" w:name="_Toc238552183"/>
      <w:bookmarkStart w:id="85" w:name="_Toc258487784"/>
      <w:bookmarkStart w:id="86" w:name="_Toc144974485"/>
      <w:bookmarkStart w:id="87" w:name="_Toc238797538"/>
    </w:p>
    <w:p>
      <w:pPr>
        <w:spacing w:line="360" w:lineRule="auto"/>
        <w:ind w:firstLine="426" w:firstLineChars="202"/>
        <w:outlineLvl w:val="0"/>
        <w:rPr>
          <w:b/>
        </w:rPr>
      </w:pPr>
      <w:bookmarkStart w:id="88" w:name="_Toc416354589"/>
      <w:bookmarkStart w:id="89" w:name="_Toc414355679"/>
      <w:bookmarkStart w:id="90" w:name="_Toc439149425"/>
      <w:bookmarkStart w:id="91" w:name="_Toc381350436"/>
      <w:bookmarkStart w:id="92" w:name="_Toc13194"/>
      <w:r>
        <w:rPr>
          <w:b/>
        </w:rPr>
        <w:t>9</w:t>
      </w:r>
      <w:r>
        <w:rPr>
          <w:rFonts w:hint="eastAsia"/>
          <w:b/>
        </w:rPr>
        <w:t>．招标人信息</w:t>
      </w:r>
      <w:bookmarkEnd w:id="81"/>
      <w:bookmarkEnd w:id="82"/>
      <w:bookmarkEnd w:id="83"/>
      <w:bookmarkEnd w:id="84"/>
      <w:bookmarkEnd w:id="85"/>
      <w:bookmarkEnd w:id="86"/>
      <w:bookmarkEnd w:id="87"/>
      <w:bookmarkEnd w:id="88"/>
      <w:bookmarkEnd w:id="89"/>
      <w:bookmarkEnd w:id="90"/>
      <w:bookmarkEnd w:id="91"/>
      <w:bookmarkEnd w:id="92"/>
    </w:p>
    <w:p>
      <w:pPr>
        <w:spacing w:line="360" w:lineRule="auto"/>
        <w:ind w:firstLine="424" w:firstLineChars="202"/>
        <w:rPr>
          <w:rFonts w:ascii="宋体" w:hAnsi="宋体"/>
        </w:rPr>
      </w:pPr>
      <w:r>
        <w:rPr>
          <w:rFonts w:hint="eastAsia" w:ascii="宋体" w:hAnsi="宋体"/>
        </w:rPr>
        <w:t>招标单位</w:t>
      </w:r>
      <w:r>
        <w:rPr>
          <w:rFonts w:ascii="宋体" w:hAnsi="宋体"/>
        </w:rPr>
        <w:t>:</w:t>
      </w:r>
      <w:r>
        <w:rPr>
          <w:rFonts w:hint="eastAsia" w:ascii="宋体" w:hAnsi="宋体"/>
        </w:rPr>
        <w:t>中铁一局集团有限公司广州分公司</w:t>
      </w:r>
    </w:p>
    <w:p>
      <w:pPr>
        <w:spacing w:line="360" w:lineRule="auto"/>
        <w:ind w:firstLine="424" w:firstLineChars="202"/>
        <w:rPr>
          <w:rFonts w:ascii="宋体" w:hAnsi="宋体"/>
        </w:rPr>
      </w:pPr>
      <w:r>
        <w:rPr>
          <w:rFonts w:hint="eastAsia" w:ascii="宋体" w:hAnsi="宋体"/>
        </w:rPr>
        <w:t>联 系 人</w:t>
      </w:r>
      <w:r>
        <w:rPr>
          <w:rFonts w:ascii="宋体" w:hAnsi="宋体"/>
        </w:rPr>
        <w:t>：</w:t>
      </w:r>
    </w:p>
    <w:p>
      <w:pPr>
        <w:spacing w:line="360" w:lineRule="auto"/>
        <w:ind w:firstLine="424" w:firstLineChars="202"/>
        <w:rPr>
          <w:rFonts w:hint="eastAsia" w:ascii="宋体" w:hAnsi="宋体"/>
        </w:rPr>
      </w:pPr>
      <w:r>
        <w:rPr>
          <w:rFonts w:hint="eastAsia" w:ascii="宋体" w:hAnsi="宋体"/>
        </w:rPr>
        <w:t>广州分公司物资设备部：  张凯强  电话：13590236261   邮  箱：</w:t>
      </w:r>
      <w:r>
        <w:rPr>
          <w:rFonts w:hint="eastAsia" w:ascii="宋体" w:hAnsi="宋体"/>
        </w:rPr>
        <w:fldChar w:fldCharType="begin"/>
      </w:r>
      <w:r>
        <w:rPr>
          <w:rFonts w:hint="eastAsia" w:ascii="宋体" w:hAnsi="宋体"/>
        </w:rPr>
        <w:instrText xml:space="preserve"> HYPERLINK "mailto:1442481556@qq.com" </w:instrText>
      </w:r>
      <w:r>
        <w:rPr>
          <w:rFonts w:hint="eastAsia" w:ascii="宋体" w:hAnsi="宋体"/>
        </w:rPr>
        <w:fldChar w:fldCharType="separate"/>
      </w:r>
      <w:r>
        <w:rPr>
          <w:rStyle w:val="5"/>
          <w:rFonts w:hint="eastAsia" w:ascii="宋体" w:hAnsi="宋体"/>
        </w:rPr>
        <w:t>1442481556@qq.com</w:t>
      </w:r>
      <w:r>
        <w:rPr>
          <w:rFonts w:hint="eastAsia" w:ascii="宋体" w:hAnsi="宋体"/>
        </w:rPr>
        <w:fldChar w:fldCharType="end"/>
      </w:r>
    </w:p>
    <w:p>
      <w:pPr>
        <w:spacing w:line="360" w:lineRule="auto"/>
        <w:ind w:firstLine="424" w:firstLineChars="202"/>
        <w:rPr>
          <w:rFonts w:hint="eastAsia" w:ascii="宋体" w:hAnsi="宋体"/>
          <w:lang w:val="en-US" w:eastAsia="zh-CN"/>
        </w:rPr>
      </w:pPr>
      <w:r>
        <w:rPr>
          <w:rFonts w:hint="eastAsia" w:ascii="宋体" w:hAnsi="宋体"/>
          <w:lang w:val="en-US" w:eastAsia="zh-CN"/>
        </w:rPr>
        <w:t>肇庆三期项目：          蔡利辉  电话：18802746868</w:t>
      </w:r>
    </w:p>
    <w:p>
      <w:pPr>
        <w:spacing w:line="360" w:lineRule="auto"/>
        <w:ind w:firstLine="424" w:firstLineChars="202"/>
        <w:rPr>
          <w:rFonts w:hint="eastAsia" w:ascii="宋体" w:hAnsi="宋体"/>
          <w:lang w:val="en-US" w:eastAsia="zh-CN"/>
        </w:rPr>
      </w:pPr>
      <w:r>
        <w:rPr>
          <w:rFonts w:hint="eastAsia" w:ascii="宋体" w:hAnsi="宋体"/>
          <w:lang w:val="en-US" w:eastAsia="zh-CN"/>
        </w:rPr>
        <w:t>肇庆三期项目：          张  伟  电话：18688520542</w:t>
      </w:r>
    </w:p>
    <w:p>
      <w:pPr>
        <w:tabs>
          <w:tab w:val="left" w:pos="4044"/>
        </w:tabs>
        <w:spacing w:line="360" w:lineRule="auto"/>
        <w:ind w:firstLine="426" w:firstLineChars="202"/>
        <w:jc w:val="left"/>
        <w:outlineLvl w:val="0"/>
        <w:rPr>
          <w:b/>
        </w:rPr>
      </w:pPr>
      <w:bookmarkStart w:id="93" w:name="_Toc439149426"/>
      <w:bookmarkStart w:id="94" w:name="_Toc416354590"/>
      <w:bookmarkStart w:id="95" w:name="_Toc414355680"/>
      <w:bookmarkStart w:id="96" w:name="_Toc23293"/>
      <w:r>
        <w:rPr>
          <w:rFonts w:hint="eastAsia"/>
          <w:b/>
        </w:rPr>
        <w:t>10．附件</w:t>
      </w:r>
      <w:bookmarkEnd w:id="93"/>
      <w:bookmarkEnd w:id="94"/>
      <w:bookmarkEnd w:id="95"/>
      <w:bookmarkEnd w:id="96"/>
    </w:p>
    <w:p>
      <w:pPr>
        <w:spacing w:line="360" w:lineRule="auto"/>
        <w:ind w:firstLine="424" w:firstLineChars="202"/>
        <w:rPr>
          <w:rFonts w:ascii="宋体" w:hAnsi="宋体"/>
        </w:rPr>
      </w:pPr>
      <w:r>
        <w:rPr>
          <w:rFonts w:ascii="宋体" w:hAnsi="宋体"/>
        </w:rPr>
        <w:t>附件</w:t>
      </w:r>
      <w:r>
        <w:rPr>
          <w:rFonts w:hint="eastAsia" w:ascii="宋体" w:hAnsi="宋体"/>
        </w:rPr>
        <w:t>一</w:t>
      </w:r>
      <w:r>
        <w:rPr>
          <w:rFonts w:ascii="宋体" w:hAnsi="宋体"/>
        </w:rPr>
        <w:t>、招标内容、投标人资格条件</w:t>
      </w:r>
    </w:p>
    <w:p>
      <w:pPr>
        <w:spacing w:line="360" w:lineRule="auto"/>
        <w:ind w:firstLine="424" w:firstLineChars="202"/>
        <w:rPr>
          <w:rFonts w:ascii="宋体" w:hAnsi="宋体"/>
        </w:rPr>
      </w:pPr>
      <w:r>
        <w:rPr>
          <w:rFonts w:ascii="宋体" w:hAnsi="宋体"/>
        </w:rPr>
        <w:t>附件</w:t>
      </w:r>
      <w:r>
        <w:rPr>
          <w:rFonts w:hint="eastAsia" w:ascii="宋体" w:hAnsi="宋体"/>
        </w:rPr>
        <w:t>二</w:t>
      </w:r>
      <w:r>
        <w:rPr>
          <w:rFonts w:ascii="宋体" w:hAnsi="宋体"/>
        </w:rPr>
        <w:t>、投标申请表</w:t>
      </w:r>
    </w:p>
    <w:p>
      <w:pPr>
        <w:spacing w:line="360" w:lineRule="auto"/>
        <w:ind w:firstLine="424" w:firstLineChars="202"/>
        <w:rPr>
          <w:rFonts w:ascii="宋体" w:hAnsi="宋体"/>
        </w:rPr>
      </w:pPr>
      <w:r>
        <w:rPr>
          <w:rFonts w:hint="eastAsia" w:ascii="宋体" w:hAnsi="宋体"/>
        </w:rPr>
        <w:t>附件三、物资需求明细</w:t>
      </w:r>
    </w:p>
    <w:p>
      <w:pPr>
        <w:spacing w:line="360" w:lineRule="auto"/>
        <w:ind w:firstLine="424" w:firstLineChars="202"/>
        <w:rPr>
          <w:rFonts w:ascii="宋体" w:hAnsi="宋体"/>
        </w:rPr>
      </w:pPr>
      <w:r>
        <w:rPr>
          <w:rFonts w:hint="eastAsia" w:ascii="宋体" w:hAnsi="宋体"/>
        </w:rPr>
        <w:t>附件四、技术规格书</w:t>
      </w:r>
    </w:p>
    <w:p>
      <w:pPr>
        <w:sectPr>
          <w:footerReference r:id="rId4" w:type="first"/>
          <w:footerReference r:id="rId3" w:type="default"/>
          <w:pgSz w:w="11906" w:h="16838"/>
          <w:pgMar w:top="1134" w:right="1418" w:bottom="1134" w:left="1191" w:header="851" w:footer="1418" w:gutter="0"/>
          <w:pgNumType w:start="1"/>
          <w:cols w:space="720" w:num="1"/>
          <w:docGrid w:type="lines" w:linePitch="312" w:charSpace="0"/>
        </w:sectPr>
      </w:pPr>
    </w:p>
    <w:p>
      <w:pPr>
        <w:outlineLvl w:val="0"/>
        <w:rPr>
          <w:rFonts w:ascii="宋体" w:hAnsi="宋体"/>
          <w:b/>
        </w:rPr>
      </w:pPr>
      <w:bookmarkStart w:id="97" w:name="_Toc439149429"/>
      <w:bookmarkStart w:id="98" w:name="_Toc416354592"/>
      <w:bookmarkStart w:id="99" w:name="_Toc446067213"/>
      <w:bookmarkStart w:id="100" w:name="_Toc436387210"/>
      <w:bookmarkStart w:id="101" w:name="_Toc414355682"/>
      <w:bookmarkStart w:id="102" w:name="_Toc484676408"/>
      <w:bookmarkStart w:id="103" w:name="_Toc22725"/>
      <w:bookmarkStart w:id="104" w:name="_Toc26096"/>
      <w:bookmarkStart w:id="105" w:name="_Toc484187714"/>
      <w:r>
        <w:rPr>
          <w:rFonts w:hint="eastAsia"/>
          <w:b/>
          <w:bCs/>
          <w:sz w:val="20"/>
        </w:rPr>
        <w:t>附件一：</w:t>
      </w:r>
      <w:bookmarkEnd w:id="97"/>
      <w:bookmarkEnd w:id="98"/>
      <w:bookmarkEnd w:id="99"/>
      <w:bookmarkEnd w:id="100"/>
      <w:bookmarkEnd w:id="101"/>
      <w:r>
        <w:rPr>
          <w:rFonts w:ascii="宋体" w:hAnsi="宋体"/>
          <w:b/>
        </w:rPr>
        <w:t>招标内容、投标人资格条件</w:t>
      </w:r>
      <w:bookmarkEnd w:id="102"/>
      <w:bookmarkEnd w:id="103"/>
      <w:bookmarkEnd w:id="104"/>
      <w:bookmarkEnd w:id="105"/>
    </w:p>
    <w:p>
      <w:pPr>
        <w:outlineLvl w:val="0"/>
        <w:rPr>
          <w:b/>
          <w:bCs/>
          <w:sz w:val="20"/>
        </w:rPr>
      </w:pPr>
    </w:p>
    <w:tbl>
      <w:tblPr>
        <w:tblStyle w:val="6"/>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2"/>
        <w:gridCol w:w="718"/>
        <w:gridCol w:w="841"/>
        <w:gridCol w:w="503"/>
        <w:gridCol w:w="827"/>
        <w:gridCol w:w="1781"/>
        <w:gridCol w:w="1093"/>
        <w:gridCol w:w="743"/>
        <w:gridCol w:w="1122"/>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5" w:hRule="atLeast"/>
        </w:trPr>
        <w:tc>
          <w:tcPr>
            <w:tcW w:w="422" w:type="dxa"/>
            <w:vAlign w:val="center"/>
          </w:tcPr>
          <w:p>
            <w:pPr>
              <w:jc w:val="center"/>
              <w:outlineLvl w:val="0"/>
              <w:rPr>
                <w:rFonts w:hint="eastAsia"/>
                <w:b/>
                <w:bCs/>
                <w:sz w:val="16"/>
                <w:szCs w:val="21"/>
              </w:rPr>
            </w:pPr>
            <w:bookmarkStart w:id="106" w:name="_Toc24175"/>
            <w:r>
              <w:rPr>
                <w:rFonts w:hint="eastAsia"/>
                <w:b/>
                <w:bCs/>
                <w:sz w:val="16"/>
                <w:szCs w:val="21"/>
              </w:rPr>
              <w:t>序号</w:t>
            </w:r>
            <w:bookmarkEnd w:id="106"/>
          </w:p>
        </w:tc>
        <w:tc>
          <w:tcPr>
            <w:tcW w:w="718" w:type="dxa"/>
            <w:vAlign w:val="center"/>
          </w:tcPr>
          <w:p>
            <w:pPr>
              <w:jc w:val="center"/>
              <w:outlineLvl w:val="0"/>
              <w:rPr>
                <w:rFonts w:hint="eastAsia"/>
                <w:b/>
                <w:bCs/>
                <w:sz w:val="16"/>
                <w:szCs w:val="21"/>
              </w:rPr>
            </w:pPr>
            <w:bookmarkStart w:id="107" w:name="_Toc4869"/>
            <w:r>
              <w:rPr>
                <w:rFonts w:hint="eastAsia"/>
                <w:b/>
                <w:bCs/>
                <w:sz w:val="16"/>
                <w:szCs w:val="21"/>
              </w:rPr>
              <w:t>物资名称</w:t>
            </w:r>
            <w:bookmarkEnd w:id="107"/>
          </w:p>
        </w:tc>
        <w:tc>
          <w:tcPr>
            <w:tcW w:w="841" w:type="dxa"/>
            <w:vAlign w:val="center"/>
          </w:tcPr>
          <w:p>
            <w:pPr>
              <w:jc w:val="center"/>
              <w:outlineLvl w:val="0"/>
              <w:rPr>
                <w:rFonts w:hint="eastAsia"/>
                <w:b/>
                <w:bCs/>
                <w:sz w:val="16"/>
                <w:szCs w:val="21"/>
              </w:rPr>
            </w:pPr>
            <w:bookmarkStart w:id="108" w:name="_Toc10894"/>
            <w:r>
              <w:rPr>
                <w:rFonts w:hint="eastAsia"/>
                <w:b/>
                <w:bCs/>
                <w:sz w:val="16"/>
                <w:szCs w:val="21"/>
              </w:rPr>
              <w:t>包件</w:t>
            </w:r>
            <w:bookmarkEnd w:id="108"/>
          </w:p>
        </w:tc>
        <w:tc>
          <w:tcPr>
            <w:tcW w:w="503" w:type="dxa"/>
            <w:vAlign w:val="center"/>
          </w:tcPr>
          <w:p>
            <w:pPr>
              <w:jc w:val="center"/>
              <w:outlineLvl w:val="0"/>
              <w:rPr>
                <w:rFonts w:hint="eastAsia"/>
                <w:b/>
                <w:bCs/>
                <w:sz w:val="16"/>
                <w:szCs w:val="21"/>
              </w:rPr>
            </w:pPr>
            <w:bookmarkStart w:id="109" w:name="_Toc12294"/>
            <w:r>
              <w:rPr>
                <w:rFonts w:hint="eastAsia"/>
                <w:b/>
                <w:bCs/>
                <w:sz w:val="16"/>
                <w:szCs w:val="21"/>
              </w:rPr>
              <w:t>计量单位</w:t>
            </w:r>
            <w:bookmarkEnd w:id="109"/>
          </w:p>
        </w:tc>
        <w:tc>
          <w:tcPr>
            <w:tcW w:w="827" w:type="dxa"/>
            <w:vAlign w:val="center"/>
          </w:tcPr>
          <w:p>
            <w:pPr>
              <w:jc w:val="center"/>
              <w:outlineLvl w:val="0"/>
              <w:rPr>
                <w:rFonts w:hint="eastAsia"/>
                <w:b/>
                <w:bCs/>
                <w:sz w:val="16"/>
                <w:szCs w:val="21"/>
              </w:rPr>
            </w:pPr>
            <w:bookmarkStart w:id="110" w:name="_Toc14233"/>
            <w:r>
              <w:rPr>
                <w:rFonts w:hint="eastAsia"/>
                <w:b/>
                <w:bCs/>
                <w:sz w:val="16"/>
                <w:szCs w:val="21"/>
              </w:rPr>
              <w:t>包件数量</w:t>
            </w:r>
            <w:bookmarkEnd w:id="110"/>
          </w:p>
        </w:tc>
        <w:tc>
          <w:tcPr>
            <w:tcW w:w="1781" w:type="dxa"/>
            <w:vAlign w:val="center"/>
          </w:tcPr>
          <w:p>
            <w:pPr>
              <w:jc w:val="center"/>
              <w:outlineLvl w:val="0"/>
              <w:rPr>
                <w:rFonts w:hint="eastAsia"/>
                <w:b/>
                <w:bCs/>
                <w:sz w:val="16"/>
                <w:szCs w:val="21"/>
              </w:rPr>
            </w:pPr>
            <w:bookmarkStart w:id="111" w:name="_Toc9307"/>
            <w:r>
              <w:rPr>
                <w:rFonts w:hint="eastAsia"/>
                <w:b/>
                <w:bCs/>
                <w:sz w:val="16"/>
                <w:szCs w:val="21"/>
              </w:rPr>
              <w:t>项目</w:t>
            </w:r>
            <w:r>
              <w:rPr>
                <w:b/>
                <w:bCs/>
                <w:sz w:val="16"/>
                <w:szCs w:val="21"/>
              </w:rPr>
              <w:t>名称</w:t>
            </w:r>
            <w:bookmarkEnd w:id="111"/>
          </w:p>
        </w:tc>
        <w:tc>
          <w:tcPr>
            <w:tcW w:w="1093" w:type="dxa"/>
            <w:vAlign w:val="center"/>
          </w:tcPr>
          <w:p>
            <w:pPr>
              <w:jc w:val="center"/>
              <w:outlineLvl w:val="0"/>
              <w:rPr>
                <w:rFonts w:hint="eastAsia"/>
                <w:b/>
                <w:bCs/>
                <w:sz w:val="16"/>
                <w:szCs w:val="21"/>
              </w:rPr>
            </w:pPr>
            <w:bookmarkStart w:id="112" w:name="_Toc12628"/>
            <w:r>
              <w:rPr>
                <w:rFonts w:hint="eastAsia"/>
                <w:b/>
                <w:bCs/>
                <w:sz w:val="16"/>
                <w:szCs w:val="21"/>
              </w:rPr>
              <w:t>招标人</w:t>
            </w:r>
            <w:bookmarkEnd w:id="112"/>
          </w:p>
        </w:tc>
        <w:tc>
          <w:tcPr>
            <w:tcW w:w="743" w:type="dxa"/>
            <w:vAlign w:val="center"/>
          </w:tcPr>
          <w:p>
            <w:pPr>
              <w:jc w:val="center"/>
              <w:outlineLvl w:val="0"/>
              <w:rPr>
                <w:rFonts w:hint="eastAsia"/>
                <w:b/>
                <w:bCs/>
                <w:sz w:val="16"/>
                <w:szCs w:val="21"/>
              </w:rPr>
            </w:pPr>
            <w:bookmarkStart w:id="113" w:name="_Toc14242"/>
            <w:r>
              <w:rPr>
                <w:rFonts w:hint="eastAsia"/>
                <w:b/>
                <w:bCs/>
                <w:sz w:val="16"/>
                <w:szCs w:val="21"/>
              </w:rPr>
              <w:t>包件售价（元）</w:t>
            </w:r>
            <w:bookmarkEnd w:id="113"/>
          </w:p>
        </w:tc>
        <w:tc>
          <w:tcPr>
            <w:tcW w:w="1122" w:type="dxa"/>
            <w:vAlign w:val="center"/>
          </w:tcPr>
          <w:p>
            <w:pPr>
              <w:jc w:val="center"/>
              <w:outlineLvl w:val="0"/>
              <w:rPr>
                <w:rFonts w:hint="eastAsia"/>
                <w:b/>
                <w:bCs/>
                <w:sz w:val="16"/>
                <w:szCs w:val="21"/>
              </w:rPr>
            </w:pPr>
            <w:bookmarkStart w:id="114" w:name="_Toc26684"/>
            <w:r>
              <w:rPr>
                <w:rFonts w:hint="eastAsia"/>
                <w:b/>
                <w:bCs/>
                <w:sz w:val="16"/>
                <w:szCs w:val="21"/>
              </w:rPr>
              <w:t>投标保证金（元）</w:t>
            </w:r>
            <w:bookmarkEnd w:id="114"/>
          </w:p>
        </w:tc>
        <w:tc>
          <w:tcPr>
            <w:tcW w:w="6710" w:type="dxa"/>
            <w:vAlign w:val="center"/>
          </w:tcPr>
          <w:p>
            <w:pPr>
              <w:jc w:val="center"/>
              <w:outlineLvl w:val="0"/>
              <w:rPr>
                <w:rFonts w:hint="eastAsia"/>
                <w:b/>
                <w:bCs/>
                <w:sz w:val="16"/>
                <w:szCs w:val="21"/>
              </w:rPr>
            </w:pPr>
            <w:bookmarkStart w:id="115" w:name="_Toc27213"/>
            <w:r>
              <w:rPr>
                <w:rFonts w:hint="eastAsia"/>
                <w:b/>
                <w:bCs/>
                <w:sz w:val="16"/>
                <w:szCs w:val="21"/>
              </w:rPr>
              <w:t>供应商资格条件</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7" w:hRule="atLeast"/>
        </w:trPr>
        <w:tc>
          <w:tcPr>
            <w:tcW w:w="422" w:type="dxa"/>
            <w:vMerge w:val="restart"/>
            <w:vAlign w:val="center"/>
          </w:tcPr>
          <w:p>
            <w:pPr>
              <w:jc w:val="center"/>
              <w:outlineLvl w:val="0"/>
              <w:rPr>
                <w:rFonts w:hint="eastAsia"/>
                <w:sz w:val="16"/>
                <w:szCs w:val="21"/>
              </w:rPr>
            </w:pPr>
            <w:r>
              <w:rPr>
                <w:rFonts w:hint="eastAsia"/>
                <w:sz w:val="16"/>
                <w:szCs w:val="21"/>
              </w:rPr>
              <w:t>1</w:t>
            </w:r>
          </w:p>
        </w:tc>
        <w:tc>
          <w:tcPr>
            <w:tcW w:w="718" w:type="dxa"/>
            <w:vAlign w:val="center"/>
          </w:tcPr>
          <w:p>
            <w:pPr>
              <w:jc w:val="center"/>
              <w:outlineLvl w:val="0"/>
              <w:rPr>
                <w:rFonts w:hint="eastAsia"/>
                <w:sz w:val="16"/>
                <w:szCs w:val="21"/>
              </w:rPr>
            </w:pPr>
            <w:r>
              <w:rPr>
                <w:rFonts w:hint="eastAsia"/>
                <w:sz w:val="16"/>
                <w:szCs w:val="21"/>
              </w:rPr>
              <w:t>电力电缆</w:t>
            </w:r>
          </w:p>
        </w:tc>
        <w:tc>
          <w:tcPr>
            <w:tcW w:w="841" w:type="dxa"/>
            <w:vAlign w:val="center"/>
          </w:tcPr>
          <w:p>
            <w:pPr>
              <w:jc w:val="center"/>
              <w:outlineLvl w:val="0"/>
              <w:rPr>
                <w:rFonts w:hint="eastAsia"/>
                <w:sz w:val="16"/>
                <w:szCs w:val="21"/>
              </w:rPr>
            </w:pPr>
            <w:r>
              <w:rPr>
                <w:rFonts w:hint="eastAsia"/>
                <w:sz w:val="16"/>
                <w:szCs w:val="21"/>
              </w:rPr>
              <w:t>DL-01包</w:t>
            </w:r>
          </w:p>
        </w:tc>
        <w:tc>
          <w:tcPr>
            <w:tcW w:w="503" w:type="dxa"/>
            <w:vMerge w:val="restart"/>
            <w:vAlign w:val="center"/>
          </w:tcPr>
          <w:p>
            <w:pPr>
              <w:jc w:val="center"/>
              <w:outlineLvl w:val="0"/>
              <w:rPr>
                <w:rFonts w:hint="eastAsia"/>
                <w:sz w:val="16"/>
                <w:szCs w:val="21"/>
              </w:rPr>
            </w:pPr>
            <w:r>
              <w:rPr>
                <w:rFonts w:hint="eastAsia"/>
                <w:sz w:val="16"/>
                <w:szCs w:val="21"/>
              </w:rPr>
              <w:t>米</w:t>
            </w:r>
          </w:p>
        </w:tc>
        <w:tc>
          <w:tcPr>
            <w:tcW w:w="827" w:type="dxa"/>
            <w:vAlign w:val="center"/>
          </w:tcPr>
          <w:p>
            <w:pPr>
              <w:jc w:val="center"/>
              <w:outlineLvl w:val="0"/>
              <w:rPr>
                <w:rFonts w:hint="default"/>
                <w:sz w:val="16"/>
                <w:szCs w:val="21"/>
                <w:lang w:val="en-US"/>
              </w:rPr>
            </w:pPr>
            <w:r>
              <w:rPr>
                <w:rFonts w:hint="eastAsia"/>
                <w:sz w:val="16"/>
                <w:szCs w:val="21"/>
                <w:lang w:val="en-US" w:eastAsia="zh-CN"/>
              </w:rPr>
              <w:t>183769.00</w:t>
            </w:r>
          </w:p>
        </w:tc>
        <w:tc>
          <w:tcPr>
            <w:tcW w:w="1781" w:type="dxa"/>
            <w:vMerge w:val="restart"/>
            <w:vAlign w:val="center"/>
          </w:tcPr>
          <w:p>
            <w:pPr>
              <w:jc w:val="center"/>
              <w:outlineLvl w:val="0"/>
              <w:rPr>
                <w:sz w:val="16"/>
                <w:szCs w:val="21"/>
              </w:rPr>
            </w:pPr>
            <w:r>
              <w:rPr>
                <w:rFonts w:hint="eastAsia"/>
                <w:sz w:val="16"/>
                <w:szCs w:val="21"/>
              </w:rPr>
              <w:t>中铁一局广州分公司</w:t>
            </w:r>
            <w:r>
              <w:rPr>
                <w:rFonts w:hint="eastAsia"/>
                <w:sz w:val="16"/>
                <w:szCs w:val="21"/>
                <w:lang w:val="en-US" w:eastAsia="zh-CN"/>
              </w:rPr>
              <w:t>肇庆三期</w:t>
            </w:r>
            <w:r>
              <w:rPr>
                <w:rFonts w:hint="eastAsia"/>
                <w:sz w:val="16"/>
                <w:szCs w:val="21"/>
              </w:rPr>
              <w:t>项目</w:t>
            </w:r>
          </w:p>
        </w:tc>
        <w:tc>
          <w:tcPr>
            <w:tcW w:w="1093" w:type="dxa"/>
            <w:vMerge w:val="restart"/>
            <w:vAlign w:val="center"/>
          </w:tcPr>
          <w:p>
            <w:pPr>
              <w:jc w:val="center"/>
              <w:outlineLvl w:val="0"/>
              <w:rPr>
                <w:rFonts w:hint="eastAsia"/>
                <w:sz w:val="16"/>
                <w:szCs w:val="21"/>
              </w:rPr>
            </w:pPr>
            <w:bookmarkStart w:id="116" w:name="_Toc7740"/>
            <w:r>
              <w:rPr>
                <w:rFonts w:hint="eastAsia"/>
                <w:sz w:val="16"/>
                <w:szCs w:val="21"/>
              </w:rPr>
              <w:t>中铁一局集团有限公司广州分公司</w:t>
            </w:r>
            <w:bookmarkEnd w:id="116"/>
          </w:p>
        </w:tc>
        <w:tc>
          <w:tcPr>
            <w:tcW w:w="743" w:type="dxa"/>
            <w:vMerge w:val="restart"/>
            <w:vAlign w:val="center"/>
          </w:tcPr>
          <w:p>
            <w:pPr>
              <w:jc w:val="center"/>
              <w:outlineLvl w:val="0"/>
              <w:rPr>
                <w:rFonts w:hint="eastAsia"/>
                <w:sz w:val="16"/>
                <w:szCs w:val="21"/>
              </w:rPr>
            </w:pPr>
            <w:r>
              <w:rPr>
                <w:rFonts w:hint="eastAsia"/>
                <w:sz w:val="16"/>
                <w:szCs w:val="21"/>
                <w:lang w:val="en-US" w:eastAsia="zh-CN"/>
              </w:rPr>
              <w:t>不收取</w:t>
            </w:r>
          </w:p>
        </w:tc>
        <w:tc>
          <w:tcPr>
            <w:tcW w:w="1122" w:type="dxa"/>
            <w:vMerge w:val="restart"/>
            <w:vAlign w:val="center"/>
          </w:tcPr>
          <w:p>
            <w:pPr>
              <w:jc w:val="center"/>
              <w:outlineLvl w:val="0"/>
              <w:rPr>
                <w:rFonts w:hint="eastAsia"/>
                <w:sz w:val="16"/>
                <w:szCs w:val="21"/>
              </w:rPr>
            </w:pPr>
            <w:r>
              <w:rPr>
                <w:rFonts w:hint="eastAsia"/>
                <w:sz w:val="16"/>
                <w:szCs w:val="21"/>
              </w:rPr>
              <w:t>10000</w:t>
            </w:r>
          </w:p>
        </w:tc>
        <w:tc>
          <w:tcPr>
            <w:tcW w:w="6710" w:type="dxa"/>
            <w:vMerge w:val="restart"/>
            <w:vAlign w:val="top"/>
          </w:tcPr>
          <w:p>
            <w:pPr>
              <w:jc w:val="left"/>
              <w:outlineLvl w:val="0"/>
              <w:rPr>
                <w:rFonts w:hint="eastAsia"/>
                <w:sz w:val="16"/>
                <w:szCs w:val="21"/>
              </w:rPr>
            </w:pPr>
            <w:bookmarkStart w:id="117" w:name="_Toc24572"/>
            <w:r>
              <w:rPr>
                <w:rFonts w:hint="eastAsia"/>
                <w:sz w:val="16"/>
                <w:szCs w:val="21"/>
              </w:rPr>
              <w:t>供应商资格要求：</w:t>
            </w:r>
            <w:bookmarkEnd w:id="117"/>
          </w:p>
          <w:p>
            <w:pPr>
              <w:ind w:firstLine="320" w:firstLineChars="200"/>
              <w:jc w:val="left"/>
              <w:outlineLvl w:val="0"/>
              <w:rPr>
                <w:rFonts w:hint="eastAsia"/>
                <w:sz w:val="16"/>
                <w:szCs w:val="21"/>
              </w:rPr>
            </w:pPr>
            <w:r>
              <w:rPr>
                <w:rFonts w:hint="eastAsia"/>
                <w:sz w:val="16"/>
                <w:szCs w:val="21"/>
              </w:rPr>
              <w:t>1、营业范围要求：在中华人民共和国境内依法注册，具有独立法人资格、具有招标物资生产供应经验的生产厂或贸易商，并且具有合法、有效的营业执照、税务登记证书、组织机构代码证书。</w:t>
            </w:r>
            <w:r>
              <w:rPr>
                <w:rFonts w:hint="eastAsia"/>
                <w:b/>
                <w:bCs/>
                <w:sz w:val="16"/>
                <w:szCs w:val="21"/>
              </w:rPr>
              <w:t xml:space="preserve">且必须为《中国中铁电线电缆供应商准入名录》内的供应商。   </w:t>
            </w:r>
            <w:r>
              <w:rPr>
                <w:rFonts w:hint="eastAsia"/>
                <w:sz w:val="16"/>
                <w:szCs w:val="21"/>
              </w:rPr>
              <w:t xml:space="preserve">                           </w:t>
            </w:r>
            <w:r>
              <w:rPr>
                <w:rFonts w:hint="eastAsia"/>
                <w:sz w:val="16"/>
                <w:szCs w:val="21"/>
              </w:rPr>
              <w:br w:type="textWrapping"/>
            </w:r>
            <w:r>
              <w:rPr>
                <w:rFonts w:hint="eastAsia"/>
                <w:sz w:val="16"/>
                <w:szCs w:val="21"/>
              </w:rPr>
              <w:t>　　2、生产能力要求：生产商须具备投标物资生产工艺、装备必须符合国家石材产业发展政策的相关规定。</w:t>
            </w:r>
          </w:p>
          <w:p>
            <w:pPr>
              <w:ind w:firstLine="320" w:firstLineChars="200"/>
              <w:jc w:val="left"/>
              <w:outlineLvl w:val="0"/>
              <w:rPr>
                <w:sz w:val="16"/>
                <w:szCs w:val="21"/>
              </w:rPr>
            </w:pPr>
            <w:r>
              <w:rPr>
                <w:rFonts w:hint="eastAsia"/>
                <w:sz w:val="16"/>
                <w:szCs w:val="21"/>
              </w:rPr>
              <w:t>3、财务能力要求：具有良好的资金财务状况，生产商及贸易商注册资金均要求不低于500万元人民币。</w:t>
            </w:r>
          </w:p>
          <w:p>
            <w:pPr>
              <w:ind w:firstLine="320"/>
              <w:jc w:val="left"/>
              <w:outlineLvl w:val="0"/>
              <w:rPr>
                <w:rFonts w:hint="eastAsia"/>
                <w:sz w:val="16"/>
                <w:szCs w:val="21"/>
                <w:lang w:val="en-US" w:eastAsia="zh-CN"/>
              </w:rPr>
            </w:pPr>
            <w:r>
              <w:rPr>
                <w:rFonts w:hint="eastAsia"/>
                <w:sz w:val="16"/>
                <w:szCs w:val="21"/>
              </w:rPr>
              <w:t>4、质量保证能力要求：</w:t>
            </w:r>
            <w:r>
              <w:rPr>
                <w:rFonts w:hint="eastAsia"/>
                <w:sz w:val="16"/>
                <w:szCs w:val="21"/>
                <w:lang w:val="en-US" w:eastAsia="zh-CN"/>
              </w:rPr>
              <w:t>投标物资</w:t>
            </w:r>
            <w:r>
              <w:rPr>
                <w:rFonts w:hint="eastAsia"/>
                <w:b/>
                <w:bCs/>
                <w:sz w:val="16"/>
                <w:szCs w:val="21"/>
                <w:lang w:val="en-US" w:eastAsia="zh-CN"/>
              </w:rPr>
              <w:t>须符合GB50217-2007及相关国家标准和招标文件要求</w:t>
            </w:r>
            <w:r>
              <w:rPr>
                <w:rFonts w:hint="eastAsia"/>
                <w:sz w:val="16"/>
                <w:szCs w:val="21"/>
                <w:lang w:val="en-US" w:eastAsia="zh-CN"/>
              </w:rPr>
              <w:t>，提供由专业检测机构出具的投标物资质量检验报告，份数不得少于一份。（无需对应物资需求明细表中各规格型号）</w:t>
            </w:r>
          </w:p>
          <w:p>
            <w:pPr>
              <w:ind w:firstLine="320"/>
              <w:jc w:val="left"/>
              <w:outlineLvl w:val="0"/>
              <w:rPr>
                <w:rFonts w:hint="eastAsia"/>
                <w:b/>
                <w:bCs/>
                <w:sz w:val="16"/>
                <w:szCs w:val="21"/>
              </w:rPr>
            </w:pPr>
            <w:r>
              <w:rPr>
                <w:rFonts w:hint="eastAsia"/>
                <w:sz w:val="16"/>
                <w:szCs w:val="21"/>
              </w:rPr>
              <w:t>5、供货业绩要求：具有近两年工程项目供货业绩。（须附供货合同复印件等）。</w:t>
            </w:r>
            <w:r>
              <w:rPr>
                <w:rFonts w:hint="eastAsia"/>
                <w:sz w:val="16"/>
                <w:szCs w:val="21"/>
              </w:rPr>
              <w:br w:type="textWrapping"/>
            </w:r>
            <w:r>
              <w:rPr>
                <w:rFonts w:hint="eastAsia"/>
                <w:sz w:val="16"/>
                <w:szCs w:val="21"/>
              </w:rPr>
              <w:t>　　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中国中铁股份公司处罚期内的投标单位；</w:t>
            </w:r>
            <w:r>
              <w:rPr>
                <w:rFonts w:hint="eastAsia"/>
                <w:b/>
                <w:bCs/>
                <w:sz w:val="16"/>
                <w:szCs w:val="21"/>
                <w:highlight w:val="none"/>
                <w:lang w:val="en-US" w:eastAsia="zh-CN"/>
              </w:rPr>
              <w:t>“信用中国”或各级信用信息共享平台中，投标人未被纳入失信被执行人、企业经营异常名录、重大税收违法案件当事人名单、政府采购严重违法失信名单，并在投标文件中附投标日期截止日前一周内“信用中国”或各级信用信息共享平台查询截图。</w:t>
            </w:r>
          </w:p>
          <w:p>
            <w:pPr>
              <w:ind w:firstLine="320" w:firstLineChars="200"/>
              <w:jc w:val="left"/>
              <w:outlineLvl w:val="0"/>
              <w:rPr>
                <w:rFonts w:hint="eastAsia"/>
                <w:sz w:val="16"/>
                <w:szCs w:val="21"/>
              </w:rPr>
            </w:pPr>
            <w:r>
              <w:rPr>
                <w:rFonts w:hint="eastAsia"/>
                <w:sz w:val="16"/>
                <w:szCs w:val="21"/>
              </w:rPr>
              <w:t>7、其他要求：与采购单位存在利害或者隶属关系可能影响采购公正性的法人、其他组织或者个人不得参加。</w:t>
            </w:r>
          </w:p>
          <w:p>
            <w:pPr>
              <w:jc w:val="left"/>
              <w:outlineLvl w:val="0"/>
              <w:rPr>
                <w:rFonts w:hint="eastAsia"/>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7" w:hRule="atLeast"/>
        </w:trPr>
        <w:tc>
          <w:tcPr>
            <w:tcW w:w="422" w:type="dxa"/>
            <w:vMerge w:val="continue"/>
            <w:vAlign w:val="center"/>
          </w:tcPr>
          <w:p>
            <w:pPr>
              <w:jc w:val="center"/>
              <w:outlineLvl w:val="0"/>
            </w:pPr>
          </w:p>
        </w:tc>
        <w:tc>
          <w:tcPr>
            <w:tcW w:w="718" w:type="dxa"/>
            <w:vAlign w:val="center"/>
          </w:tcPr>
          <w:p>
            <w:pPr>
              <w:jc w:val="center"/>
              <w:outlineLvl w:val="0"/>
              <w:rPr>
                <w:rFonts w:hint="eastAsia"/>
                <w:sz w:val="16"/>
                <w:szCs w:val="21"/>
              </w:rPr>
            </w:pPr>
            <w:r>
              <w:rPr>
                <w:rFonts w:hint="eastAsia"/>
                <w:sz w:val="16"/>
                <w:szCs w:val="21"/>
              </w:rPr>
              <w:t>电力电缆</w:t>
            </w:r>
          </w:p>
        </w:tc>
        <w:tc>
          <w:tcPr>
            <w:tcW w:w="841" w:type="dxa"/>
            <w:vAlign w:val="center"/>
          </w:tcPr>
          <w:p>
            <w:pPr>
              <w:jc w:val="center"/>
              <w:outlineLvl w:val="0"/>
              <w:rPr>
                <w:rFonts w:hint="eastAsia"/>
                <w:sz w:val="16"/>
                <w:szCs w:val="21"/>
              </w:rPr>
            </w:pPr>
            <w:r>
              <w:rPr>
                <w:rFonts w:hint="eastAsia"/>
                <w:sz w:val="16"/>
                <w:szCs w:val="21"/>
              </w:rPr>
              <w:t>DL-0</w:t>
            </w:r>
            <w:r>
              <w:rPr>
                <w:rFonts w:hint="eastAsia"/>
                <w:sz w:val="16"/>
                <w:szCs w:val="21"/>
                <w:lang w:val="en-US" w:eastAsia="zh-CN"/>
              </w:rPr>
              <w:t>2</w:t>
            </w:r>
            <w:r>
              <w:rPr>
                <w:rFonts w:hint="eastAsia"/>
                <w:sz w:val="16"/>
                <w:szCs w:val="21"/>
              </w:rPr>
              <w:t>包</w:t>
            </w:r>
          </w:p>
        </w:tc>
        <w:tc>
          <w:tcPr>
            <w:tcW w:w="503" w:type="dxa"/>
            <w:vMerge w:val="continue"/>
            <w:vAlign w:val="center"/>
          </w:tcPr>
          <w:p>
            <w:pPr>
              <w:jc w:val="center"/>
              <w:outlineLvl w:val="0"/>
              <w:rPr>
                <w:rFonts w:hint="eastAsia"/>
                <w:sz w:val="16"/>
                <w:szCs w:val="21"/>
              </w:rPr>
            </w:pPr>
          </w:p>
        </w:tc>
        <w:tc>
          <w:tcPr>
            <w:tcW w:w="827" w:type="dxa"/>
            <w:vAlign w:val="center"/>
          </w:tcPr>
          <w:p>
            <w:pPr>
              <w:jc w:val="center"/>
              <w:outlineLvl w:val="0"/>
              <w:rPr>
                <w:rFonts w:hint="default"/>
                <w:sz w:val="16"/>
                <w:szCs w:val="21"/>
                <w:lang w:val="en-US"/>
              </w:rPr>
            </w:pPr>
            <w:r>
              <w:rPr>
                <w:rFonts w:hint="eastAsia"/>
                <w:sz w:val="16"/>
                <w:szCs w:val="21"/>
                <w:lang w:val="en-US" w:eastAsia="zh-CN"/>
              </w:rPr>
              <w:t>9100.00</w:t>
            </w:r>
          </w:p>
        </w:tc>
        <w:tc>
          <w:tcPr>
            <w:tcW w:w="1781" w:type="dxa"/>
            <w:vMerge w:val="continue"/>
            <w:vAlign w:val="center"/>
          </w:tcPr>
          <w:p>
            <w:pPr>
              <w:jc w:val="center"/>
              <w:outlineLvl w:val="0"/>
              <w:rPr>
                <w:rFonts w:hint="eastAsia"/>
                <w:sz w:val="16"/>
                <w:szCs w:val="21"/>
              </w:rPr>
            </w:pPr>
          </w:p>
        </w:tc>
        <w:tc>
          <w:tcPr>
            <w:tcW w:w="1093" w:type="dxa"/>
            <w:vMerge w:val="continue"/>
            <w:vAlign w:val="center"/>
          </w:tcPr>
          <w:p>
            <w:pPr>
              <w:jc w:val="center"/>
              <w:outlineLvl w:val="0"/>
              <w:rPr>
                <w:rFonts w:hint="eastAsia"/>
                <w:sz w:val="16"/>
                <w:szCs w:val="21"/>
              </w:rPr>
            </w:pPr>
          </w:p>
        </w:tc>
        <w:tc>
          <w:tcPr>
            <w:tcW w:w="743" w:type="dxa"/>
            <w:vMerge w:val="continue"/>
            <w:vAlign w:val="center"/>
          </w:tcPr>
          <w:p>
            <w:pPr>
              <w:jc w:val="center"/>
              <w:outlineLvl w:val="0"/>
              <w:rPr>
                <w:rFonts w:hint="eastAsia"/>
                <w:sz w:val="16"/>
                <w:szCs w:val="21"/>
              </w:rPr>
            </w:pPr>
          </w:p>
        </w:tc>
        <w:tc>
          <w:tcPr>
            <w:tcW w:w="1122" w:type="dxa"/>
            <w:vMerge w:val="continue"/>
            <w:vAlign w:val="center"/>
          </w:tcPr>
          <w:p>
            <w:pPr>
              <w:jc w:val="center"/>
              <w:outlineLvl w:val="0"/>
              <w:rPr>
                <w:rFonts w:hint="eastAsia"/>
                <w:sz w:val="16"/>
                <w:szCs w:val="21"/>
              </w:rPr>
            </w:pPr>
          </w:p>
        </w:tc>
        <w:tc>
          <w:tcPr>
            <w:tcW w:w="6710" w:type="dxa"/>
            <w:vMerge w:val="continue"/>
            <w:vAlign w:val="top"/>
          </w:tcPr>
          <w:p>
            <w:pPr>
              <w:jc w:val="center"/>
              <w:outlineLvl w:val="0"/>
              <w:rPr>
                <w:rFonts w:hint="eastAsia"/>
                <w:sz w:val="16"/>
                <w:szCs w:val="21"/>
              </w:rPr>
            </w:pPr>
          </w:p>
        </w:tc>
      </w:tr>
    </w:tbl>
    <w:p>
      <w:pPr>
        <w:sectPr>
          <w:pgSz w:w="16838" w:h="11906" w:orient="landscape"/>
          <w:pgMar w:top="710" w:right="1134" w:bottom="851" w:left="1134" w:header="284" w:footer="787" w:gutter="0"/>
          <w:cols w:space="720" w:num="1"/>
          <w:docGrid w:type="lines" w:linePitch="312" w:charSpace="0"/>
        </w:sectPr>
      </w:pPr>
    </w:p>
    <w:p>
      <w:pPr>
        <w:widowControl/>
        <w:spacing w:line="380" w:lineRule="atLeast"/>
        <w:ind w:firstLine="210" w:firstLineChars="100"/>
        <w:outlineLvl w:val="0"/>
        <w:rPr>
          <w:rFonts w:ascii="新宋体" w:hAnsi="新宋体" w:eastAsia="新宋体" w:cs="新宋体"/>
          <w:bCs/>
          <w:kern w:val="0"/>
        </w:rPr>
      </w:pPr>
      <w:bookmarkStart w:id="118" w:name="_Toc446067214"/>
      <w:bookmarkStart w:id="119" w:name="_Toc436387212"/>
      <w:bookmarkStart w:id="120" w:name="_Toc439149431"/>
      <w:bookmarkStart w:id="121" w:name="_Toc416354593"/>
      <w:bookmarkStart w:id="122" w:name="_Toc29786"/>
      <w:bookmarkStart w:id="123" w:name="_Toc9599"/>
      <w:bookmarkStart w:id="124" w:name="_Toc484187922"/>
      <w:r>
        <w:rPr>
          <w:rFonts w:hint="eastAsia" w:ascii="新宋体" w:hAnsi="新宋体" w:eastAsia="新宋体" w:cs="新宋体"/>
          <w:bCs/>
          <w:kern w:val="0"/>
        </w:rPr>
        <w:t>附件二：</w:t>
      </w:r>
      <w:bookmarkEnd w:id="118"/>
      <w:bookmarkEnd w:id="119"/>
      <w:bookmarkEnd w:id="120"/>
      <w:bookmarkEnd w:id="121"/>
      <w:r>
        <w:rPr>
          <w:rFonts w:hint="eastAsia" w:ascii="新宋体" w:hAnsi="新宋体" w:eastAsia="新宋体" w:cs="新宋体"/>
          <w:bCs/>
          <w:kern w:val="0"/>
        </w:rPr>
        <w:t>投标申请表</w:t>
      </w:r>
      <w:bookmarkEnd w:id="122"/>
      <w:bookmarkEnd w:id="123"/>
      <w:bookmarkEnd w:id="124"/>
    </w:p>
    <w:p>
      <w:pPr>
        <w:widowControl/>
        <w:spacing w:line="380" w:lineRule="atLeast"/>
        <w:jc w:val="center"/>
        <w:rPr>
          <w:rFonts w:ascii="新宋体" w:hAnsi="新宋体" w:eastAsia="新宋体" w:cs="新宋体"/>
          <w:b/>
          <w:bCs/>
          <w:kern w:val="0"/>
          <w:sz w:val="36"/>
          <w:szCs w:val="36"/>
        </w:rPr>
      </w:pPr>
      <w:r>
        <w:rPr>
          <w:rFonts w:hint="eastAsia" w:ascii="新宋体" w:hAnsi="新宋体" w:eastAsia="新宋体" w:cs="新宋体"/>
          <w:b/>
          <w:bCs/>
          <w:kern w:val="0"/>
          <w:sz w:val="36"/>
          <w:szCs w:val="36"/>
        </w:rPr>
        <w:t>投标申请表</w:t>
      </w:r>
    </w:p>
    <w:p>
      <w:pPr>
        <w:widowControl/>
        <w:shd w:val="clear" w:color="auto" w:fill="FFFFFF"/>
        <w:spacing w:line="330" w:lineRule="atLeast"/>
        <w:ind w:firstLine="480"/>
        <w:jc w:val="left"/>
        <w:rPr>
          <w:rFonts w:ascii="宋体" w:cs="宋体"/>
          <w:kern w:val="0"/>
          <w:sz w:val="24"/>
        </w:rPr>
      </w:pPr>
      <w:r>
        <w:rPr>
          <w:rFonts w:hint="eastAsia" w:ascii="宋体" w:hAnsi="宋体" w:cs="宋体"/>
          <w:kern w:val="0"/>
          <w:sz w:val="24"/>
          <w:szCs w:val="21"/>
        </w:rPr>
        <w:t>招标编号：</w:t>
      </w:r>
    </w:p>
    <w:tbl>
      <w:tblPr>
        <w:tblStyle w:val="6"/>
        <w:tblW w:w="8859" w:type="dxa"/>
        <w:tblInd w:w="39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投标人名称</w:t>
            </w:r>
          </w:p>
        </w:tc>
        <w:tc>
          <w:tcPr>
            <w:tcW w:w="6577" w:type="dxa"/>
            <w:gridSpan w:val="3"/>
            <w:tcBorders>
              <w:top w:val="single" w:color="auto" w:sz="8" w:space="0"/>
            </w:tcBorders>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vAlign w:val="center"/>
          </w:tcPr>
          <w:p>
            <w:pPr>
              <w:widowControl/>
              <w:spacing w:line="440" w:lineRule="exact"/>
              <w:ind w:firstLine="240" w:firstLineChars="100"/>
              <w:jc w:val="center"/>
              <w:rPr>
                <w:rFonts w:ascii="宋体" w:cs="宋体"/>
                <w:kern w:val="0"/>
                <w:sz w:val="24"/>
                <w:szCs w:val="21"/>
              </w:rPr>
            </w:pPr>
            <w:r>
              <w:rPr>
                <w:rFonts w:hint="eastAsia" w:ascii="宋体" w:hAnsi="宋体" w:cs="宋体"/>
                <w:kern w:val="0"/>
                <w:sz w:val="24"/>
                <w:szCs w:val="21"/>
              </w:rPr>
              <w:t>投标人联系地址</w:t>
            </w:r>
          </w:p>
        </w:tc>
        <w:tc>
          <w:tcPr>
            <w:tcW w:w="6577" w:type="dxa"/>
            <w:gridSpan w:val="3"/>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法定代表人</w:t>
            </w:r>
          </w:p>
        </w:tc>
        <w:tc>
          <w:tcPr>
            <w:tcW w:w="2431" w:type="dxa"/>
            <w:vAlign w:val="center"/>
          </w:tcPr>
          <w:p>
            <w:pPr>
              <w:widowControl/>
              <w:spacing w:line="440" w:lineRule="exact"/>
              <w:ind w:firstLine="480"/>
              <w:jc w:val="center"/>
              <w:rPr>
                <w:rFonts w:ascii="宋体" w:cs="宋体"/>
                <w:kern w:val="0"/>
                <w:sz w:val="24"/>
                <w:szCs w:val="21"/>
              </w:rPr>
            </w:pPr>
          </w:p>
        </w:tc>
        <w:tc>
          <w:tcPr>
            <w:tcW w:w="1747" w:type="dxa"/>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法人委托人</w:t>
            </w:r>
          </w:p>
        </w:tc>
        <w:tc>
          <w:tcPr>
            <w:tcW w:w="2399" w:type="dxa"/>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投标联系人</w:t>
            </w:r>
          </w:p>
        </w:tc>
        <w:tc>
          <w:tcPr>
            <w:tcW w:w="2431" w:type="dxa"/>
            <w:vAlign w:val="center"/>
          </w:tcPr>
          <w:p>
            <w:pPr>
              <w:widowControl/>
              <w:spacing w:line="440" w:lineRule="exact"/>
              <w:ind w:firstLine="480"/>
              <w:jc w:val="center"/>
              <w:rPr>
                <w:rFonts w:ascii="宋体" w:cs="宋体"/>
                <w:kern w:val="0"/>
                <w:sz w:val="24"/>
                <w:szCs w:val="21"/>
              </w:rPr>
            </w:pPr>
          </w:p>
        </w:tc>
        <w:tc>
          <w:tcPr>
            <w:tcW w:w="1747" w:type="dxa"/>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联系电话</w:t>
            </w:r>
          </w:p>
        </w:tc>
        <w:tc>
          <w:tcPr>
            <w:tcW w:w="2399" w:type="dxa"/>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传真</w:t>
            </w:r>
          </w:p>
        </w:tc>
        <w:tc>
          <w:tcPr>
            <w:tcW w:w="2431" w:type="dxa"/>
            <w:vAlign w:val="center"/>
          </w:tcPr>
          <w:p>
            <w:pPr>
              <w:widowControl/>
              <w:spacing w:line="440" w:lineRule="exact"/>
              <w:ind w:firstLine="480"/>
              <w:jc w:val="center"/>
              <w:rPr>
                <w:rFonts w:ascii="宋体" w:cs="宋体"/>
                <w:kern w:val="0"/>
                <w:sz w:val="24"/>
                <w:szCs w:val="21"/>
              </w:rPr>
            </w:pPr>
          </w:p>
        </w:tc>
        <w:tc>
          <w:tcPr>
            <w:tcW w:w="1747" w:type="dxa"/>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电子邮箱  （必填）</w:t>
            </w:r>
          </w:p>
        </w:tc>
        <w:tc>
          <w:tcPr>
            <w:tcW w:w="2399" w:type="dxa"/>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04" w:hRule="atLeast"/>
        </w:trPr>
        <w:tc>
          <w:tcPr>
            <w:tcW w:w="8859" w:type="dxa"/>
            <w:gridSpan w:val="4"/>
            <w:tcBorders>
              <w:bottom w:val="single" w:color="auto" w:sz="8" w:space="0"/>
            </w:tcBorders>
            <w:vAlign w:val="center"/>
          </w:tcPr>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1.</w:t>
            </w:r>
            <w:r>
              <w:rPr>
                <w:rFonts w:hint="eastAsia" w:ascii="宋体" w:hAnsi="宋体" w:cs="宋体"/>
                <w:kern w:val="0"/>
                <w:sz w:val="24"/>
                <w:szCs w:val="21"/>
              </w:rPr>
              <w:t>购买招标文件方式：电子版</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2.</w:t>
            </w:r>
            <w:r>
              <w:rPr>
                <w:rFonts w:hint="eastAsia" w:ascii="宋体" w:hAnsi="宋体" w:cs="宋体"/>
                <w:kern w:val="0"/>
                <w:sz w:val="24"/>
                <w:szCs w:val="21"/>
              </w:rPr>
              <w:t>申请投标包件：</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3.</w:t>
            </w:r>
            <w:r>
              <w:rPr>
                <w:rFonts w:hint="eastAsia" w:ascii="宋体" w:hAnsi="宋体" w:cs="宋体"/>
                <w:kern w:val="0"/>
                <w:sz w:val="24"/>
                <w:szCs w:val="21"/>
              </w:rPr>
              <w:t>其它说明：附营业执照、开户许可证资料。</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right="480" w:firstLine="5040" w:firstLineChars="2100"/>
              <w:jc w:val="left"/>
              <w:rPr>
                <w:rFonts w:ascii="宋体" w:cs="宋体"/>
                <w:kern w:val="0"/>
                <w:sz w:val="24"/>
                <w:szCs w:val="21"/>
              </w:rPr>
            </w:pPr>
            <w:r>
              <w:rPr>
                <w:rFonts w:hint="eastAsia" w:ascii="宋体" w:hAnsi="宋体" w:cs="宋体"/>
                <w:kern w:val="0"/>
                <w:sz w:val="24"/>
                <w:szCs w:val="21"/>
              </w:rPr>
              <w:t>投标人（公章）</w:t>
            </w:r>
          </w:p>
          <w:p>
            <w:pPr>
              <w:widowControl/>
              <w:spacing w:line="440" w:lineRule="exact"/>
              <w:ind w:firstLine="480"/>
              <w:jc w:val="left"/>
              <w:rPr>
                <w:rFonts w:ascii="宋体" w:cs="宋体"/>
                <w:kern w:val="0"/>
                <w:sz w:val="24"/>
                <w:szCs w:val="21"/>
              </w:rPr>
            </w:pPr>
          </w:p>
          <w:p>
            <w:pPr>
              <w:widowControl/>
              <w:spacing w:line="440" w:lineRule="exact"/>
              <w:ind w:firstLine="5160" w:firstLineChars="2150"/>
              <w:jc w:val="left"/>
              <w:rPr>
                <w:rFonts w:ascii="宋体" w:cs="宋体"/>
                <w:kern w:val="0"/>
                <w:sz w:val="24"/>
                <w:szCs w:val="21"/>
              </w:rPr>
            </w:pPr>
            <w:r>
              <w:rPr>
                <w:rFonts w:hint="eastAsia" w:ascii="宋体" w:hAnsi="宋体" w:cs="宋体"/>
                <w:kern w:val="0"/>
                <w:sz w:val="24"/>
                <w:szCs w:val="21"/>
              </w:rPr>
              <w:t xml:space="preserve">    年   月   日</w:t>
            </w:r>
          </w:p>
          <w:p>
            <w:pPr>
              <w:widowControl/>
              <w:spacing w:line="440" w:lineRule="exact"/>
              <w:ind w:firstLine="5160" w:firstLineChars="2150"/>
              <w:jc w:val="left"/>
              <w:rPr>
                <w:rFonts w:ascii="宋体" w:cs="宋体"/>
                <w:kern w:val="0"/>
                <w:sz w:val="24"/>
                <w:szCs w:val="21"/>
              </w:rPr>
            </w:pPr>
          </w:p>
        </w:tc>
      </w:tr>
    </w:tbl>
    <w:p>
      <w:pPr>
        <w:ind w:firstLine="560"/>
      </w:pPr>
    </w:p>
    <w:p>
      <w:pPr>
        <w:rPr>
          <w:rFonts w:ascii="宋体" w:hAnsi="宋体"/>
        </w:rPr>
      </w:pPr>
    </w:p>
    <w:p>
      <w:pPr>
        <w:rPr>
          <w:rFonts w:ascii="宋体" w:hAnsi="宋体"/>
        </w:rPr>
      </w:pPr>
    </w:p>
    <w:p>
      <w:pPr>
        <w:rPr>
          <w:rFonts w:ascii="宋体" w:hAnsi="宋体"/>
        </w:rPr>
      </w:pPr>
    </w:p>
    <w:p>
      <w:pPr>
        <w:rPr>
          <w:rFonts w:ascii="宋体" w:hAnsi="宋体"/>
          <w:b/>
        </w:rPr>
        <w:sectPr>
          <w:pgSz w:w="11906" w:h="16838"/>
          <w:pgMar w:top="1134" w:right="1191" w:bottom="1134" w:left="1276" w:header="851" w:footer="992" w:gutter="0"/>
          <w:cols w:space="720" w:num="1"/>
          <w:docGrid w:linePitch="312" w:charSpace="0"/>
        </w:sectPr>
      </w:pPr>
    </w:p>
    <w:p>
      <w:pPr>
        <w:rPr>
          <w:rFonts w:ascii="宋体" w:hAnsi="宋体"/>
          <w:b/>
        </w:rPr>
      </w:pPr>
      <w:r>
        <w:rPr>
          <w:rFonts w:hint="eastAsia" w:ascii="宋体" w:hAnsi="宋体"/>
          <w:b/>
        </w:rPr>
        <w:t>附件三、物资需求明细</w:t>
      </w:r>
    </w:p>
    <w:p>
      <w:pPr>
        <w:ind w:firstLine="420" w:firstLineChars="0"/>
        <w:rPr>
          <w:rFonts w:ascii="宋体" w:hAnsi="宋体"/>
          <w:b/>
        </w:rPr>
      </w:pPr>
    </w:p>
    <w:p>
      <w:pPr>
        <w:jc w:val="center"/>
        <w:rPr>
          <w:rFonts w:ascii="宋体" w:hAnsi="宋体"/>
          <w:b/>
          <w:sz w:val="28"/>
          <w:szCs w:val="28"/>
        </w:rPr>
      </w:pPr>
      <w:r>
        <w:rPr>
          <w:rFonts w:hint="eastAsia" w:ascii="宋体" w:hAnsi="宋体"/>
          <w:b/>
          <w:sz w:val="28"/>
          <w:szCs w:val="28"/>
        </w:rPr>
        <w:t>物资需求明细表</w:t>
      </w:r>
    </w:p>
    <w:p>
      <w:pPr>
        <w:kinsoku w:val="0"/>
        <w:overflowPunct w:val="0"/>
        <w:autoSpaceDE w:val="0"/>
        <w:autoSpaceDN w:val="0"/>
        <w:adjustRightInd w:val="0"/>
        <w:snapToGrid w:val="0"/>
        <w:spacing w:line="240" w:lineRule="atLeast"/>
        <w:ind w:firstLine="180" w:firstLineChars="100"/>
        <w:rPr>
          <w:rFonts w:hint="eastAsia" w:ascii="宋体" w:hAnsi="宋体"/>
          <w:sz w:val="18"/>
          <w:szCs w:val="18"/>
        </w:rPr>
      </w:pPr>
    </w:p>
    <w:p>
      <w:pPr>
        <w:kinsoku w:val="0"/>
        <w:overflowPunct w:val="0"/>
        <w:autoSpaceDE w:val="0"/>
        <w:autoSpaceDN w:val="0"/>
        <w:adjustRightInd w:val="0"/>
        <w:snapToGrid w:val="0"/>
        <w:spacing w:line="240" w:lineRule="atLeast"/>
        <w:ind w:firstLine="180" w:firstLineChars="100"/>
        <w:rPr>
          <w:rFonts w:ascii="宋体" w:hAnsi="宋体"/>
          <w:sz w:val="18"/>
          <w:szCs w:val="18"/>
        </w:rPr>
      </w:pPr>
      <w:r>
        <w:rPr>
          <w:rFonts w:hint="eastAsia" w:ascii="宋体" w:hAnsi="宋体"/>
          <w:sz w:val="18"/>
          <w:szCs w:val="18"/>
        </w:rPr>
        <w:t>招标人名称：中铁一局集团有限公司广州分公司                            招标编号:ZTYJGZGS-2019-</w:t>
      </w:r>
      <w:r>
        <w:rPr>
          <w:rFonts w:hint="eastAsia" w:ascii="宋体" w:hAnsi="宋体"/>
          <w:sz w:val="18"/>
          <w:szCs w:val="18"/>
          <w:lang w:val="en-US" w:eastAsia="zh-CN"/>
        </w:rPr>
        <w:t>20</w:t>
      </w:r>
      <w:r>
        <w:rPr>
          <w:rFonts w:hint="eastAsia" w:ascii="宋体" w:hAnsi="宋体"/>
          <w:sz w:val="18"/>
          <w:szCs w:val="18"/>
        </w:rPr>
        <w:t>号                                          包件号：DL-01包</w:t>
      </w:r>
    </w:p>
    <w:tbl>
      <w:tblPr>
        <w:tblStyle w:val="6"/>
        <w:tblW w:w="1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350"/>
        <w:gridCol w:w="2432"/>
        <w:gridCol w:w="1065"/>
        <w:gridCol w:w="1702"/>
        <w:gridCol w:w="855"/>
        <w:gridCol w:w="851"/>
        <w:gridCol w:w="2697"/>
        <w:gridCol w:w="988"/>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2250"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工程项目</w:t>
            </w:r>
          </w:p>
        </w:tc>
        <w:tc>
          <w:tcPr>
            <w:tcW w:w="1350"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物资名称</w:t>
            </w:r>
          </w:p>
        </w:tc>
        <w:tc>
          <w:tcPr>
            <w:tcW w:w="2432"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规格型号</w:t>
            </w:r>
          </w:p>
        </w:tc>
        <w:tc>
          <w:tcPr>
            <w:tcW w:w="1065"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定货要求</w:t>
            </w:r>
          </w:p>
        </w:tc>
        <w:tc>
          <w:tcPr>
            <w:tcW w:w="1702"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质量标准技术要求</w:t>
            </w:r>
          </w:p>
        </w:tc>
        <w:tc>
          <w:tcPr>
            <w:tcW w:w="855"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采购主数量</w:t>
            </w:r>
          </w:p>
        </w:tc>
        <w:tc>
          <w:tcPr>
            <w:tcW w:w="851"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主计量单位</w:t>
            </w:r>
          </w:p>
        </w:tc>
        <w:tc>
          <w:tcPr>
            <w:tcW w:w="2697"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详细地址</w:t>
            </w:r>
          </w:p>
        </w:tc>
        <w:tc>
          <w:tcPr>
            <w:tcW w:w="988"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交货期</w:t>
            </w: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restart"/>
            <w:vAlign w:val="center"/>
          </w:tcPr>
          <w:p>
            <w:pPr>
              <w:kinsoku w:val="0"/>
              <w:overflowPunct w:val="0"/>
              <w:autoSpaceDE w:val="0"/>
              <w:autoSpaceDN w:val="0"/>
              <w:adjustRightInd w:val="0"/>
              <w:snapToGrid w:val="0"/>
              <w:spacing w:line="240" w:lineRule="atLeast"/>
              <w:jc w:val="center"/>
              <w:rPr>
                <w:rFonts w:ascii="宋体" w:hAnsi="宋体"/>
                <w:sz w:val="15"/>
                <w:szCs w:val="18"/>
              </w:rPr>
            </w:pPr>
            <w:bookmarkStart w:id="125" w:name="OLE_LINK2" w:colFirst="5" w:colLast="6"/>
            <w:bookmarkStart w:id="126" w:name="OLE_LINK1" w:colFirst="1" w:colLast="2"/>
            <w:bookmarkStart w:id="127" w:name="OLE_LINK3" w:colFirst="1" w:colLast="1"/>
            <w:r>
              <w:rPr>
                <w:rFonts w:ascii="宋体" w:hAnsi="宋体"/>
                <w:sz w:val="15"/>
                <w:szCs w:val="18"/>
              </w:rPr>
              <w:t>中铁一局广州分公司</w:t>
            </w:r>
            <w:r>
              <w:rPr>
                <w:rFonts w:hint="eastAsia" w:ascii="宋体" w:hAnsi="宋体"/>
                <w:sz w:val="15"/>
                <w:szCs w:val="18"/>
                <w:lang w:val="en-US" w:eastAsia="zh-CN"/>
              </w:rPr>
              <w:t>肇庆三期</w:t>
            </w:r>
            <w:r>
              <w:rPr>
                <w:rFonts w:ascii="宋体" w:hAnsi="宋体"/>
                <w:sz w:val="15"/>
                <w:szCs w:val="18"/>
              </w:rPr>
              <w:t>项目</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电源电缆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VV-0.6/1Kv-5×50㎡</w:t>
            </w:r>
          </w:p>
        </w:tc>
        <w:tc>
          <w:tcPr>
            <w:tcW w:w="1065" w:type="dxa"/>
            <w:vMerge w:val="restart"/>
            <w:vAlign w:val="center"/>
          </w:tcPr>
          <w:p>
            <w:pPr>
              <w:kinsoku w:val="0"/>
              <w:overflowPunct w:val="0"/>
              <w:autoSpaceDE w:val="0"/>
              <w:autoSpaceDN w:val="0"/>
              <w:adjustRightInd w:val="0"/>
              <w:snapToGrid w:val="0"/>
              <w:spacing w:line="240" w:lineRule="atLeast"/>
              <w:jc w:val="center"/>
              <w:rPr>
                <w:rFonts w:ascii="宋体" w:hAnsi="宋体"/>
                <w:sz w:val="15"/>
                <w:szCs w:val="18"/>
              </w:rPr>
            </w:pPr>
            <w:r>
              <w:rPr>
                <w:rFonts w:hint="eastAsia" w:ascii="宋体" w:hAnsi="宋体"/>
                <w:sz w:val="15"/>
                <w:szCs w:val="18"/>
              </w:rPr>
              <w:t>车板交货价</w:t>
            </w:r>
          </w:p>
        </w:tc>
        <w:tc>
          <w:tcPr>
            <w:tcW w:w="1702" w:type="dxa"/>
            <w:vMerge w:val="restart"/>
            <w:vAlign w:val="center"/>
          </w:tcPr>
          <w:p>
            <w:pPr>
              <w:kinsoku w:val="0"/>
              <w:overflowPunct w:val="0"/>
              <w:autoSpaceDE w:val="0"/>
              <w:autoSpaceDN w:val="0"/>
              <w:adjustRightInd w:val="0"/>
              <w:snapToGrid w:val="0"/>
              <w:spacing w:line="240" w:lineRule="atLeast"/>
              <w:jc w:val="center"/>
              <w:rPr>
                <w:rFonts w:ascii="宋体" w:hAnsi="宋体"/>
                <w:sz w:val="15"/>
                <w:szCs w:val="18"/>
              </w:rPr>
            </w:pPr>
            <w:r>
              <w:rPr>
                <w:rFonts w:hint="eastAsia" w:ascii="宋体" w:hAnsi="宋体"/>
                <w:sz w:val="15"/>
                <w:szCs w:val="18"/>
              </w:rPr>
              <w:t>见技术规格书</w:t>
            </w: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1800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restart"/>
            <w:vAlign w:val="center"/>
          </w:tcPr>
          <w:p>
            <w:pPr>
              <w:kinsoku w:val="0"/>
              <w:overflowPunct w:val="0"/>
              <w:autoSpaceDE w:val="0"/>
              <w:autoSpaceDN w:val="0"/>
              <w:adjustRightInd w:val="0"/>
              <w:snapToGrid w:val="0"/>
              <w:spacing w:line="240" w:lineRule="atLeast"/>
              <w:jc w:val="center"/>
              <w:rPr>
                <w:rFonts w:ascii="宋体" w:hAnsi="宋体"/>
                <w:sz w:val="15"/>
                <w:szCs w:val="18"/>
              </w:rPr>
            </w:pPr>
            <w:r>
              <w:rPr>
                <w:rFonts w:hint="eastAsia" w:ascii="宋体" w:hAnsi="宋体"/>
                <w:sz w:val="15"/>
                <w:szCs w:val="18"/>
              </w:rPr>
              <w:t>广东省</w:t>
            </w:r>
            <w:r>
              <w:rPr>
                <w:rFonts w:hint="eastAsia" w:ascii="宋体" w:hAnsi="宋体"/>
                <w:sz w:val="15"/>
                <w:szCs w:val="18"/>
                <w:lang w:val="en-US" w:eastAsia="zh-CN"/>
              </w:rPr>
              <w:t>肇庆</w:t>
            </w:r>
            <w:r>
              <w:rPr>
                <w:rFonts w:hint="eastAsia" w:ascii="宋体" w:hAnsi="宋体"/>
                <w:sz w:val="15"/>
                <w:szCs w:val="18"/>
              </w:rPr>
              <w:t>市</w:t>
            </w:r>
          </w:p>
        </w:tc>
        <w:tc>
          <w:tcPr>
            <w:tcW w:w="988" w:type="dxa"/>
            <w:vMerge w:val="restart"/>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r>
              <w:rPr>
                <w:rFonts w:hint="eastAsia" w:ascii="宋体" w:hAnsi="宋体"/>
                <w:sz w:val="15"/>
                <w:szCs w:val="18"/>
              </w:rPr>
              <w:t>至本工程结束,具体交货数量及时间以买方月度需求计划为准。</w:t>
            </w:r>
          </w:p>
        </w:tc>
        <w:tc>
          <w:tcPr>
            <w:tcW w:w="604" w:type="dxa"/>
            <w:vAlign w:val="center"/>
          </w:tcPr>
          <w:p>
            <w:pPr>
              <w:kinsoku w:val="0"/>
              <w:overflowPunct w:val="0"/>
              <w:autoSpaceDE w:val="0"/>
              <w:autoSpaceDN w:val="0"/>
              <w:adjustRightInd w:val="0"/>
              <w:snapToGrid w:val="0"/>
              <w:spacing w:line="240" w:lineRule="atLeast"/>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电力电缆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VV-0.6/1Kv-5×35㎡</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115000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灯引线</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RVV-3×2.5㎡</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53755</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接地线</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BV-1×16㎡</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5814</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高压电缆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YJV22-10KV-3×70㎡</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800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高压电缆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YJV22-8.7KV/10KV-3*70㎡</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ascii="宋体" w:hAnsi="宋体"/>
                <w:color w:val="000000"/>
                <w:sz w:val="18"/>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600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低压电力电缆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NH-YJV-1KV-3*2.5㎡</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630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低压电力电缆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NH-YJV-1KV-3*4㎡</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435</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低压电力电缆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NH-YJV-1KV-4*4㎡</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425</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低压电力电缆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NH-KVV-1KV-2*1.5㎡</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430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225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低压电力电缆</w:t>
            </w:r>
          </w:p>
        </w:tc>
        <w:tc>
          <w:tcPr>
            <w:tcW w:w="24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NH-KVV-1KV-4*1.5㎡</w:t>
            </w:r>
          </w:p>
        </w:tc>
        <w:tc>
          <w:tcPr>
            <w:tcW w:w="1065"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702"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855"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4080</w:t>
            </w:r>
          </w:p>
        </w:tc>
        <w:tc>
          <w:tcPr>
            <w:tcW w:w="851" w:type="dxa"/>
            <w:vAlign w:val="center"/>
          </w:tcPr>
          <w:p>
            <w:pPr>
              <w:keepNext w:val="0"/>
              <w:keepLines w:val="0"/>
              <w:widowControl/>
              <w:suppressLineNumbers w:val="0"/>
              <w:jc w:val="center"/>
              <w:textAlignment w:val="center"/>
              <w:rPr>
                <w:rFonts w:hint="eastAsia" w:ascii="宋体" w:hAnsi="宋体"/>
                <w:sz w:val="15"/>
                <w:szCs w:val="18"/>
                <w:lang w:val="en-US" w:eastAsia="zh-CN"/>
              </w:rPr>
            </w:pPr>
            <w:r>
              <w:rPr>
                <w:rFonts w:hint="eastAsia" w:ascii="宋体" w:hAnsi="宋体" w:eastAsia="宋体" w:cs="宋体"/>
                <w:i w:val="0"/>
                <w:color w:val="000000"/>
                <w:kern w:val="0"/>
                <w:sz w:val="15"/>
                <w:szCs w:val="15"/>
                <w:u w:val="none"/>
                <w:lang w:val="en-US" w:eastAsia="zh-CN" w:bidi="ar"/>
              </w:rPr>
              <w:t>米</w:t>
            </w:r>
          </w:p>
        </w:tc>
        <w:tc>
          <w:tcPr>
            <w:tcW w:w="2697"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98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bookmarkEnd w:id="125"/>
      <w:bookmarkEnd w:id="126"/>
      <w:bookmark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2250"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350" w:type="dxa"/>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2432" w:type="dxa"/>
            <w:vAlign w:val="center"/>
          </w:tcPr>
          <w:p>
            <w:pPr>
              <w:kinsoku w:val="0"/>
              <w:overflowPunct w:val="0"/>
              <w:autoSpaceDE w:val="0"/>
              <w:autoSpaceDN w:val="0"/>
              <w:adjustRightInd w:val="0"/>
              <w:snapToGrid w:val="0"/>
              <w:spacing w:line="240" w:lineRule="atLeast"/>
              <w:jc w:val="center"/>
              <w:rPr>
                <w:rFonts w:hint="eastAsia" w:ascii="宋体" w:hAnsi="宋体" w:eastAsia="宋体"/>
                <w:sz w:val="15"/>
                <w:szCs w:val="18"/>
                <w:lang w:val="en-US" w:eastAsia="zh-CN"/>
              </w:rPr>
            </w:pPr>
            <w:r>
              <w:rPr>
                <w:rFonts w:hint="eastAsia" w:ascii="宋体" w:hAnsi="宋体"/>
                <w:sz w:val="15"/>
                <w:szCs w:val="18"/>
                <w:lang w:val="en-US" w:eastAsia="zh-CN"/>
              </w:rPr>
              <w:t>合计</w:t>
            </w:r>
          </w:p>
        </w:tc>
        <w:tc>
          <w:tcPr>
            <w:tcW w:w="1065"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702" w:type="dxa"/>
            <w:vAlign w:val="center"/>
          </w:tcPr>
          <w:p>
            <w:pPr>
              <w:kinsoku w:val="0"/>
              <w:overflowPunct w:val="0"/>
              <w:autoSpaceDE w:val="0"/>
              <w:autoSpaceDN w:val="0"/>
              <w:adjustRightInd w:val="0"/>
              <w:snapToGrid w:val="0"/>
              <w:spacing w:line="240" w:lineRule="atLeast"/>
              <w:jc w:val="center"/>
              <w:rPr>
                <w:rFonts w:hint="eastAsia" w:ascii="宋体" w:hAnsi="宋体"/>
                <w:sz w:val="15"/>
                <w:szCs w:val="18"/>
                <w:lang w:val="en-US" w:eastAsia="zh-CN"/>
              </w:rPr>
            </w:pPr>
          </w:p>
        </w:tc>
        <w:tc>
          <w:tcPr>
            <w:tcW w:w="855" w:type="dxa"/>
            <w:vAlign w:val="center"/>
          </w:tcPr>
          <w:p>
            <w:pPr>
              <w:kinsoku w:val="0"/>
              <w:overflowPunct w:val="0"/>
              <w:autoSpaceDE w:val="0"/>
              <w:autoSpaceDN w:val="0"/>
              <w:adjustRightInd w:val="0"/>
              <w:snapToGrid w:val="0"/>
              <w:spacing w:line="240" w:lineRule="atLeast"/>
              <w:jc w:val="center"/>
              <w:rPr>
                <w:rFonts w:hint="eastAsia" w:ascii="宋体" w:hAnsi="宋体"/>
                <w:sz w:val="15"/>
                <w:szCs w:val="18"/>
                <w:lang w:val="en-US" w:eastAsia="zh-CN"/>
              </w:rPr>
            </w:pPr>
            <w:r>
              <w:rPr>
                <w:rFonts w:hint="default" w:ascii="宋体" w:hAnsi="宋体"/>
                <w:sz w:val="15"/>
                <w:szCs w:val="18"/>
                <w:lang w:val="en-US" w:eastAsia="zh-CN"/>
              </w:rPr>
              <w:t>183769</w:t>
            </w:r>
          </w:p>
        </w:tc>
        <w:tc>
          <w:tcPr>
            <w:tcW w:w="851" w:type="dxa"/>
            <w:vAlign w:val="center"/>
          </w:tcPr>
          <w:p>
            <w:pPr>
              <w:jc w:val="center"/>
              <w:rPr>
                <w:rFonts w:ascii="宋体" w:hAnsi="宋体"/>
                <w:color w:val="000000"/>
                <w:sz w:val="18"/>
                <w:szCs w:val="18"/>
              </w:rPr>
            </w:pPr>
          </w:p>
        </w:tc>
        <w:tc>
          <w:tcPr>
            <w:tcW w:w="2697"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988"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604"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pPr>
        <w:adjustRightInd w:val="0"/>
        <w:snapToGrid w:val="0"/>
        <w:ind w:firstLine="282" w:firstLineChars="157"/>
        <w:rPr>
          <w:rFonts w:hint="eastAsia" w:ascii="宋体" w:hAnsi="宋体"/>
          <w:sz w:val="18"/>
          <w:szCs w:val="18"/>
        </w:rPr>
      </w:pPr>
    </w:p>
    <w:p>
      <w:pPr>
        <w:adjustRightInd w:val="0"/>
        <w:snapToGrid w:val="0"/>
        <w:spacing w:line="360" w:lineRule="auto"/>
        <w:ind w:firstLine="360" w:firstLineChars="200"/>
        <w:rPr>
          <w:rFonts w:ascii="宋体" w:hAns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、表中为暂定规格数量，最终规格数量以采购人实际需求规格数量为准。</w:t>
      </w:r>
    </w:p>
    <w:p>
      <w:pPr>
        <w:adjustRightInd w:val="0"/>
        <w:snapToGrid w:val="0"/>
        <w:spacing w:line="360" w:lineRule="auto"/>
        <w:ind w:firstLine="720" w:firstLineChars="400"/>
        <w:rPr>
          <w:rFonts w:ascii="宋体" w:hAnsi="宋体"/>
          <w:sz w:val="18"/>
          <w:szCs w:val="18"/>
        </w:rPr>
      </w:pPr>
      <w:r>
        <w:rPr>
          <w:rFonts w:hint="eastAsia" w:ascii="宋体" w:hAnsi="宋体"/>
          <w:sz w:val="18"/>
          <w:szCs w:val="18"/>
        </w:rPr>
        <w:t>2、交货时间及地点具体以使用单位的书面传真通知为准。</w:t>
      </w:r>
    </w:p>
    <w:p>
      <w:pPr>
        <w:ind w:firstLine="720" w:firstLineChars="400"/>
        <w:rPr>
          <w:rFonts w:hint="eastAsia" w:ascii="宋体" w:hAnsi="宋体"/>
          <w:sz w:val="18"/>
          <w:szCs w:val="18"/>
        </w:rPr>
        <w:sectPr>
          <w:pgSz w:w="16838" w:h="11906" w:orient="landscape"/>
          <w:pgMar w:top="1276" w:right="1134" w:bottom="1191" w:left="1134" w:header="851" w:footer="992" w:gutter="0"/>
          <w:cols w:space="720" w:num="1"/>
          <w:docGrid w:linePitch="312" w:charSpace="0"/>
        </w:sectPr>
      </w:pPr>
      <w:r>
        <w:rPr>
          <w:rFonts w:hint="eastAsia" w:ascii="宋体" w:hAnsi="宋体"/>
          <w:sz w:val="18"/>
          <w:szCs w:val="18"/>
        </w:rPr>
        <w:t>3、</w:t>
      </w:r>
      <w:r>
        <w:rPr>
          <w:rFonts w:ascii="宋体" w:hAnsi="宋体"/>
          <w:sz w:val="18"/>
          <w:szCs w:val="18"/>
        </w:rPr>
        <w:t>具体规格</w:t>
      </w:r>
      <w:r>
        <w:rPr>
          <w:rFonts w:hint="eastAsia" w:ascii="宋体" w:hAnsi="宋体"/>
          <w:sz w:val="18"/>
          <w:szCs w:val="18"/>
        </w:rPr>
        <w:t>型号</w:t>
      </w:r>
      <w:r>
        <w:rPr>
          <w:rFonts w:ascii="宋体" w:hAnsi="宋体"/>
          <w:sz w:val="18"/>
          <w:szCs w:val="18"/>
        </w:rPr>
        <w:t>与电商平台不一致的，以</w:t>
      </w:r>
      <w:r>
        <w:rPr>
          <w:rFonts w:hint="eastAsia" w:ascii="宋体" w:hAnsi="宋体"/>
          <w:sz w:val="18"/>
          <w:szCs w:val="18"/>
        </w:rPr>
        <w:t>招标文件</w:t>
      </w:r>
      <w:r>
        <w:rPr>
          <w:rFonts w:ascii="宋体" w:hAnsi="宋体"/>
          <w:sz w:val="18"/>
          <w:szCs w:val="18"/>
        </w:rPr>
        <w:t>为准</w:t>
      </w:r>
      <w:r>
        <w:rPr>
          <w:rFonts w:hint="eastAsia" w:ascii="宋体" w:hAnsi="宋体"/>
          <w:sz w:val="18"/>
          <w:szCs w:val="18"/>
        </w:rPr>
        <w:t>。</w:t>
      </w:r>
    </w:p>
    <w:p>
      <w:pPr>
        <w:jc w:val="center"/>
        <w:rPr>
          <w:rFonts w:ascii="宋体" w:hAnsi="宋体"/>
          <w:b/>
          <w:sz w:val="28"/>
          <w:szCs w:val="28"/>
        </w:rPr>
      </w:pPr>
      <w:r>
        <w:rPr>
          <w:rFonts w:hint="eastAsia" w:ascii="宋体" w:hAnsi="宋体"/>
          <w:b/>
          <w:sz w:val="28"/>
          <w:szCs w:val="28"/>
        </w:rPr>
        <w:t>物资需求明细表</w:t>
      </w:r>
    </w:p>
    <w:p>
      <w:pPr>
        <w:kinsoku w:val="0"/>
        <w:overflowPunct w:val="0"/>
        <w:autoSpaceDE w:val="0"/>
        <w:autoSpaceDN w:val="0"/>
        <w:adjustRightInd w:val="0"/>
        <w:snapToGrid w:val="0"/>
        <w:spacing w:line="240" w:lineRule="atLeast"/>
        <w:ind w:firstLine="180" w:firstLineChars="100"/>
        <w:rPr>
          <w:rFonts w:hint="eastAsia" w:ascii="宋体" w:hAnsi="宋体"/>
          <w:sz w:val="18"/>
          <w:szCs w:val="18"/>
        </w:rPr>
      </w:pPr>
    </w:p>
    <w:p>
      <w:pPr>
        <w:kinsoku w:val="0"/>
        <w:overflowPunct w:val="0"/>
        <w:autoSpaceDE w:val="0"/>
        <w:autoSpaceDN w:val="0"/>
        <w:adjustRightInd w:val="0"/>
        <w:snapToGrid w:val="0"/>
        <w:spacing w:line="240" w:lineRule="atLeast"/>
        <w:ind w:firstLine="180" w:firstLineChars="100"/>
        <w:rPr>
          <w:rFonts w:ascii="宋体" w:hAnsi="宋体"/>
          <w:sz w:val="18"/>
          <w:szCs w:val="18"/>
        </w:rPr>
      </w:pPr>
      <w:r>
        <w:rPr>
          <w:rFonts w:hint="eastAsia" w:ascii="宋体" w:hAnsi="宋体"/>
          <w:sz w:val="18"/>
          <w:szCs w:val="18"/>
        </w:rPr>
        <w:t>招标人名称：中铁一局集团有限公司广州分公司                            招标编号:ZTYJGZGS-2019-</w:t>
      </w:r>
      <w:r>
        <w:rPr>
          <w:rFonts w:hint="eastAsia" w:ascii="宋体" w:hAnsi="宋体"/>
          <w:sz w:val="18"/>
          <w:szCs w:val="18"/>
          <w:lang w:val="en-US" w:eastAsia="zh-CN"/>
        </w:rPr>
        <w:t>20</w:t>
      </w:r>
      <w:r>
        <w:rPr>
          <w:rFonts w:hint="eastAsia" w:ascii="宋体" w:hAnsi="宋体"/>
          <w:sz w:val="18"/>
          <w:szCs w:val="18"/>
        </w:rPr>
        <w:t>号                                          包件号：</w:t>
      </w:r>
      <w:r>
        <w:rPr>
          <w:rFonts w:hint="eastAsia" w:ascii="宋体" w:hAnsi="宋体"/>
          <w:sz w:val="18"/>
          <w:szCs w:val="18"/>
          <w:lang w:val="en-US" w:eastAsia="zh-CN"/>
        </w:rPr>
        <w:t>DL</w:t>
      </w:r>
      <w:r>
        <w:rPr>
          <w:rFonts w:hint="eastAsia" w:ascii="宋体" w:hAnsi="宋体"/>
          <w:sz w:val="18"/>
          <w:szCs w:val="18"/>
        </w:rPr>
        <w:t>-0</w:t>
      </w:r>
      <w:r>
        <w:rPr>
          <w:rFonts w:hint="eastAsia" w:ascii="宋体" w:hAnsi="宋体"/>
          <w:sz w:val="18"/>
          <w:szCs w:val="18"/>
          <w:lang w:val="en-US" w:eastAsia="zh-CN"/>
        </w:rPr>
        <w:t>2</w:t>
      </w:r>
      <w:r>
        <w:rPr>
          <w:rFonts w:hint="eastAsia" w:ascii="宋体" w:hAnsi="宋体"/>
          <w:sz w:val="18"/>
          <w:szCs w:val="18"/>
        </w:rPr>
        <w:t>包</w:t>
      </w:r>
    </w:p>
    <w:tbl>
      <w:tblPr>
        <w:tblStyle w:val="6"/>
        <w:tblW w:w="14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1891"/>
        <w:gridCol w:w="1871"/>
        <w:gridCol w:w="1060"/>
        <w:gridCol w:w="1693"/>
        <w:gridCol w:w="851"/>
        <w:gridCol w:w="847"/>
        <w:gridCol w:w="1923"/>
        <w:gridCol w:w="120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2238"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工程项目</w:t>
            </w:r>
          </w:p>
        </w:tc>
        <w:tc>
          <w:tcPr>
            <w:tcW w:w="1891"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物资名称</w:t>
            </w:r>
          </w:p>
        </w:tc>
        <w:tc>
          <w:tcPr>
            <w:tcW w:w="1871"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规格型号</w:t>
            </w:r>
          </w:p>
        </w:tc>
        <w:tc>
          <w:tcPr>
            <w:tcW w:w="1060"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定货要求</w:t>
            </w:r>
          </w:p>
        </w:tc>
        <w:tc>
          <w:tcPr>
            <w:tcW w:w="1693"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质量标准技术要求</w:t>
            </w:r>
          </w:p>
        </w:tc>
        <w:tc>
          <w:tcPr>
            <w:tcW w:w="851"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采购主数量</w:t>
            </w:r>
          </w:p>
        </w:tc>
        <w:tc>
          <w:tcPr>
            <w:tcW w:w="847"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主计量单位</w:t>
            </w:r>
          </w:p>
        </w:tc>
        <w:tc>
          <w:tcPr>
            <w:tcW w:w="1923"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详细地址</w:t>
            </w:r>
          </w:p>
        </w:tc>
        <w:tc>
          <w:tcPr>
            <w:tcW w:w="1200"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交货期</w:t>
            </w:r>
          </w:p>
        </w:tc>
        <w:tc>
          <w:tcPr>
            <w:tcW w:w="1146"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2238" w:type="dxa"/>
            <w:vMerge w:val="restart"/>
            <w:vAlign w:val="center"/>
          </w:tcPr>
          <w:p>
            <w:pPr>
              <w:kinsoku w:val="0"/>
              <w:overflowPunct w:val="0"/>
              <w:autoSpaceDE w:val="0"/>
              <w:autoSpaceDN w:val="0"/>
              <w:adjustRightInd w:val="0"/>
              <w:snapToGrid w:val="0"/>
              <w:spacing w:line="240" w:lineRule="atLeast"/>
              <w:jc w:val="center"/>
              <w:rPr>
                <w:rFonts w:ascii="宋体" w:hAnsi="宋体"/>
                <w:sz w:val="15"/>
                <w:szCs w:val="18"/>
              </w:rPr>
            </w:pPr>
            <w:r>
              <w:rPr>
                <w:rFonts w:ascii="宋体" w:hAnsi="宋体"/>
                <w:sz w:val="15"/>
                <w:szCs w:val="18"/>
              </w:rPr>
              <w:t>中铁一局广州分公司</w:t>
            </w:r>
            <w:r>
              <w:rPr>
                <w:rFonts w:hint="eastAsia" w:ascii="宋体" w:hAnsi="宋体"/>
                <w:sz w:val="15"/>
                <w:szCs w:val="18"/>
                <w:lang w:val="en-US" w:eastAsia="zh-CN"/>
              </w:rPr>
              <w:t>肇庆三期</w:t>
            </w:r>
            <w:r>
              <w:rPr>
                <w:rFonts w:ascii="宋体" w:hAnsi="宋体"/>
                <w:sz w:val="15"/>
                <w:szCs w:val="18"/>
              </w:rPr>
              <w:t>项目</w:t>
            </w: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NH-YJLHV-1KV-4*25+1*16㎡</w:t>
            </w:r>
          </w:p>
        </w:tc>
        <w:tc>
          <w:tcPr>
            <w:tcW w:w="1060" w:type="dxa"/>
            <w:vMerge w:val="restart"/>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r>
              <w:rPr>
                <w:rFonts w:hint="eastAsia" w:ascii="宋体" w:hAnsi="宋体"/>
                <w:sz w:val="15"/>
                <w:szCs w:val="18"/>
              </w:rPr>
              <w:t>车板交货价</w:t>
            </w:r>
          </w:p>
        </w:tc>
        <w:tc>
          <w:tcPr>
            <w:tcW w:w="1693" w:type="dxa"/>
            <w:vMerge w:val="restart"/>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r>
              <w:rPr>
                <w:rFonts w:hint="eastAsia" w:ascii="宋体" w:hAnsi="宋体"/>
                <w:sz w:val="16"/>
                <w:szCs w:val="16"/>
              </w:rPr>
              <w:t>见技术规格书</w:t>
            </w:r>
          </w:p>
        </w:tc>
        <w:tc>
          <w:tcPr>
            <w:tcW w:w="85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560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restart"/>
            <w:vAlign w:val="center"/>
          </w:tcPr>
          <w:p>
            <w:pPr>
              <w:kinsoku w:val="0"/>
              <w:overflowPunct w:val="0"/>
              <w:autoSpaceDE w:val="0"/>
              <w:autoSpaceDN w:val="0"/>
              <w:adjustRightInd w:val="0"/>
              <w:snapToGrid w:val="0"/>
              <w:spacing w:line="240" w:lineRule="atLeast"/>
              <w:jc w:val="center"/>
              <w:rPr>
                <w:rFonts w:hint="eastAsia" w:ascii="宋体" w:hAnsi="宋体" w:eastAsia="宋体"/>
                <w:sz w:val="16"/>
                <w:szCs w:val="16"/>
                <w:lang w:val="en-US" w:eastAsia="zh-CN"/>
              </w:rPr>
            </w:pPr>
            <w:r>
              <w:rPr>
                <w:rFonts w:hint="eastAsia" w:ascii="宋体" w:hAnsi="宋体"/>
                <w:sz w:val="16"/>
                <w:szCs w:val="16"/>
                <w:lang w:val="en-US" w:eastAsia="zh-CN"/>
              </w:rPr>
              <w:t>广东省广州市</w:t>
            </w:r>
          </w:p>
        </w:tc>
        <w:tc>
          <w:tcPr>
            <w:tcW w:w="1200" w:type="dxa"/>
            <w:vMerge w:val="restart"/>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r>
              <w:rPr>
                <w:rFonts w:hint="eastAsia" w:ascii="宋体" w:hAnsi="宋体"/>
                <w:sz w:val="16"/>
                <w:szCs w:val="16"/>
              </w:rPr>
              <w:t>至本工程结束,具体交货数量及时间以买方月度需求计划为准。</w:t>
            </w:r>
          </w:p>
        </w:tc>
        <w:tc>
          <w:tcPr>
            <w:tcW w:w="1146" w:type="dxa"/>
            <w:vMerge w:val="restart"/>
            <w:vAlign w:val="center"/>
          </w:tcPr>
          <w:p>
            <w:pPr>
              <w:kinsoku w:val="0"/>
              <w:overflowPunct w:val="0"/>
              <w:autoSpaceDE w:val="0"/>
              <w:autoSpaceDN w:val="0"/>
              <w:adjustRightInd w:val="0"/>
              <w:snapToGrid w:val="0"/>
              <w:spacing w:line="240" w:lineRule="atLeast"/>
              <w:rPr>
                <w:rFonts w:hint="eastAsia" w:ascii="宋体" w:hAnsi="宋体" w:eastAsia="宋体" w:cs="宋体"/>
                <w:b/>
                <w:bCs/>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NH-YJLHV-1KV-3*185+1*120㎡</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1140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8"/>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FS-YJLHV-1KV-3*120+1*70㎡</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380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NH-YJLHV-1KV-5*16㎡</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2040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NH-YJLHV-1KV-5*10㎡</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2560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NH-YJLHV-1KV-4*25㎡</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700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NH-YJLHV-1KV-4*16㎡</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820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低压电力电缆</w:t>
            </w:r>
          </w:p>
        </w:tc>
        <w:tc>
          <w:tcPr>
            <w:tcW w:w="1871" w:type="dxa"/>
            <w:vAlign w:val="center"/>
          </w:tcPr>
          <w:p>
            <w:pPr>
              <w:keepNext w:val="0"/>
              <w:keepLines w:val="0"/>
              <w:widowControl/>
              <w:suppressLineNumbers w:val="0"/>
              <w:jc w:val="center"/>
              <w:textAlignment w:val="center"/>
              <w:rPr>
                <w:rFonts w:hint="eastAsia" w:ascii="宋体" w:hAnsi="宋体" w:eastAsia="宋体"/>
                <w:sz w:val="16"/>
                <w:szCs w:val="16"/>
                <w:lang w:val="en-US" w:eastAsia="zh-CN"/>
              </w:rPr>
            </w:pPr>
            <w:r>
              <w:rPr>
                <w:rFonts w:hint="eastAsia" w:ascii="宋体" w:hAnsi="宋体" w:eastAsia="宋体" w:cs="宋体"/>
                <w:i w:val="0"/>
                <w:color w:val="000000"/>
                <w:kern w:val="0"/>
                <w:sz w:val="15"/>
                <w:szCs w:val="15"/>
                <w:u w:val="none"/>
                <w:lang w:val="en-US" w:eastAsia="zh-CN" w:bidi="ar"/>
              </w:rPr>
              <w:t>NH-YJLHV-1KV-4*10㎡</w:t>
            </w:r>
          </w:p>
        </w:tc>
        <w:tc>
          <w:tcPr>
            <w:tcW w:w="1060"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Merge w:val="continue"/>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900</w:t>
            </w:r>
          </w:p>
        </w:tc>
        <w:tc>
          <w:tcPr>
            <w:tcW w:w="847" w:type="dxa"/>
            <w:vAlign w:val="center"/>
          </w:tcPr>
          <w:p>
            <w:pPr>
              <w:keepNext w:val="0"/>
              <w:keepLines w:val="0"/>
              <w:widowControl/>
              <w:suppressLineNumbers w:val="0"/>
              <w:jc w:val="center"/>
              <w:textAlignment w:val="center"/>
              <w:rPr>
                <w:rFonts w:hint="eastAsia" w:ascii="宋体" w:hAnsi="宋体"/>
                <w:sz w:val="16"/>
                <w:szCs w:val="16"/>
              </w:rPr>
            </w:pPr>
            <w:r>
              <w:rPr>
                <w:rFonts w:hint="eastAsia" w:ascii="宋体" w:hAnsi="宋体" w:eastAsia="宋体" w:cs="宋体"/>
                <w:i w:val="0"/>
                <w:color w:val="000000"/>
                <w:kern w:val="0"/>
                <w:sz w:val="15"/>
                <w:szCs w:val="15"/>
                <w:u w:val="none"/>
                <w:lang w:val="en-US" w:eastAsia="zh-CN" w:bidi="ar"/>
              </w:rPr>
              <w:t>米</w:t>
            </w:r>
          </w:p>
        </w:tc>
        <w:tc>
          <w:tcPr>
            <w:tcW w:w="1923"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Merge w:val="continue"/>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Merge w:val="continue"/>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238"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891" w:type="dxa"/>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r>
              <w:rPr>
                <w:rFonts w:hint="eastAsia" w:ascii="宋体" w:hAnsi="宋体"/>
                <w:sz w:val="15"/>
                <w:szCs w:val="18"/>
              </w:rPr>
              <w:t>合计</w:t>
            </w:r>
          </w:p>
        </w:tc>
        <w:tc>
          <w:tcPr>
            <w:tcW w:w="1871" w:type="dxa"/>
            <w:vAlign w:val="center"/>
          </w:tcPr>
          <w:p>
            <w:pPr>
              <w:kinsoku w:val="0"/>
              <w:overflowPunct w:val="0"/>
              <w:autoSpaceDE w:val="0"/>
              <w:autoSpaceDN w:val="0"/>
              <w:adjustRightInd w:val="0"/>
              <w:snapToGrid w:val="0"/>
              <w:spacing w:line="240" w:lineRule="atLeast"/>
              <w:jc w:val="center"/>
              <w:rPr>
                <w:rFonts w:hint="eastAsia" w:ascii="宋体" w:hAnsi="宋体"/>
                <w:sz w:val="15"/>
                <w:szCs w:val="18"/>
              </w:rPr>
            </w:pPr>
          </w:p>
        </w:tc>
        <w:tc>
          <w:tcPr>
            <w:tcW w:w="1060" w:type="dxa"/>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693" w:type="dxa"/>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851" w:type="dxa"/>
            <w:vAlign w:val="center"/>
          </w:tcPr>
          <w:p>
            <w:pPr>
              <w:kinsoku w:val="0"/>
              <w:overflowPunct w:val="0"/>
              <w:autoSpaceDE w:val="0"/>
              <w:autoSpaceDN w:val="0"/>
              <w:adjustRightInd w:val="0"/>
              <w:snapToGrid w:val="0"/>
              <w:spacing w:line="240" w:lineRule="atLeast"/>
              <w:jc w:val="center"/>
              <w:rPr>
                <w:rFonts w:hint="default" w:ascii="宋体" w:hAnsi="宋体" w:eastAsia="宋体"/>
                <w:sz w:val="16"/>
                <w:szCs w:val="16"/>
                <w:lang w:val="en-US" w:eastAsia="zh-CN"/>
              </w:rPr>
            </w:pPr>
            <w:r>
              <w:rPr>
                <w:rFonts w:hint="eastAsia" w:ascii="宋体" w:hAnsi="宋体" w:eastAsia="宋体"/>
                <w:sz w:val="16"/>
                <w:szCs w:val="16"/>
                <w:lang w:val="en-US" w:eastAsia="zh-CN"/>
              </w:rPr>
              <w:t>9100</w:t>
            </w:r>
          </w:p>
        </w:tc>
        <w:tc>
          <w:tcPr>
            <w:tcW w:w="847" w:type="dxa"/>
            <w:vAlign w:val="center"/>
          </w:tcPr>
          <w:p>
            <w:pPr>
              <w:kinsoku w:val="0"/>
              <w:overflowPunct w:val="0"/>
              <w:autoSpaceDE w:val="0"/>
              <w:autoSpaceDN w:val="0"/>
              <w:adjustRightInd w:val="0"/>
              <w:snapToGrid w:val="0"/>
              <w:spacing w:line="240" w:lineRule="atLeast"/>
              <w:jc w:val="center"/>
              <w:rPr>
                <w:rFonts w:hint="eastAsia" w:ascii="宋体" w:hAnsi="宋体"/>
                <w:sz w:val="16"/>
                <w:szCs w:val="16"/>
              </w:rPr>
            </w:pPr>
          </w:p>
        </w:tc>
        <w:tc>
          <w:tcPr>
            <w:tcW w:w="1923"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200" w:type="dxa"/>
            <w:vAlign w:val="center"/>
          </w:tcPr>
          <w:p>
            <w:pPr>
              <w:kinsoku w:val="0"/>
              <w:overflowPunct w:val="0"/>
              <w:autoSpaceDE w:val="0"/>
              <w:autoSpaceDN w:val="0"/>
              <w:adjustRightInd w:val="0"/>
              <w:snapToGrid w:val="0"/>
              <w:spacing w:line="240" w:lineRule="atLeast"/>
              <w:jc w:val="center"/>
              <w:rPr>
                <w:rFonts w:ascii="宋体" w:hAnsi="宋体"/>
                <w:sz w:val="15"/>
                <w:szCs w:val="18"/>
              </w:rPr>
            </w:pPr>
          </w:p>
        </w:tc>
        <w:tc>
          <w:tcPr>
            <w:tcW w:w="1146" w:type="dxa"/>
            <w:vAlign w:val="center"/>
          </w:tcPr>
          <w:p>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pPr>
        <w:adjustRightInd w:val="0"/>
        <w:snapToGrid w:val="0"/>
        <w:ind w:firstLine="282" w:firstLineChars="157"/>
        <w:rPr>
          <w:rFonts w:hint="eastAsia" w:ascii="宋体" w:hAnsi="宋体"/>
          <w:sz w:val="18"/>
          <w:szCs w:val="18"/>
        </w:rPr>
      </w:pPr>
    </w:p>
    <w:p>
      <w:pPr>
        <w:adjustRightInd w:val="0"/>
        <w:snapToGrid w:val="0"/>
        <w:spacing w:line="360" w:lineRule="auto"/>
        <w:ind w:firstLine="360" w:firstLineChars="200"/>
        <w:rPr>
          <w:rFonts w:ascii="宋体" w:hAns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、表中为暂定规格数量，最终规格数量以采购人实际需求规格数量为准。</w:t>
      </w:r>
    </w:p>
    <w:p>
      <w:pPr>
        <w:adjustRightInd w:val="0"/>
        <w:snapToGrid w:val="0"/>
        <w:spacing w:line="360" w:lineRule="auto"/>
        <w:ind w:firstLine="720" w:firstLineChars="400"/>
        <w:rPr>
          <w:rFonts w:ascii="宋体" w:hAnsi="宋体"/>
          <w:sz w:val="18"/>
          <w:szCs w:val="18"/>
        </w:rPr>
      </w:pPr>
      <w:r>
        <w:rPr>
          <w:rFonts w:hint="eastAsia" w:ascii="宋体" w:hAnsi="宋体"/>
          <w:sz w:val="18"/>
          <w:szCs w:val="18"/>
        </w:rPr>
        <w:t>2、交货时间及地点具体以使用单位的书面传真通知为准。</w:t>
      </w:r>
    </w:p>
    <w:p>
      <w:pPr>
        <w:pStyle w:val="2"/>
        <w:ind w:firstLine="720" w:firstLineChars="400"/>
        <w:rPr>
          <w:rFonts w:hint="eastAsia" w:ascii="宋体" w:hAnsi="宋体"/>
          <w:sz w:val="18"/>
          <w:szCs w:val="18"/>
          <w:lang w:eastAsia="zh-CN"/>
        </w:rPr>
        <w:sectPr>
          <w:pgSz w:w="16838" w:h="11906" w:orient="landscape"/>
          <w:pgMar w:top="1276" w:right="1134" w:bottom="1191" w:left="1134" w:header="851" w:footer="992" w:gutter="0"/>
          <w:cols w:space="720" w:num="1"/>
          <w:docGrid w:linePitch="312" w:charSpace="0"/>
        </w:sectPr>
      </w:pPr>
      <w:r>
        <w:rPr>
          <w:rFonts w:hint="eastAsia" w:ascii="宋体" w:hAnsi="宋体"/>
          <w:sz w:val="18"/>
          <w:szCs w:val="18"/>
        </w:rPr>
        <w:t>3、</w:t>
      </w:r>
      <w:r>
        <w:rPr>
          <w:rFonts w:ascii="宋体" w:hAnsi="宋体"/>
          <w:sz w:val="18"/>
          <w:szCs w:val="18"/>
        </w:rPr>
        <w:t>具体规格</w:t>
      </w:r>
      <w:r>
        <w:rPr>
          <w:rFonts w:hint="eastAsia" w:ascii="宋体" w:hAnsi="宋体"/>
          <w:sz w:val="18"/>
          <w:szCs w:val="18"/>
        </w:rPr>
        <w:t>型号</w:t>
      </w:r>
      <w:r>
        <w:rPr>
          <w:rFonts w:ascii="宋体" w:hAnsi="宋体"/>
          <w:sz w:val="18"/>
          <w:szCs w:val="18"/>
        </w:rPr>
        <w:t>与电商平台不一致的，以</w:t>
      </w:r>
      <w:r>
        <w:rPr>
          <w:rFonts w:hint="eastAsia" w:ascii="宋体" w:hAnsi="宋体"/>
          <w:sz w:val="18"/>
          <w:szCs w:val="18"/>
        </w:rPr>
        <w:t>招标文件</w:t>
      </w:r>
      <w:r>
        <w:rPr>
          <w:rFonts w:ascii="宋体" w:hAnsi="宋体"/>
          <w:sz w:val="18"/>
          <w:szCs w:val="18"/>
        </w:rPr>
        <w:t>为准</w:t>
      </w:r>
      <w:r>
        <w:rPr>
          <w:rFonts w:hint="eastAsia" w:ascii="宋体" w:hAnsi="宋体"/>
          <w:sz w:val="18"/>
          <w:szCs w:val="18"/>
          <w:lang w:eastAsia="zh-CN"/>
        </w:rPr>
        <w:t>。</w:t>
      </w:r>
    </w:p>
    <w:p>
      <w:pPr>
        <w:rPr>
          <w:rFonts w:ascii="宋体" w:hAnsi="宋体"/>
          <w:b/>
        </w:rPr>
      </w:pPr>
      <w:r>
        <w:rPr>
          <w:rFonts w:hint="eastAsia" w:ascii="宋体" w:hAnsi="宋体"/>
          <w:b/>
        </w:rPr>
        <w:t>附件四、技术规格书</w:t>
      </w:r>
    </w:p>
    <w:p>
      <w:pPr>
        <w:spacing w:line="360" w:lineRule="auto"/>
        <w:ind w:firstLine="404" w:firstLineChars="202"/>
        <w:outlineLvl w:val="0"/>
        <w:rPr>
          <w:rFonts w:hint="eastAsia" w:ascii="宋体" w:hAnsi="宋体"/>
          <w:sz w:val="20"/>
          <w:szCs w:val="18"/>
        </w:rPr>
      </w:pPr>
      <w:bookmarkStart w:id="128" w:name="_Toc484676577"/>
    </w:p>
    <w:p>
      <w:pPr>
        <w:spacing w:line="360" w:lineRule="auto"/>
        <w:jc w:val="center"/>
        <w:outlineLvl w:val="0"/>
        <w:rPr>
          <w:rFonts w:hint="eastAsia" w:ascii="宋体" w:hAnsi="宋体"/>
          <w:b/>
          <w:bCs/>
          <w:sz w:val="28"/>
          <w:szCs w:val="28"/>
        </w:rPr>
      </w:pPr>
      <w:bookmarkStart w:id="129" w:name="_Toc3741"/>
      <w:bookmarkStart w:id="130" w:name="_Toc3045"/>
      <w:r>
        <w:rPr>
          <w:rFonts w:hint="eastAsia" w:ascii="宋体" w:hAnsi="宋体"/>
          <w:b/>
          <w:bCs/>
          <w:sz w:val="28"/>
          <w:szCs w:val="28"/>
        </w:rPr>
        <w:t>技术规格书</w:t>
      </w:r>
      <w:bookmarkEnd w:id="129"/>
      <w:bookmarkEnd w:id="130"/>
    </w:p>
    <w:bookmarkEnd w:id="0"/>
    <w:bookmarkEnd w:id="128"/>
    <w:p>
      <w:pPr>
        <w:spacing w:line="360" w:lineRule="auto"/>
        <w:ind w:firstLine="422" w:firstLineChars="200"/>
        <w:rPr>
          <w:rFonts w:hint="eastAsia" w:ascii="宋体" w:hAnsi="宋体"/>
          <w:b/>
          <w:bCs/>
          <w:lang w:val="en-US" w:eastAsia="zh-CN"/>
        </w:rPr>
      </w:pPr>
      <w:r>
        <w:rPr>
          <w:rFonts w:hint="eastAsia" w:ascii="宋体" w:hAnsi="宋体"/>
          <w:b/>
          <w:bCs/>
          <w:lang w:val="en-US" w:eastAsia="zh-CN"/>
        </w:rPr>
        <w:t>一、电线电缆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1、肇庆三期图纸相关设计要求及GB50217-2007《电力工程电缆设计规范》。 </w:t>
      </w:r>
    </w:p>
    <w:p>
      <w:pPr>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2、电缆导体材质</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2.1控制电缆应选用铜导体。</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2.2用于下列情况的电力电缆,应选用铜导体:</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2.2.1电机励磁.重要电源、移动式电气设备等需保持连接具有高可靠性的回路。</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2.2.2振动剧烈、有爆炸危险或对铝有腐蚀等严酷的工作环境。</w:t>
      </w:r>
    </w:p>
    <w:p>
      <w:pPr>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2.2.3耐火电缆。</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2.2.4紧靠高温设备布置。</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2.2.5安全性要求高的公共设施。</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2.2.6工作电流较大,需增多电缆根数时。</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3、电力电缆芯数</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3.1 1kV及以下电源中性点直接接地时,三相回路的电缆芯数的选择,应符合下列规定:保护线与受电</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设备的外露可导电部位连接接地时,应符合下列规定:1)保护线与中性线合用同一导体时,应选用四芯电缆。2)保护线与中性线各自独立时.宜选用五芯电缆;当满足本规范第5.1.16条的规定时,也可采用四芯电缆与另外的保护线导体组成。</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 xml:space="preserve">    3.2受电设备外露可导电部位的接地与电源系统接地各自独立时.应选用四芯电缆。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 1kV及以下电源中性点直接接地时，单相回路的电缆芯数的选择,应符合下列规定:保护线与受电设备的外露可导电部位连接接地时,应符合下列规定:1)保护线与中性线合用同一导体时,应选用两芯电缆。2)保护线与中性线各自独立时,宜选用三芯电缆;当满足本.</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3.4受电设备外露可导电部位的接地与电源系统接地各自独立时,应选用两芯电缆。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 3~35kV 三相供电回路的电缆芯数的选择,应符合下列规定:工作电流较大的回路或电缆敷设于水下时，每回可选用3根单芯电缆。除上述情况外,应选用三芯电缆;三芯电缆可选用普通统包型,也可选用3根单芯电缆绞合构造型。110kV三相供电回路,除敷设于湖、海水下等场所且电缆截面不大时可选用三芯型外，每回可选用3根单芯电缆。110kV以上三相供电回路,每回应选用3根单芯电缆。电气化铁路等高压交流单相供电回路,应选用两芯电缆或每回选用2根单芯电缆。</w:t>
      </w:r>
    </w:p>
    <w:p>
      <w:pPr>
        <w:pStyle w:val="2"/>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4、电缆护层类型：</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4.1电缆护层的选择,应符合下列要求:交流系统单芯电力电缆,当需要增强电缆抗外力时,应选用非磁性金属铠装层,不得选用未经非磁性有效处理的钢制铠装。在潮 湿、含化学腐蚀环境或易受水浸泡的电缆,其金属层、加强层、铠装上应有聚乙烯外护层,水中电缆的粗钢丝铠装应有挤塑外护层。在人员密集的公共设施，以及有低毒阻燃性防火要求的场所,可选用聚乙烯或乙丙橡皮等不含卤素的外护层。防火有低毒性要求时,不宜选用聚氯乙烯外护层。除一15%C以 下低温环境或药用化学液体浸泡场所,以及有低毒难燃性要求的电缆挤塑外护层宜选用聚乙烯外,其他可选用聚氯乙烯外护层。用在有水或化学液体浸泡场所的6~35kV重要回路或35kV以上的交联聚乙烯电缆,应具有符合使用要求的金属塑料复合阻水层、金属套等径向防水构造。敷设于水下的中、高压交联聚乙烯电缆应具有纵向阻水构造。3.5.2自 容式充油电缆的加强层类型,当线路未设置塞止式接头时最高与最低点之间高差,应符合下列规定:仅有铜带等径向加强层时,容许高差应为40m;但用于重要回路时宜为30m。径向和纵向均有铜带等加强层时,容许高差应为80m;但.用王重要回路时宜为60m。</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eastAsia"/>
          <w:lang w:val="en-US" w:eastAsia="zh-CN"/>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材料检验为现场随机抽检送样，若检测出现不合格现象则该批材料全部退货所产生的费用全部由投标方承担。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i</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C4A5D"/>
    <w:rsid w:val="5F4C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line="360" w:lineRule="auto"/>
    </w:pPr>
    <w:rPr>
      <w:rFonts w:ascii="Arial" w:hAnsi="Arial"/>
      <w:color w:val="000000"/>
      <w:sz w:val="24"/>
      <w:szCs w:val="20"/>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2019-12-17T04:01:00Z</dcterms:created>
  <dc:creator>鲸鱼先生</dc:creator>
  <cp:lastModifiedBy>鲸鱼先生</cp:lastModifiedBy>
  <dcterms:modified xsi:type="dcterms:W3CDTF">2019-12-17T04:01:59Z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