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黑体" w:hAnsi="黑体" w:eastAsia="黑体"/>
          <w:sz w:val="42"/>
          <w:lang w:val="en-US" w:eastAsia="zh-CN"/>
        </w:rPr>
      </w:pPr>
      <w:r>
        <w:rPr>
          <w:rFonts w:hint="eastAsia" w:ascii="黑体" w:hAnsi="黑体" w:eastAsia="黑体"/>
          <w:sz w:val="42"/>
          <w:lang w:val="en-US" w:eastAsia="zh-CN"/>
        </w:rPr>
        <w:drawing>
          <wp:inline distT="0" distB="0" distL="114300" distR="114300">
            <wp:extent cx="5271135" cy="7450455"/>
            <wp:effectExtent l="0" t="0" r="5715" b="17145"/>
            <wp:docPr id="1" name="图片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an0002"/>
                    <pic:cNvPicPr>
                      <a:picLocks noChangeAspect="1"/>
                    </pic:cNvPicPr>
                  </pic:nvPicPr>
                  <pic:blipFill>
                    <a:blip r:embed="rId4"/>
                    <a:stretch>
                      <a:fillRect/>
                    </a:stretch>
                  </pic:blipFill>
                  <pic:spPr>
                    <a:xfrm>
                      <a:off x="0" y="0"/>
                      <a:ext cx="5271135" cy="7450455"/>
                    </a:xfrm>
                    <a:prstGeom prst="rect">
                      <a:avLst/>
                    </a:prstGeom>
                  </pic:spPr>
                </pic:pic>
              </a:graphicData>
            </a:graphic>
          </wp:inline>
        </w:drawing>
      </w:r>
      <w:r>
        <w:rPr>
          <w:rFonts w:hint="eastAsia" w:ascii="黑体" w:hAnsi="黑体" w:eastAsia="黑体"/>
          <w:sz w:val="42"/>
          <w:lang w:val="en-US" w:eastAsia="zh-CN"/>
        </w:rPr>
        <w:t xml:space="preserve">    </w:t>
      </w:r>
    </w:p>
    <w:p>
      <w:pPr>
        <w:spacing w:line="360" w:lineRule="auto"/>
        <w:jc w:val="center"/>
        <w:rPr>
          <w:rFonts w:hint="eastAsia" w:ascii="黑体" w:hAnsi="黑体" w:eastAsia="黑体"/>
          <w:sz w:val="42"/>
        </w:rPr>
      </w:pPr>
    </w:p>
    <w:p>
      <w:pPr>
        <w:spacing w:line="360" w:lineRule="auto"/>
        <w:jc w:val="center"/>
        <w:rPr>
          <w:rFonts w:hint="eastAsia" w:ascii="黑体" w:hAnsi="黑体" w:eastAsia="黑体"/>
          <w:sz w:val="42"/>
        </w:rPr>
      </w:pPr>
    </w:p>
    <w:p>
      <w:pPr>
        <w:spacing w:line="360" w:lineRule="auto"/>
        <w:jc w:val="center"/>
        <w:rPr>
          <w:rFonts w:hint="eastAsia" w:ascii="黑体" w:hAnsi="黑体" w:eastAsia="黑体"/>
          <w:color w:val="000000"/>
          <w:sz w:val="40"/>
          <w:szCs w:val="44"/>
          <w:u w:val="single"/>
        </w:rPr>
      </w:pPr>
    </w:p>
    <w:p>
      <w:pPr>
        <w:spacing w:line="360" w:lineRule="auto"/>
        <w:jc w:val="both"/>
        <w:rPr>
          <w:rFonts w:hint="eastAsia" w:asciiTheme="minorEastAsia" w:hAnsiTheme="minorEastAsia" w:eastAsiaTheme="minorEastAsia"/>
          <w:b/>
          <w:sz w:val="48"/>
          <w:szCs w:val="32"/>
        </w:rPr>
      </w:pPr>
      <w:bookmarkStart w:id="0" w:name="_GoBack"/>
      <w:bookmarkEnd w:id="0"/>
    </w:p>
    <w:p>
      <w:pPr>
        <w:spacing w:line="360" w:lineRule="auto"/>
        <w:jc w:val="center"/>
        <w:rPr>
          <w:rFonts w:hint="eastAsia" w:asciiTheme="minorEastAsia" w:hAnsiTheme="minorEastAsia" w:eastAsiaTheme="minorEastAsia"/>
          <w:b/>
          <w:sz w:val="48"/>
          <w:szCs w:val="32"/>
        </w:rPr>
      </w:pPr>
    </w:p>
    <w:p>
      <w:pPr>
        <w:spacing w:line="360" w:lineRule="auto"/>
        <w:jc w:val="center"/>
        <w:rPr>
          <w:rFonts w:asciiTheme="minorEastAsia" w:hAnsiTheme="minorEastAsia" w:eastAsiaTheme="minorEastAsia"/>
          <w:b/>
          <w:sz w:val="48"/>
          <w:szCs w:val="32"/>
        </w:rPr>
      </w:pPr>
      <w:r>
        <w:rPr>
          <w:rFonts w:hint="eastAsia" w:asciiTheme="minorEastAsia" w:hAnsiTheme="minorEastAsia" w:eastAsiaTheme="minorEastAsia"/>
          <w:b/>
          <w:sz w:val="48"/>
          <w:szCs w:val="32"/>
        </w:rPr>
        <w:t>注意事项</w:t>
      </w:r>
    </w:p>
    <w:p>
      <w:pPr>
        <w:spacing w:line="360" w:lineRule="auto"/>
        <w:jc w:val="center"/>
        <w:rPr>
          <w:rFonts w:asciiTheme="minorEastAsia" w:hAnsiTheme="minorEastAsia" w:eastAsiaTheme="minorEastAsia"/>
          <w:b/>
          <w:sz w:val="40"/>
          <w:szCs w:val="32"/>
        </w:rPr>
      </w:pPr>
    </w:p>
    <w:p>
      <w:pPr>
        <w:spacing w:line="360" w:lineRule="auto"/>
        <w:ind w:firstLine="810"/>
        <w:jc w:val="left"/>
        <w:rPr>
          <w:rFonts w:asciiTheme="minorEastAsia" w:hAnsiTheme="minorEastAsia" w:eastAsiaTheme="minorEastAsia"/>
          <w:b/>
          <w:sz w:val="40"/>
          <w:szCs w:val="40"/>
        </w:rPr>
      </w:pPr>
      <w:r>
        <w:rPr>
          <w:rFonts w:hint="eastAsia" w:asciiTheme="minorEastAsia" w:hAnsiTheme="minorEastAsia" w:eastAsiaTheme="minorEastAsia"/>
          <w:b/>
          <w:sz w:val="40"/>
          <w:szCs w:val="40"/>
        </w:rPr>
        <w:t>供应商报价时凡</w:t>
      </w:r>
      <w:r>
        <w:rPr>
          <w:rFonts w:hint="eastAsia" w:asciiTheme="minorEastAsia" w:hAnsiTheme="minorEastAsia" w:eastAsiaTheme="minorEastAsia"/>
          <w:b/>
          <w:color w:val="FF0000"/>
          <w:sz w:val="40"/>
          <w:szCs w:val="40"/>
        </w:rPr>
        <w:t>涉及以下任一条款</w:t>
      </w:r>
      <w:r>
        <w:rPr>
          <w:rFonts w:hint="eastAsia" w:asciiTheme="minorEastAsia" w:hAnsiTheme="minorEastAsia" w:eastAsiaTheme="minorEastAsia"/>
          <w:b/>
          <w:sz w:val="40"/>
          <w:szCs w:val="40"/>
        </w:rPr>
        <w:t>均</w:t>
      </w:r>
      <w:r>
        <w:rPr>
          <w:rFonts w:hint="eastAsia" w:asciiTheme="minorEastAsia" w:hAnsiTheme="minorEastAsia" w:eastAsiaTheme="minorEastAsia"/>
          <w:b/>
          <w:color w:val="FF0000"/>
          <w:sz w:val="40"/>
          <w:szCs w:val="40"/>
        </w:rPr>
        <w:t>视为无效报价并纳入供应商考评</w:t>
      </w:r>
      <w:r>
        <w:rPr>
          <w:rFonts w:hint="eastAsia" w:asciiTheme="minorEastAsia" w:hAnsiTheme="minorEastAsia" w:eastAsiaTheme="minorEastAsia"/>
          <w:b/>
          <w:sz w:val="40"/>
          <w:szCs w:val="40"/>
        </w:rPr>
        <w:t>，具体条款如下：</w:t>
      </w:r>
    </w:p>
    <w:p>
      <w:pPr>
        <w:spacing w:line="360" w:lineRule="auto"/>
        <w:ind w:firstLine="810"/>
        <w:jc w:val="left"/>
        <w:rPr>
          <w:rFonts w:asciiTheme="minorEastAsia" w:hAnsiTheme="minorEastAsia" w:eastAsiaTheme="minorEastAsia"/>
          <w:sz w:val="40"/>
          <w:szCs w:val="40"/>
        </w:rPr>
      </w:pPr>
      <w:r>
        <w:rPr>
          <w:rFonts w:hint="eastAsia" w:asciiTheme="minorEastAsia" w:hAnsiTheme="minorEastAsia" w:eastAsiaTheme="minorEastAsia"/>
          <w:sz w:val="40"/>
          <w:szCs w:val="40"/>
        </w:rPr>
        <w:t>1、供应商</w:t>
      </w:r>
      <w:r>
        <w:rPr>
          <w:rFonts w:hint="eastAsia" w:asciiTheme="minorEastAsia" w:hAnsiTheme="minorEastAsia" w:eastAsiaTheme="minorEastAsia"/>
          <w:color w:val="FF0000"/>
          <w:sz w:val="40"/>
          <w:szCs w:val="40"/>
        </w:rPr>
        <w:t>不上传报价清单</w:t>
      </w:r>
      <w:r>
        <w:rPr>
          <w:rFonts w:hint="eastAsia" w:asciiTheme="minorEastAsia" w:hAnsiTheme="minorEastAsia" w:eastAsiaTheme="minorEastAsia"/>
          <w:sz w:val="40"/>
          <w:szCs w:val="40"/>
        </w:rPr>
        <w:t>或</w:t>
      </w:r>
      <w:r>
        <w:rPr>
          <w:rFonts w:hint="eastAsia" w:asciiTheme="minorEastAsia" w:hAnsiTheme="minorEastAsia" w:eastAsiaTheme="minorEastAsia"/>
          <w:color w:val="FF0000"/>
          <w:sz w:val="40"/>
          <w:szCs w:val="40"/>
        </w:rPr>
        <w:t>报价清单未盖章</w:t>
      </w:r>
      <w:r>
        <w:rPr>
          <w:rFonts w:hint="eastAsia" w:asciiTheme="minorEastAsia" w:hAnsiTheme="minorEastAsia" w:eastAsiaTheme="minorEastAsia"/>
          <w:sz w:val="40"/>
          <w:szCs w:val="40"/>
        </w:rPr>
        <w:t>的；</w:t>
      </w:r>
    </w:p>
    <w:p>
      <w:pPr>
        <w:spacing w:line="360" w:lineRule="auto"/>
        <w:ind w:firstLine="810"/>
        <w:jc w:val="left"/>
        <w:rPr>
          <w:rFonts w:asciiTheme="minorEastAsia" w:hAnsiTheme="minorEastAsia" w:eastAsiaTheme="minorEastAsia"/>
          <w:sz w:val="40"/>
          <w:szCs w:val="40"/>
        </w:rPr>
      </w:pPr>
      <w:r>
        <w:rPr>
          <w:rFonts w:hint="eastAsia" w:asciiTheme="minorEastAsia" w:hAnsiTheme="minorEastAsia" w:eastAsiaTheme="minorEastAsia"/>
          <w:sz w:val="40"/>
          <w:szCs w:val="40"/>
        </w:rPr>
        <w:t>2、供应商</w:t>
      </w:r>
      <w:r>
        <w:rPr>
          <w:rFonts w:hint="eastAsia" w:asciiTheme="minorEastAsia" w:hAnsiTheme="minorEastAsia" w:eastAsiaTheme="minorEastAsia"/>
          <w:color w:val="FF0000"/>
          <w:sz w:val="40"/>
          <w:szCs w:val="40"/>
        </w:rPr>
        <w:t>未按发布报价清单进行对应分项报价</w:t>
      </w:r>
      <w:r>
        <w:rPr>
          <w:rFonts w:hint="eastAsia" w:asciiTheme="minorEastAsia" w:hAnsiTheme="minorEastAsia" w:eastAsiaTheme="minorEastAsia"/>
          <w:sz w:val="40"/>
          <w:szCs w:val="40"/>
        </w:rPr>
        <w:t>或</w:t>
      </w:r>
      <w:r>
        <w:rPr>
          <w:rFonts w:hint="eastAsia" w:asciiTheme="minorEastAsia" w:hAnsiTheme="minorEastAsia" w:eastAsiaTheme="minorEastAsia"/>
          <w:color w:val="FF0000"/>
          <w:sz w:val="40"/>
          <w:szCs w:val="40"/>
        </w:rPr>
        <w:t>报价清单缺项、漏项、多项</w:t>
      </w:r>
      <w:r>
        <w:rPr>
          <w:rFonts w:hint="eastAsia" w:asciiTheme="minorEastAsia" w:hAnsiTheme="minorEastAsia" w:eastAsiaTheme="minorEastAsia"/>
          <w:sz w:val="40"/>
          <w:szCs w:val="40"/>
        </w:rPr>
        <w:t>的；</w:t>
      </w:r>
    </w:p>
    <w:p>
      <w:pPr>
        <w:spacing w:line="360" w:lineRule="auto"/>
        <w:ind w:firstLine="810"/>
        <w:jc w:val="left"/>
        <w:rPr>
          <w:rFonts w:asciiTheme="minorEastAsia" w:hAnsiTheme="minorEastAsia" w:eastAsiaTheme="minorEastAsia"/>
          <w:sz w:val="40"/>
          <w:szCs w:val="40"/>
        </w:rPr>
      </w:pPr>
      <w:r>
        <w:rPr>
          <w:rFonts w:hint="eastAsia" w:asciiTheme="minorEastAsia" w:hAnsiTheme="minorEastAsia" w:eastAsiaTheme="minorEastAsia"/>
          <w:sz w:val="40"/>
          <w:szCs w:val="40"/>
        </w:rPr>
        <w:t>3、供应商</w:t>
      </w:r>
      <w:r>
        <w:rPr>
          <w:rFonts w:hint="eastAsia" w:asciiTheme="minorEastAsia" w:hAnsiTheme="minorEastAsia" w:eastAsiaTheme="minorEastAsia"/>
          <w:color w:val="FF0000"/>
          <w:sz w:val="40"/>
          <w:szCs w:val="40"/>
        </w:rPr>
        <w:t>分项报价与总价不一致</w:t>
      </w:r>
      <w:r>
        <w:rPr>
          <w:rFonts w:hint="eastAsia" w:asciiTheme="minorEastAsia" w:hAnsiTheme="minorEastAsia" w:eastAsiaTheme="minorEastAsia"/>
          <w:sz w:val="40"/>
          <w:szCs w:val="40"/>
        </w:rPr>
        <w:t>的；</w:t>
      </w:r>
    </w:p>
    <w:p>
      <w:pPr>
        <w:spacing w:line="360" w:lineRule="auto"/>
        <w:ind w:firstLine="810"/>
        <w:jc w:val="left"/>
        <w:rPr>
          <w:rFonts w:asciiTheme="minorEastAsia" w:hAnsiTheme="minorEastAsia" w:eastAsiaTheme="minorEastAsia"/>
          <w:sz w:val="40"/>
          <w:szCs w:val="40"/>
        </w:rPr>
      </w:pPr>
      <w:r>
        <w:rPr>
          <w:rFonts w:hint="eastAsia" w:asciiTheme="minorEastAsia" w:hAnsiTheme="minorEastAsia" w:eastAsiaTheme="minorEastAsia"/>
          <w:sz w:val="40"/>
          <w:szCs w:val="40"/>
        </w:rPr>
        <w:t>4、供应商</w:t>
      </w:r>
      <w:r>
        <w:rPr>
          <w:rFonts w:hint="eastAsia" w:asciiTheme="minorEastAsia" w:hAnsiTheme="minorEastAsia" w:eastAsiaTheme="minorEastAsia"/>
          <w:color w:val="FF0000"/>
          <w:sz w:val="40"/>
          <w:szCs w:val="40"/>
        </w:rPr>
        <w:t>无法接受</w:t>
      </w:r>
      <w:r>
        <w:rPr>
          <w:rFonts w:hint="eastAsia" w:asciiTheme="minorEastAsia" w:hAnsiTheme="minorEastAsia" w:eastAsiaTheme="minorEastAsia"/>
          <w:b/>
          <w:color w:val="FF0000"/>
          <w:sz w:val="40"/>
          <w:szCs w:val="40"/>
        </w:rPr>
        <w:t>后付款</w:t>
      </w:r>
      <w:r>
        <w:rPr>
          <w:rFonts w:hint="eastAsia" w:asciiTheme="minorEastAsia" w:hAnsiTheme="minorEastAsia" w:eastAsiaTheme="minorEastAsia"/>
          <w:color w:val="FF0000"/>
          <w:sz w:val="40"/>
          <w:szCs w:val="40"/>
        </w:rPr>
        <w:t>方式</w:t>
      </w:r>
      <w:r>
        <w:rPr>
          <w:rFonts w:hint="eastAsia" w:asciiTheme="minorEastAsia" w:hAnsiTheme="minorEastAsia" w:eastAsiaTheme="minorEastAsia"/>
          <w:sz w:val="40"/>
          <w:szCs w:val="40"/>
        </w:rPr>
        <w:t>的；</w:t>
      </w:r>
    </w:p>
    <w:p>
      <w:pPr>
        <w:spacing w:line="360" w:lineRule="auto"/>
        <w:ind w:firstLine="810"/>
        <w:jc w:val="left"/>
        <w:rPr>
          <w:rFonts w:asciiTheme="minorEastAsia" w:hAnsiTheme="minorEastAsia" w:eastAsiaTheme="minorEastAsia"/>
          <w:color w:val="00B0F0"/>
          <w:sz w:val="40"/>
          <w:szCs w:val="40"/>
        </w:rPr>
      </w:pPr>
      <w:r>
        <w:rPr>
          <w:rFonts w:hint="eastAsia" w:asciiTheme="minorEastAsia" w:hAnsiTheme="minorEastAsia" w:eastAsiaTheme="minorEastAsia"/>
          <w:sz w:val="40"/>
          <w:szCs w:val="40"/>
        </w:rPr>
        <w:t>5、供应商</w:t>
      </w:r>
      <w:r>
        <w:rPr>
          <w:rFonts w:hint="eastAsia" w:asciiTheme="minorEastAsia" w:hAnsiTheme="minorEastAsia" w:eastAsiaTheme="minorEastAsia"/>
          <w:color w:val="FF0000"/>
          <w:sz w:val="40"/>
          <w:szCs w:val="40"/>
        </w:rPr>
        <w:t>未上传要求的资格原件扫描件</w:t>
      </w:r>
      <w:r>
        <w:rPr>
          <w:rFonts w:hint="eastAsia" w:asciiTheme="minorEastAsia" w:hAnsiTheme="minorEastAsia" w:eastAsiaTheme="minorEastAsia"/>
          <w:sz w:val="40"/>
          <w:szCs w:val="40"/>
        </w:rPr>
        <w:t>或</w:t>
      </w:r>
      <w:r>
        <w:rPr>
          <w:rFonts w:hint="eastAsia" w:asciiTheme="minorEastAsia" w:hAnsiTheme="minorEastAsia" w:eastAsiaTheme="minorEastAsia"/>
          <w:color w:val="FF0000"/>
          <w:sz w:val="40"/>
          <w:szCs w:val="40"/>
        </w:rPr>
        <w:t>上传的资格与专用条款要求不一致</w:t>
      </w:r>
      <w:r>
        <w:rPr>
          <w:rFonts w:hint="eastAsia" w:asciiTheme="minorEastAsia" w:hAnsiTheme="minorEastAsia" w:eastAsiaTheme="minorEastAsia"/>
          <w:sz w:val="40"/>
          <w:szCs w:val="40"/>
        </w:rPr>
        <w:t>的；</w:t>
      </w:r>
      <w:r>
        <w:rPr>
          <w:rFonts w:hint="eastAsia" w:asciiTheme="minorEastAsia" w:hAnsiTheme="minorEastAsia" w:eastAsiaTheme="minorEastAsia"/>
          <w:color w:val="00B0F0"/>
          <w:sz w:val="40"/>
          <w:szCs w:val="40"/>
        </w:rPr>
        <w:t>（经评审最低价法方有此条款）</w:t>
      </w:r>
    </w:p>
    <w:p>
      <w:pPr>
        <w:spacing w:line="360" w:lineRule="auto"/>
        <w:ind w:firstLine="810"/>
        <w:jc w:val="left"/>
        <w:rPr>
          <w:rFonts w:asciiTheme="minorEastAsia" w:hAnsiTheme="minorEastAsia" w:eastAsiaTheme="minorEastAsia"/>
          <w:color w:val="00B0F0"/>
          <w:sz w:val="40"/>
          <w:szCs w:val="40"/>
        </w:rPr>
      </w:pPr>
      <w:r>
        <w:rPr>
          <w:rFonts w:hint="eastAsia" w:asciiTheme="minorEastAsia" w:hAnsiTheme="minorEastAsia" w:eastAsiaTheme="minorEastAsia"/>
          <w:sz w:val="40"/>
          <w:szCs w:val="40"/>
        </w:rPr>
        <w:t>6、供应商</w:t>
      </w:r>
      <w:r>
        <w:rPr>
          <w:rFonts w:hint="eastAsia" w:asciiTheme="minorEastAsia" w:hAnsiTheme="minorEastAsia" w:eastAsiaTheme="minorEastAsia"/>
          <w:color w:val="FF0000"/>
          <w:sz w:val="40"/>
          <w:szCs w:val="40"/>
        </w:rPr>
        <w:t>上传的资格扫描件是复印件</w:t>
      </w:r>
      <w:r>
        <w:rPr>
          <w:rFonts w:hint="eastAsia" w:asciiTheme="minorEastAsia" w:hAnsiTheme="minorEastAsia" w:eastAsiaTheme="minorEastAsia"/>
          <w:sz w:val="40"/>
          <w:szCs w:val="40"/>
        </w:rPr>
        <w:t>或</w:t>
      </w:r>
      <w:r>
        <w:rPr>
          <w:rFonts w:hint="eastAsia" w:asciiTheme="minorEastAsia" w:hAnsiTheme="minorEastAsia" w:eastAsiaTheme="minorEastAsia"/>
          <w:color w:val="FF0000"/>
          <w:sz w:val="40"/>
          <w:szCs w:val="40"/>
        </w:rPr>
        <w:t>缺少合同关键页扫描件</w:t>
      </w:r>
      <w:r>
        <w:rPr>
          <w:rFonts w:hint="eastAsia" w:asciiTheme="minorEastAsia" w:hAnsiTheme="minorEastAsia" w:eastAsiaTheme="minorEastAsia"/>
          <w:sz w:val="40"/>
          <w:szCs w:val="40"/>
        </w:rPr>
        <w:t>的。</w:t>
      </w:r>
      <w:r>
        <w:rPr>
          <w:rFonts w:hint="eastAsia" w:asciiTheme="minorEastAsia" w:hAnsiTheme="minorEastAsia" w:eastAsiaTheme="minorEastAsia"/>
          <w:color w:val="00B0F0"/>
          <w:sz w:val="40"/>
          <w:szCs w:val="40"/>
        </w:rPr>
        <w:t>（经评审最低价法方有此条款）</w:t>
      </w:r>
    </w:p>
    <w:p>
      <w:pPr>
        <w:pStyle w:val="10"/>
        <w:pageBreakBefore/>
        <w:jc w:val="center"/>
        <w:rPr>
          <w:b/>
          <w:sz w:val="44"/>
          <w:szCs w:val="44"/>
        </w:rPr>
      </w:pPr>
      <w:r>
        <w:rPr>
          <w:rFonts w:hint="eastAsia"/>
          <w:b/>
          <w:sz w:val="44"/>
          <w:szCs w:val="44"/>
        </w:rPr>
        <w:t>总目录</w:t>
      </w:r>
    </w:p>
    <w:p>
      <w:pPr>
        <w:pStyle w:val="10"/>
        <w:rPr>
          <w:sz w:val="32"/>
          <w:szCs w:val="32"/>
        </w:rPr>
      </w:pPr>
    </w:p>
    <w:p>
      <w:pPr>
        <w:pStyle w:val="10"/>
        <w:spacing w:line="360" w:lineRule="auto"/>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第一章  供应商须知</w:t>
      </w:r>
    </w:p>
    <w:p>
      <w:pPr>
        <w:pStyle w:val="10"/>
        <w:spacing w:line="360" w:lineRule="auto"/>
        <w:rPr>
          <w:b/>
          <w:sz w:val="32"/>
          <w:szCs w:val="32"/>
        </w:rPr>
      </w:pPr>
      <w:r>
        <w:rPr>
          <w:rFonts w:hint="eastAsia"/>
          <w:b/>
          <w:sz w:val="32"/>
          <w:szCs w:val="32"/>
        </w:rPr>
        <w:t>第二章  采购项目概况</w:t>
      </w:r>
    </w:p>
    <w:p>
      <w:pPr>
        <w:pStyle w:val="10"/>
        <w:spacing w:line="360" w:lineRule="auto"/>
        <w:rPr>
          <w:b/>
          <w:sz w:val="32"/>
          <w:szCs w:val="32"/>
        </w:rPr>
      </w:pPr>
      <w:r>
        <w:rPr>
          <w:rFonts w:hint="eastAsia"/>
          <w:b/>
          <w:sz w:val="32"/>
          <w:szCs w:val="32"/>
        </w:rPr>
        <w:t>第三章  供应商资格要求</w:t>
      </w:r>
    </w:p>
    <w:p>
      <w:pPr>
        <w:pStyle w:val="10"/>
        <w:spacing w:line="360" w:lineRule="auto"/>
        <w:rPr>
          <w:b/>
          <w:sz w:val="32"/>
          <w:szCs w:val="32"/>
        </w:rPr>
      </w:pPr>
      <w:r>
        <w:rPr>
          <w:rFonts w:hint="eastAsia"/>
          <w:b/>
          <w:sz w:val="32"/>
          <w:szCs w:val="32"/>
        </w:rPr>
        <w:t>第四章  技术规范要求</w:t>
      </w:r>
    </w:p>
    <w:p>
      <w:pPr>
        <w:pageBreakBefore/>
        <w:spacing w:line="360" w:lineRule="auto"/>
        <w:jc w:val="center"/>
        <w:rPr>
          <w:rFonts w:ascii="黑体" w:hAnsi="黑体" w:eastAsia="黑体"/>
          <w:sz w:val="32"/>
          <w:szCs w:val="32"/>
        </w:rPr>
      </w:pPr>
      <w:r>
        <w:rPr>
          <w:rFonts w:hint="eastAsia" w:ascii="黑体" w:hAnsi="黑体" w:eastAsia="黑体"/>
          <w:sz w:val="40"/>
          <w:szCs w:val="32"/>
        </w:rPr>
        <w:t>第一章 供应商须知</w:t>
      </w:r>
    </w:p>
    <w:p>
      <w:pPr>
        <w:spacing w:line="360" w:lineRule="auto"/>
        <w:ind w:firstLine="1440" w:firstLineChars="450"/>
        <w:rPr>
          <w:rFonts w:ascii="黑体" w:hAnsi="黑体" w:eastAsia="黑体" w:cs="Arial"/>
          <w:sz w:val="32"/>
          <w:szCs w:val="32"/>
        </w:rPr>
      </w:pPr>
      <w:r>
        <w:rPr>
          <w:rFonts w:hint="eastAsia" w:ascii="黑体" w:hAnsi="黑体" w:eastAsia="黑体" w:cs="Arial"/>
          <w:sz w:val="32"/>
          <w:szCs w:val="32"/>
          <w:u w:val="single"/>
        </w:rPr>
        <w:t xml:space="preserve">              </w:t>
      </w:r>
      <w:r>
        <w:rPr>
          <w:rFonts w:hint="eastAsia" w:ascii="黑体" w:hAnsi="黑体" w:eastAsia="黑体"/>
          <w:sz w:val="36"/>
          <w:szCs w:val="36"/>
          <w:u w:val="single"/>
        </w:rPr>
        <w:t>电缆</w:t>
      </w:r>
      <w:r>
        <w:rPr>
          <w:rFonts w:hint="eastAsia" w:ascii="黑体" w:hAnsi="黑体" w:eastAsia="黑体" w:cs="Arial"/>
          <w:sz w:val="32"/>
          <w:szCs w:val="32"/>
          <w:u w:val="single"/>
        </w:rPr>
        <w:t xml:space="preserve">          </w:t>
      </w:r>
      <w:r>
        <w:rPr>
          <w:rFonts w:hint="eastAsia" w:ascii="黑体" w:hAnsi="黑体" w:eastAsia="黑体" w:cs="Arial"/>
          <w:sz w:val="32"/>
          <w:szCs w:val="32"/>
        </w:rPr>
        <w:t>项目</w:t>
      </w:r>
    </w:p>
    <w:p>
      <w:pPr>
        <w:spacing w:line="360" w:lineRule="auto"/>
        <w:jc w:val="center"/>
        <w:rPr>
          <w:rFonts w:eastAsia="黑体"/>
          <w:b/>
          <w:sz w:val="48"/>
        </w:rPr>
      </w:pPr>
      <w:r>
        <w:rPr>
          <w:rFonts w:hint="eastAsia" w:ascii="黑体" w:hAnsi="黑体" w:eastAsia="黑体"/>
          <w:sz w:val="36"/>
          <w:szCs w:val="36"/>
        </w:rPr>
        <w:t>电商询价采购文件</w:t>
      </w:r>
      <w:r>
        <w:rPr>
          <w:sz w:val="24"/>
        </w:rPr>
        <w:t xml:space="preserve">                                  </w:t>
      </w:r>
      <w:r>
        <w:rPr>
          <w:rFonts w:hint="eastAsia"/>
          <w:sz w:val="24"/>
        </w:rPr>
        <w:t xml:space="preserve">        </w:t>
      </w:r>
    </w:p>
    <w:tbl>
      <w:tblPr>
        <w:tblStyle w:val="8"/>
        <w:tblW w:w="8859" w:type="dxa"/>
        <w:tblInd w:w="-318" w:type="dxa"/>
        <w:tblLayout w:type="fixed"/>
        <w:tblCellMar>
          <w:top w:w="0" w:type="dxa"/>
          <w:left w:w="108" w:type="dxa"/>
          <w:bottom w:w="0" w:type="dxa"/>
          <w:right w:w="108" w:type="dxa"/>
        </w:tblCellMar>
      </w:tblPr>
      <w:tblGrid>
        <w:gridCol w:w="1137"/>
        <w:gridCol w:w="2128"/>
        <w:gridCol w:w="5594"/>
      </w:tblGrid>
      <w:tr>
        <w:tblPrEx>
          <w:tblLayout w:type="fixed"/>
          <w:tblCellMar>
            <w:top w:w="0" w:type="dxa"/>
            <w:left w:w="108" w:type="dxa"/>
            <w:bottom w:w="0" w:type="dxa"/>
            <w:right w:w="108" w:type="dxa"/>
          </w:tblCellMar>
        </w:tblPrEx>
        <w:trPr>
          <w:trHeight w:val="31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w:t>
            </w:r>
            <w:r>
              <w:rPr>
                <w:rFonts w:cs="宋体"/>
                <w:kern w:val="0"/>
                <w:sz w:val="22"/>
              </w:rPr>
              <w:t xml:space="preserve"> </w:t>
            </w:r>
            <w:r>
              <w:rPr>
                <w:rFonts w:hint="eastAsia" w:ascii="宋体" w:hAnsi="宋体" w:cs="宋体"/>
                <w:kern w:val="0"/>
                <w:sz w:val="22"/>
              </w:rPr>
              <w:t>款</w:t>
            </w:r>
            <w:r>
              <w:rPr>
                <w:rFonts w:cs="宋体"/>
                <w:kern w:val="0"/>
                <w:sz w:val="22"/>
              </w:rPr>
              <w:t xml:space="preserve"> </w:t>
            </w:r>
            <w:r>
              <w:rPr>
                <w:rFonts w:hint="eastAsia" w:ascii="宋体" w:hAnsi="宋体" w:cs="宋体"/>
                <w:kern w:val="0"/>
                <w:sz w:val="22"/>
              </w:rPr>
              <w:t>名</w:t>
            </w:r>
            <w:r>
              <w:rPr>
                <w:rFonts w:cs="宋体"/>
                <w:kern w:val="0"/>
                <w:sz w:val="22"/>
              </w:rPr>
              <w:t xml:space="preserve"> </w:t>
            </w:r>
            <w:r>
              <w:rPr>
                <w:rFonts w:hint="eastAsia" w:ascii="宋体" w:hAnsi="宋体" w:cs="宋体"/>
                <w:kern w:val="0"/>
                <w:sz w:val="22"/>
              </w:rPr>
              <w:t>称</w:t>
            </w:r>
          </w:p>
        </w:tc>
        <w:tc>
          <w:tcPr>
            <w:tcW w:w="559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主</w:t>
            </w:r>
            <w:r>
              <w:rPr>
                <w:rFonts w:cs="宋体"/>
                <w:kern w:val="0"/>
                <w:sz w:val="22"/>
              </w:rPr>
              <w:t xml:space="preserve">     </w:t>
            </w:r>
            <w:r>
              <w:rPr>
                <w:rFonts w:hint="eastAsia" w:ascii="宋体" w:hAnsi="宋体" w:cs="宋体"/>
                <w:kern w:val="0"/>
                <w:sz w:val="22"/>
              </w:rPr>
              <w:t>要</w:t>
            </w:r>
            <w:r>
              <w:rPr>
                <w:rFonts w:cs="宋体"/>
                <w:kern w:val="0"/>
                <w:sz w:val="22"/>
              </w:rPr>
              <w:t xml:space="preserve">     </w:t>
            </w:r>
            <w:r>
              <w:rPr>
                <w:rFonts w:hint="eastAsia" w:ascii="宋体" w:hAnsi="宋体" w:cs="宋体"/>
                <w:kern w:val="0"/>
                <w:sz w:val="22"/>
              </w:rPr>
              <w:t>内</w:t>
            </w:r>
            <w:r>
              <w:rPr>
                <w:rFonts w:cs="宋体"/>
                <w:kern w:val="0"/>
                <w:sz w:val="22"/>
              </w:rPr>
              <w:t xml:space="preserve">     </w:t>
            </w:r>
            <w:r>
              <w:rPr>
                <w:rFonts w:hint="eastAsia" w:ascii="宋体" w:hAnsi="宋体" w:cs="宋体"/>
                <w:kern w:val="0"/>
                <w:sz w:val="22"/>
              </w:rPr>
              <w:t>容</w:t>
            </w:r>
          </w:p>
        </w:tc>
      </w:tr>
      <w:tr>
        <w:tblPrEx>
          <w:tblLayout w:type="fixed"/>
          <w:tblCellMar>
            <w:top w:w="0" w:type="dxa"/>
            <w:left w:w="108" w:type="dxa"/>
            <w:bottom w:w="0" w:type="dxa"/>
            <w:right w:w="108" w:type="dxa"/>
          </w:tblCellMar>
        </w:tblPrEx>
        <w:trPr>
          <w:trHeight w:val="3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w:t>
            </w:r>
          </w:p>
        </w:tc>
        <w:tc>
          <w:tcPr>
            <w:tcW w:w="2128"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采购名称</w:t>
            </w:r>
          </w:p>
        </w:tc>
        <w:tc>
          <w:tcPr>
            <w:tcW w:w="5594" w:type="dxa"/>
            <w:tcBorders>
              <w:top w:val="nil"/>
              <w:left w:val="nil"/>
              <w:bottom w:val="nil"/>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北方魏家峁煤电有限责任公司</w:t>
            </w:r>
          </w:p>
          <w:p>
            <w:pPr>
              <w:widowControl/>
              <w:jc w:val="center"/>
              <w:rPr>
                <w:rFonts w:ascii="宋体" w:hAnsi="宋体" w:cs="宋体"/>
                <w:kern w:val="0"/>
                <w:sz w:val="22"/>
              </w:rPr>
            </w:pPr>
            <w:r>
              <w:rPr>
                <w:rFonts w:hint="eastAsia" w:ascii="宋体" w:hAnsi="宋体" w:cs="宋体"/>
                <w:kern w:val="0"/>
                <w:sz w:val="22"/>
              </w:rPr>
              <w:t>电缆</w:t>
            </w:r>
          </w:p>
        </w:tc>
      </w:tr>
      <w:tr>
        <w:tblPrEx>
          <w:tblLayout w:type="fixed"/>
          <w:tblCellMar>
            <w:top w:w="0" w:type="dxa"/>
            <w:left w:w="108" w:type="dxa"/>
            <w:bottom w:w="0" w:type="dxa"/>
            <w:right w:w="108" w:type="dxa"/>
          </w:tblCellMar>
        </w:tblPrEx>
        <w:trPr>
          <w:trHeight w:val="270" w:hRule="atLeast"/>
        </w:trPr>
        <w:tc>
          <w:tcPr>
            <w:tcW w:w="11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采购单位</w:t>
            </w:r>
          </w:p>
        </w:tc>
        <w:tc>
          <w:tcPr>
            <w:tcW w:w="5594"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项目单位：北方魏家峁煤电有限责任公司 </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地址：内蒙古自治区鄂尔多斯市准格尔旗魏家峁镇</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xml:space="preserve">联 系 人：朱慧（商务）  </w:t>
            </w:r>
            <w:r>
              <w:rPr>
                <w:rFonts w:hint="eastAsia" w:ascii="宋体" w:hAnsi="宋体" w:cs="宋体"/>
                <w:kern w:val="0"/>
                <w:sz w:val="22"/>
                <w:lang w:eastAsia="zh-CN"/>
              </w:rPr>
              <w:t>郝冰、赵永升</w:t>
            </w:r>
            <w:r>
              <w:rPr>
                <w:rFonts w:hint="eastAsia" w:ascii="宋体" w:hAnsi="宋体" w:cs="宋体"/>
                <w:kern w:val="0"/>
                <w:sz w:val="22"/>
              </w:rPr>
              <w:t>（技术）</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hint="eastAsia" w:ascii="宋体" w:hAnsi="宋体" w:cs="宋体"/>
                <w:kern w:val="0"/>
                <w:sz w:val="22"/>
              </w:rPr>
            </w:pPr>
            <w:r>
              <w:rPr>
                <w:rFonts w:hint="eastAsia" w:ascii="宋体" w:hAnsi="宋体" w:cs="宋体"/>
                <w:kern w:val="0"/>
                <w:sz w:val="22"/>
              </w:rPr>
              <w:t>联系方式：18947796101（商务）</w:t>
            </w:r>
            <w:r>
              <w:rPr>
                <w:rFonts w:hint="eastAsia" w:ascii="宋体" w:hAnsi="宋体" w:cs="宋体"/>
                <w:kern w:val="0"/>
                <w:sz w:val="22"/>
                <w:lang w:val="en-US" w:eastAsia="zh-CN"/>
              </w:rPr>
              <w:t>13500649306</w:t>
            </w:r>
            <w:r>
              <w:rPr>
                <w:rFonts w:hint="eastAsia" w:ascii="宋体" w:hAnsi="宋体" w:cs="宋体"/>
                <w:kern w:val="0"/>
                <w:sz w:val="22"/>
              </w:rPr>
              <w:t>（技术）</w:t>
            </w:r>
          </w:p>
          <w:p>
            <w:pPr>
              <w:widowControl/>
              <w:jc w:val="left"/>
              <w:rPr>
                <w:rFonts w:hint="default" w:ascii="宋体" w:hAnsi="宋体" w:eastAsia="宋体" w:cs="宋体"/>
                <w:kern w:val="0"/>
                <w:sz w:val="22"/>
                <w:lang w:val="en-US" w:eastAsia="zh-CN"/>
              </w:rPr>
            </w:pPr>
            <w:r>
              <w:rPr>
                <w:rFonts w:hint="eastAsia" w:ascii="宋体" w:hAnsi="宋体" w:cs="宋体"/>
                <w:kern w:val="0"/>
                <w:sz w:val="22"/>
                <w:lang w:val="en-US" w:eastAsia="zh-CN"/>
              </w:rPr>
              <w:t xml:space="preserve">                             13384897236</w:t>
            </w:r>
            <w:r>
              <w:rPr>
                <w:rFonts w:hint="eastAsia" w:ascii="宋体" w:hAnsi="宋体" w:cs="宋体"/>
                <w:kern w:val="0"/>
                <w:sz w:val="22"/>
              </w:rPr>
              <w:t>（技术）</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电商询价：</w:t>
            </w:r>
          </w:p>
          <w:p>
            <w:pPr>
              <w:widowControl/>
              <w:jc w:val="left"/>
              <w:rPr>
                <w:rFonts w:ascii="宋体" w:hAnsi="宋体" w:cs="宋体"/>
                <w:kern w:val="0"/>
                <w:sz w:val="22"/>
              </w:rPr>
            </w:pPr>
            <w:r>
              <w:rPr>
                <w:rFonts w:hint="eastAsia" w:ascii="宋体" w:hAnsi="宋体" w:cs="宋体"/>
                <w:kern w:val="0"/>
                <w:sz w:val="22"/>
              </w:rPr>
              <w:t xml:space="preserve">（1）时间：在中国华能集团公司电子商务平台发布信息开始到结束。 </w:t>
            </w:r>
          </w:p>
          <w:p>
            <w:pPr>
              <w:widowControl/>
              <w:jc w:val="left"/>
              <w:rPr>
                <w:rFonts w:ascii="宋体" w:hAnsi="宋体" w:cs="宋体"/>
                <w:kern w:val="0"/>
                <w:sz w:val="22"/>
              </w:rPr>
            </w:pPr>
            <w:r>
              <w:rPr>
                <w:rFonts w:hint="eastAsia" w:ascii="宋体" w:hAnsi="宋体" w:cs="宋体"/>
                <w:kern w:val="0"/>
                <w:sz w:val="22"/>
              </w:rPr>
              <w:t>（2）地点：中国华能集团公司电子商务平台（http://ec.chng.com.cn）</w:t>
            </w:r>
          </w:p>
          <w:p>
            <w:pPr>
              <w:widowControl/>
              <w:jc w:val="left"/>
              <w:rPr>
                <w:rFonts w:ascii="宋体" w:hAnsi="宋体" w:cs="宋体"/>
                <w:kern w:val="0"/>
                <w:sz w:val="22"/>
              </w:rPr>
            </w:pPr>
            <w:r>
              <w:rPr>
                <w:rFonts w:hint="eastAsia" w:ascii="宋体" w:hAnsi="宋体" w:cs="宋体"/>
                <w:kern w:val="0"/>
                <w:sz w:val="22"/>
              </w:rPr>
              <w:t>（3）方式：登录中国华能集团公司电子商务平台自行下载。</w:t>
            </w:r>
          </w:p>
        </w:tc>
      </w:tr>
      <w:tr>
        <w:tblPrEx>
          <w:tblLayout w:type="fixed"/>
          <w:tblCellMar>
            <w:top w:w="0" w:type="dxa"/>
            <w:left w:w="108" w:type="dxa"/>
            <w:bottom w:w="0" w:type="dxa"/>
            <w:right w:w="108" w:type="dxa"/>
          </w:tblCellMar>
        </w:tblPrEx>
        <w:trPr>
          <w:trHeight w:val="8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采购范围</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电缆采购项目，详见第四章技术规范要求。</w:t>
            </w:r>
          </w:p>
        </w:tc>
      </w:tr>
      <w:tr>
        <w:tblPrEx>
          <w:tblLayout w:type="fixed"/>
          <w:tblCellMar>
            <w:top w:w="0" w:type="dxa"/>
            <w:left w:w="108" w:type="dxa"/>
            <w:bottom w:w="0" w:type="dxa"/>
            <w:right w:w="108" w:type="dxa"/>
          </w:tblCellMar>
        </w:tblPrEx>
        <w:trPr>
          <w:trHeight w:val="451"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服务期限</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合同签订后10日内</w:t>
            </w:r>
          </w:p>
        </w:tc>
      </w:tr>
      <w:tr>
        <w:tblPrEx>
          <w:tblLayout w:type="fixed"/>
          <w:tblCellMar>
            <w:top w:w="0" w:type="dxa"/>
            <w:left w:w="108" w:type="dxa"/>
            <w:bottom w:w="0" w:type="dxa"/>
            <w:right w:w="108" w:type="dxa"/>
          </w:tblCellMar>
        </w:tblPrEx>
        <w:trPr>
          <w:trHeight w:val="1357" w:hRule="atLeast"/>
        </w:trPr>
        <w:tc>
          <w:tcPr>
            <w:tcW w:w="1137" w:type="dxa"/>
            <w:tcBorders>
              <w:top w:val="nil"/>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询价程序</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FF0000"/>
                <w:kern w:val="0"/>
                <w:sz w:val="22"/>
              </w:rPr>
            </w:pPr>
            <w:r>
              <w:rPr>
                <w:rFonts w:hint="eastAsia" w:ascii="宋体" w:hAnsi="宋体" w:cs="宋体"/>
                <w:kern w:val="0"/>
                <w:sz w:val="22"/>
              </w:rPr>
              <w:t>(1) 采购方制定询价文件；</w:t>
            </w:r>
            <w:r>
              <w:rPr>
                <w:rFonts w:hint="eastAsia" w:ascii="宋体" w:hAnsi="宋体" w:cs="宋体"/>
                <w:kern w:val="0"/>
                <w:sz w:val="22"/>
              </w:rPr>
              <w:br w:type="textWrapping"/>
            </w:r>
            <w:r>
              <w:rPr>
                <w:rFonts w:hint="eastAsia" w:ascii="宋体" w:hAnsi="宋体" w:cs="宋体"/>
                <w:kern w:val="0"/>
                <w:sz w:val="22"/>
              </w:rPr>
              <w:t>(2) 闭环发起电商平台公开询价；</w:t>
            </w:r>
            <w:r>
              <w:rPr>
                <w:rFonts w:hint="eastAsia" w:ascii="宋体" w:hAnsi="宋体" w:cs="宋体"/>
                <w:kern w:val="0"/>
                <w:sz w:val="22"/>
              </w:rPr>
              <w:br w:type="textWrapping"/>
            </w:r>
            <w:r>
              <w:rPr>
                <w:rFonts w:hint="eastAsia" w:ascii="宋体" w:hAnsi="宋体" w:cs="宋体"/>
                <w:color w:val="FF0000"/>
                <w:kern w:val="0"/>
                <w:sz w:val="22"/>
              </w:rPr>
              <w:t>(3) 报价方编制并在线递交盖章报价清单；</w:t>
            </w:r>
          </w:p>
          <w:p>
            <w:pPr>
              <w:widowControl/>
              <w:jc w:val="left"/>
              <w:rPr>
                <w:rFonts w:ascii="宋体" w:hAnsi="宋体" w:cs="宋体"/>
                <w:kern w:val="0"/>
                <w:sz w:val="22"/>
              </w:rPr>
            </w:pPr>
            <w:r>
              <w:rPr>
                <w:rFonts w:hint="eastAsia" w:ascii="宋体" w:hAnsi="宋体" w:cs="宋体"/>
                <w:color w:val="FF0000"/>
                <w:kern w:val="0"/>
                <w:sz w:val="22"/>
              </w:rPr>
              <w:t>(4)</w:t>
            </w:r>
            <w:r>
              <w:rPr>
                <w:rFonts w:ascii="宋体" w:hAnsi="宋体" w:cs="宋体"/>
                <w:color w:val="FF0000"/>
                <w:kern w:val="0"/>
                <w:sz w:val="22"/>
              </w:rPr>
              <w:t xml:space="preserve"> </w:t>
            </w:r>
            <w:r>
              <w:rPr>
                <w:rFonts w:hint="eastAsia" w:ascii="宋体" w:hAnsi="宋体" w:cs="宋体"/>
                <w:color w:val="FF0000"/>
                <w:kern w:val="0"/>
                <w:sz w:val="22"/>
              </w:rPr>
              <w:t>报价方</w:t>
            </w:r>
            <w:r>
              <w:rPr>
                <w:rFonts w:ascii="宋体" w:hAnsi="宋体" w:cs="宋体"/>
                <w:color w:val="FF0000"/>
                <w:kern w:val="0"/>
                <w:sz w:val="22"/>
              </w:rPr>
              <w:t>须上传</w:t>
            </w:r>
            <w:r>
              <w:rPr>
                <w:rFonts w:hint="eastAsia" w:ascii="宋体" w:hAnsi="宋体" w:cs="宋体"/>
                <w:color w:val="FF0000"/>
                <w:kern w:val="0"/>
                <w:sz w:val="22"/>
              </w:rPr>
              <w:t>符合</w:t>
            </w:r>
            <w:r>
              <w:rPr>
                <w:rFonts w:ascii="宋体" w:hAnsi="宋体" w:cs="宋体"/>
                <w:color w:val="FF0000"/>
                <w:kern w:val="0"/>
                <w:sz w:val="22"/>
              </w:rPr>
              <w:t>专项资格条款</w:t>
            </w:r>
            <w:r>
              <w:rPr>
                <w:rFonts w:hint="eastAsia" w:ascii="宋体" w:hAnsi="宋体" w:cs="宋体"/>
                <w:color w:val="FF0000"/>
                <w:kern w:val="0"/>
                <w:sz w:val="22"/>
              </w:rPr>
              <w:t>资格</w:t>
            </w:r>
            <w:r>
              <w:rPr>
                <w:rFonts w:ascii="宋体" w:hAnsi="宋体" w:cs="宋体"/>
                <w:color w:val="FF0000"/>
                <w:kern w:val="0"/>
                <w:sz w:val="22"/>
              </w:rPr>
              <w:t>原件扫描件</w:t>
            </w:r>
            <w:r>
              <w:rPr>
                <w:rFonts w:hint="eastAsia" w:ascii="宋体" w:hAnsi="宋体" w:cs="宋体"/>
                <w:color w:val="FF0000"/>
                <w:kern w:val="0"/>
                <w:sz w:val="22"/>
              </w:rPr>
              <w:t>；</w:t>
            </w:r>
            <w:r>
              <w:rPr>
                <w:rFonts w:hint="eastAsia" w:ascii="宋体" w:hAnsi="宋体" w:cs="宋体"/>
                <w:kern w:val="0"/>
                <w:sz w:val="22"/>
              </w:rPr>
              <w:t xml:space="preserve"> </w:t>
            </w:r>
            <w:r>
              <w:rPr>
                <w:rFonts w:hint="eastAsia" w:ascii="宋体" w:hAnsi="宋体" w:cs="宋体"/>
                <w:kern w:val="0"/>
                <w:sz w:val="22"/>
              </w:rPr>
              <w:br w:type="textWrapping"/>
            </w: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 采购方确定成交候选人及成交人。</w:t>
            </w:r>
          </w:p>
        </w:tc>
      </w:tr>
      <w:tr>
        <w:tblPrEx>
          <w:tblLayout w:type="fixed"/>
          <w:tblCellMar>
            <w:top w:w="0" w:type="dxa"/>
            <w:left w:w="108" w:type="dxa"/>
            <w:bottom w:w="0" w:type="dxa"/>
            <w:right w:w="108" w:type="dxa"/>
          </w:tblCellMar>
        </w:tblPrEx>
        <w:trPr>
          <w:trHeight w:val="1379" w:hRule="atLeast"/>
        </w:trPr>
        <w:tc>
          <w:tcPr>
            <w:tcW w:w="113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报价要求</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报价方必须</w:t>
            </w:r>
            <w:r>
              <w:rPr>
                <w:rFonts w:ascii="宋体" w:hAnsi="宋体" w:cs="宋体"/>
                <w:kern w:val="0"/>
                <w:sz w:val="22"/>
              </w:rPr>
              <w:t>按照</w:t>
            </w:r>
            <w:r>
              <w:rPr>
                <w:rFonts w:hint="eastAsia" w:ascii="宋体" w:hAnsi="宋体" w:cs="宋体"/>
                <w:kern w:val="0"/>
                <w:sz w:val="22"/>
              </w:rPr>
              <w:t>清单</w:t>
            </w:r>
            <w:r>
              <w:rPr>
                <w:rFonts w:ascii="宋体" w:hAnsi="宋体" w:cs="宋体"/>
                <w:kern w:val="0"/>
                <w:sz w:val="22"/>
              </w:rPr>
              <w:t>分项</w:t>
            </w:r>
            <w:r>
              <w:rPr>
                <w:rFonts w:hint="eastAsia" w:ascii="宋体" w:hAnsi="宋体" w:cs="宋体"/>
                <w:kern w:val="0"/>
                <w:sz w:val="22"/>
              </w:rPr>
              <w:t>报价；</w:t>
            </w:r>
          </w:p>
          <w:p>
            <w:pPr>
              <w:widowControl/>
              <w:jc w:val="left"/>
              <w:rPr>
                <w:rFonts w:ascii="宋体" w:hAnsi="宋体" w:cs="宋体"/>
                <w:kern w:val="0"/>
                <w:sz w:val="22"/>
              </w:rPr>
            </w:pPr>
            <w:r>
              <w:rPr>
                <w:rFonts w:hint="eastAsia" w:ascii="宋体" w:hAnsi="宋体" w:cs="宋体"/>
                <w:kern w:val="0"/>
                <w:sz w:val="22"/>
              </w:rPr>
              <w:t>(2) 报价</w:t>
            </w:r>
            <w:r>
              <w:rPr>
                <w:rFonts w:ascii="宋体" w:hAnsi="宋体" w:cs="宋体"/>
                <w:kern w:val="0"/>
                <w:sz w:val="22"/>
              </w:rPr>
              <w:t>必须含运杂费</w:t>
            </w:r>
            <w:r>
              <w:rPr>
                <w:rFonts w:hint="eastAsia" w:ascii="宋体" w:hAnsi="宋体" w:cs="宋体"/>
                <w:kern w:val="0"/>
                <w:sz w:val="22"/>
              </w:rPr>
              <w:t>，并注明有效期</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(3)</w:t>
            </w:r>
            <w:r>
              <w:rPr>
                <w:rFonts w:ascii="宋体" w:hAnsi="宋体" w:cs="宋体"/>
                <w:kern w:val="0"/>
                <w:sz w:val="22"/>
              </w:rPr>
              <w:t xml:space="preserve"> </w:t>
            </w:r>
            <w:r>
              <w:rPr>
                <w:rFonts w:hint="eastAsia" w:ascii="宋体" w:hAnsi="宋体" w:cs="宋体"/>
                <w:kern w:val="0"/>
                <w:sz w:val="22"/>
              </w:rPr>
              <w:t>缺项、漏项或无</w:t>
            </w:r>
            <w:r>
              <w:rPr>
                <w:rFonts w:ascii="宋体" w:hAnsi="宋体" w:cs="宋体"/>
                <w:kern w:val="0"/>
                <w:sz w:val="22"/>
              </w:rPr>
              <w:t>分项报价视同报价无效</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 分项</w:t>
            </w:r>
            <w:r>
              <w:rPr>
                <w:rFonts w:ascii="宋体" w:hAnsi="宋体" w:cs="宋体"/>
                <w:kern w:val="0"/>
                <w:sz w:val="22"/>
              </w:rPr>
              <w:t>报价与总价不一致</w:t>
            </w:r>
            <w:r>
              <w:rPr>
                <w:rFonts w:hint="eastAsia" w:ascii="宋体" w:hAnsi="宋体" w:cs="宋体"/>
                <w:kern w:val="0"/>
                <w:sz w:val="22"/>
              </w:rPr>
              <w:t>视为报价</w:t>
            </w:r>
            <w:r>
              <w:rPr>
                <w:rFonts w:ascii="宋体" w:hAnsi="宋体" w:cs="宋体"/>
                <w:kern w:val="0"/>
                <w:sz w:val="22"/>
              </w:rPr>
              <w:t>无效</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color w:val="FF0000"/>
                <w:kern w:val="0"/>
                <w:sz w:val="22"/>
              </w:rPr>
              <w:t>不满</w:t>
            </w:r>
            <w:r>
              <w:rPr>
                <w:rFonts w:ascii="宋体" w:hAnsi="宋体" w:cs="宋体"/>
                <w:color w:val="FF0000"/>
                <w:kern w:val="0"/>
                <w:sz w:val="22"/>
              </w:rPr>
              <w:t>足</w:t>
            </w:r>
            <w:r>
              <w:rPr>
                <w:rFonts w:hint="eastAsia" w:ascii="宋体" w:hAnsi="宋体" w:cs="宋体"/>
                <w:color w:val="FF0000"/>
                <w:kern w:val="0"/>
                <w:sz w:val="22"/>
              </w:rPr>
              <w:t>专项</w:t>
            </w:r>
            <w:r>
              <w:rPr>
                <w:rFonts w:ascii="宋体" w:hAnsi="宋体" w:cs="宋体"/>
                <w:color w:val="FF0000"/>
                <w:kern w:val="0"/>
                <w:sz w:val="22"/>
              </w:rPr>
              <w:t>资格</w:t>
            </w:r>
            <w:r>
              <w:rPr>
                <w:rFonts w:hint="eastAsia" w:ascii="宋体" w:hAnsi="宋体" w:cs="宋体"/>
                <w:color w:val="FF0000"/>
                <w:kern w:val="0"/>
                <w:sz w:val="22"/>
              </w:rPr>
              <w:t>条件的参与方将</w:t>
            </w:r>
            <w:r>
              <w:rPr>
                <w:rFonts w:ascii="宋体" w:hAnsi="宋体" w:cs="宋体"/>
                <w:color w:val="FF0000"/>
                <w:kern w:val="0"/>
                <w:sz w:val="22"/>
              </w:rPr>
              <w:t>纳入考评</w:t>
            </w:r>
            <w:r>
              <w:rPr>
                <w:rFonts w:hint="eastAsia" w:ascii="宋体" w:hAnsi="宋体" w:cs="宋体"/>
                <w:color w:val="FF0000"/>
                <w:kern w:val="0"/>
                <w:sz w:val="22"/>
              </w:rPr>
              <w:t>；</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398" w:hRule="atLeast"/>
        </w:trPr>
        <w:tc>
          <w:tcPr>
            <w:tcW w:w="113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电子报价文件递交截止时间</w:t>
            </w:r>
          </w:p>
        </w:tc>
        <w:tc>
          <w:tcPr>
            <w:tcW w:w="5594" w:type="dxa"/>
            <w:tcBorders>
              <w:top w:val="nil"/>
              <w:left w:val="nil"/>
              <w:bottom w:val="single" w:color="auto" w:sz="8" w:space="0"/>
              <w:right w:val="single" w:color="auto" w:sz="8" w:space="0"/>
            </w:tcBorders>
            <w:shd w:val="clear" w:color="000000" w:fill="FFFFFF"/>
            <w:vAlign w:val="center"/>
          </w:tcPr>
          <w:p>
            <w:pPr>
              <w:widowControl/>
              <w:jc w:val="left"/>
              <w:rPr>
                <w:rFonts w:cs="宋体"/>
                <w:kern w:val="0"/>
                <w:sz w:val="22"/>
              </w:rPr>
            </w:pPr>
            <w:r>
              <w:rPr>
                <w:rFonts w:hint="eastAsia" w:cs="宋体"/>
                <w:kern w:val="0"/>
                <w:sz w:val="22"/>
              </w:rPr>
              <w:t>询价公告截止日期止</w:t>
            </w:r>
          </w:p>
        </w:tc>
      </w:tr>
      <w:tr>
        <w:tblPrEx>
          <w:tblLayout w:type="fixed"/>
          <w:tblCellMar>
            <w:top w:w="0" w:type="dxa"/>
            <w:left w:w="108" w:type="dxa"/>
            <w:bottom w:w="0" w:type="dxa"/>
            <w:right w:w="108" w:type="dxa"/>
          </w:tblCellMar>
        </w:tblPrEx>
        <w:trPr>
          <w:trHeight w:val="570"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电子报价文件递交方式</w:t>
            </w:r>
          </w:p>
        </w:tc>
        <w:tc>
          <w:tcPr>
            <w:tcW w:w="5594" w:type="dxa"/>
            <w:tcBorders>
              <w:top w:val="nil"/>
              <w:left w:val="nil"/>
              <w:bottom w:val="single" w:color="auto" w:sz="4"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报价人通过中国华能集团公司电子商务平台在规定日期内</w:t>
            </w:r>
            <w:r>
              <w:rPr>
                <w:rFonts w:hint="eastAsia" w:ascii="宋体" w:hAnsi="宋体" w:cs="宋体"/>
                <w:color w:val="auto"/>
                <w:kern w:val="0"/>
                <w:sz w:val="22"/>
              </w:rPr>
              <w:t>进行报价并上传要求</w:t>
            </w:r>
            <w:r>
              <w:rPr>
                <w:rFonts w:ascii="宋体" w:hAnsi="宋体" w:cs="宋体"/>
                <w:color w:val="auto"/>
                <w:kern w:val="0"/>
                <w:sz w:val="22"/>
              </w:rPr>
              <w:t>的</w:t>
            </w:r>
            <w:r>
              <w:rPr>
                <w:rFonts w:hint="eastAsia" w:ascii="宋体" w:hAnsi="宋体" w:cs="宋体"/>
                <w:color w:val="auto"/>
                <w:kern w:val="0"/>
                <w:sz w:val="22"/>
              </w:rPr>
              <w:t>附件</w:t>
            </w:r>
            <w:r>
              <w:rPr>
                <w:rFonts w:hint="eastAsia" w:ascii="宋体" w:hAnsi="宋体" w:cs="宋体"/>
                <w:color w:val="FF0000"/>
                <w:kern w:val="0"/>
                <w:sz w:val="22"/>
              </w:rPr>
              <w:t>(报价</w:t>
            </w:r>
            <w:r>
              <w:rPr>
                <w:rFonts w:ascii="宋体" w:hAnsi="宋体" w:cs="宋体"/>
                <w:color w:val="FF0000"/>
                <w:kern w:val="0"/>
                <w:sz w:val="22"/>
              </w:rPr>
              <w:t>、资格</w:t>
            </w:r>
            <w:r>
              <w:rPr>
                <w:rFonts w:hint="eastAsia" w:ascii="宋体" w:hAnsi="宋体" w:cs="宋体"/>
                <w:color w:val="FF0000"/>
                <w:kern w:val="0"/>
                <w:sz w:val="22"/>
              </w:rPr>
              <w:t>、业绩、证明、</w:t>
            </w:r>
            <w:r>
              <w:rPr>
                <w:rFonts w:ascii="宋体" w:hAnsi="宋体" w:cs="宋体"/>
                <w:color w:val="FF0000"/>
                <w:kern w:val="0"/>
                <w:sz w:val="22"/>
              </w:rPr>
              <w:t>技术响应文件</w:t>
            </w:r>
            <w:r>
              <w:rPr>
                <w:rFonts w:hint="eastAsia" w:ascii="宋体" w:hAnsi="宋体" w:cs="宋体"/>
                <w:color w:val="FF0000"/>
                <w:kern w:val="0"/>
                <w:sz w:val="22"/>
              </w:rPr>
              <w:t>等)</w:t>
            </w:r>
            <w:r>
              <w:rPr>
                <w:rFonts w:hint="eastAsia" w:ascii="宋体" w:hAnsi="宋体" w:cs="宋体"/>
                <w:color w:val="0070C0"/>
                <w:kern w:val="0"/>
                <w:sz w:val="22"/>
              </w:rPr>
              <w:t>，</w:t>
            </w:r>
            <w:r>
              <w:rPr>
                <w:rFonts w:hint="eastAsia" w:ascii="宋体" w:hAnsi="宋体" w:cs="宋体"/>
                <w:color w:val="auto"/>
                <w:kern w:val="0"/>
                <w:sz w:val="22"/>
              </w:rPr>
              <w:t>不上传附件均视为无效报价，并纳入供应商考核。</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8</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付款</w:t>
            </w:r>
            <w:r>
              <w:rPr>
                <w:rFonts w:ascii="宋体" w:hAnsi="宋体" w:cs="宋体"/>
                <w:kern w:val="0"/>
                <w:sz w:val="22"/>
              </w:rPr>
              <w:t>方式</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Theme="minorEastAsia" w:hAnsiTheme="minorEastAsia"/>
                <w:color w:val="FF0000"/>
                <w:sz w:val="24"/>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9</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color w:val="auto"/>
                <w:kern w:val="0"/>
                <w:sz w:val="22"/>
              </w:rPr>
            </w:pPr>
            <w:r>
              <w:rPr>
                <w:rFonts w:hint="eastAsia" w:ascii="宋体" w:hAnsi="宋体" w:cs="宋体"/>
                <w:color w:val="auto"/>
                <w:kern w:val="0"/>
                <w:sz w:val="22"/>
              </w:rPr>
              <w:t>交货期限(物资)/</w:t>
            </w:r>
          </w:p>
          <w:p>
            <w:pPr>
              <w:widowControl/>
              <w:jc w:val="left"/>
              <w:rPr>
                <w:rFonts w:ascii="宋体" w:hAnsi="宋体" w:cs="宋体"/>
                <w:kern w:val="0"/>
                <w:sz w:val="22"/>
              </w:rPr>
            </w:pPr>
            <w:r>
              <w:rPr>
                <w:rFonts w:hint="eastAsia" w:ascii="宋体" w:hAnsi="宋体" w:cs="宋体"/>
                <w:color w:val="auto"/>
                <w:kern w:val="0"/>
                <w:sz w:val="22"/>
              </w:rPr>
              <w:t>工期(工程服务)</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宋体" w:hAnsi="宋体" w:cs="宋体"/>
                <w:kern w:val="0"/>
                <w:sz w:val="22"/>
              </w:rPr>
              <w:t>要求报价方必须满足合同签订后</w:t>
            </w:r>
            <w:r>
              <w:rPr>
                <w:rFonts w:hint="eastAsia" w:ascii="宋体" w:hAnsi="宋体" w:cs="宋体"/>
                <w:color w:val="FF0000"/>
                <w:kern w:val="0"/>
                <w:sz w:val="22"/>
                <w:u w:val="single"/>
              </w:rPr>
              <w:t>10日</w:t>
            </w:r>
            <w:r>
              <w:rPr>
                <w:rFonts w:hint="eastAsia" w:ascii="宋体" w:hAnsi="宋体" w:cs="宋体"/>
                <w:color w:val="auto"/>
                <w:kern w:val="0"/>
                <w:sz w:val="22"/>
              </w:rPr>
              <w:t>到货(物资)，如不能满足严禁参与报价，否则终止合同并纳入供应商考评。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10</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报价评价原则</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color w:val="FF0000"/>
                <w:kern w:val="0"/>
                <w:sz w:val="22"/>
              </w:rPr>
              <w:t>经评审的最低价法</w:t>
            </w:r>
          </w:p>
        </w:tc>
      </w:tr>
      <w:tr>
        <w:tblPrEx>
          <w:tblLayout w:type="fixed"/>
          <w:tblCellMar>
            <w:top w:w="0" w:type="dxa"/>
            <w:left w:w="108" w:type="dxa"/>
            <w:bottom w:w="0" w:type="dxa"/>
            <w:right w:w="108" w:type="dxa"/>
          </w:tblCellMar>
        </w:tblPrEx>
        <w:trPr>
          <w:trHeight w:val="1500"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合同主要条款</w:t>
            </w:r>
          </w:p>
        </w:tc>
        <w:tc>
          <w:tcPr>
            <w:tcW w:w="55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合同范围；</w:t>
            </w:r>
            <w:r>
              <w:rPr>
                <w:rFonts w:hint="eastAsia" w:ascii="宋体" w:hAnsi="宋体" w:cs="宋体"/>
                <w:kern w:val="0"/>
                <w:sz w:val="22"/>
              </w:rPr>
              <w:br w:type="textWrapping"/>
            </w:r>
            <w:r>
              <w:rPr>
                <w:rFonts w:hint="eastAsia" w:ascii="宋体" w:hAnsi="宋体" w:cs="宋体"/>
                <w:kern w:val="0"/>
                <w:sz w:val="22"/>
              </w:rPr>
              <w:t>(2) 合同价格；</w:t>
            </w:r>
            <w:r>
              <w:rPr>
                <w:rFonts w:hint="eastAsia" w:ascii="宋体" w:hAnsi="宋体" w:cs="宋体"/>
                <w:kern w:val="0"/>
                <w:sz w:val="22"/>
              </w:rPr>
              <w:br w:type="textWrapping"/>
            </w:r>
            <w:r>
              <w:rPr>
                <w:rFonts w:hint="eastAsia" w:ascii="宋体" w:hAnsi="宋体" w:cs="宋体"/>
                <w:kern w:val="0"/>
                <w:sz w:val="22"/>
              </w:rPr>
              <w:t>(3)</w:t>
            </w:r>
            <w:r>
              <w:rPr>
                <w:rFonts w:ascii="宋体" w:hAnsi="宋体" w:cs="宋体"/>
                <w:kern w:val="0"/>
                <w:sz w:val="22"/>
              </w:rPr>
              <w:t xml:space="preserve"> </w:t>
            </w:r>
            <w:r>
              <w:rPr>
                <w:rFonts w:hint="eastAsia" w:ascii="宋体" w:hAnsi="宋体" w:cs="宋体"/>
                <w:color w:val="00B0F0"/>
                <w:kern w:val="0"/>
                <w:sz w:val="22"/>
              </w:rPr>
              <w:t>合同后</w:t>
            </w:r>
            <w:r>
              <w:rPr>
                <w:rFonts w:ascii="宋体" w:hAnsi="宋体" w:cs="宋体"/>
                <w:color w:val="00B0F0"/>
                <w:kern w:val="0"/>
                <w:sz w:val="22"/>
              </w:rPr>
              <w:t>付款</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(4) 服务期；</w:t>
            </w:r>
            <w:r>
              <w:rPr>
                <w:rFonts w:hint="eastAsia" w:ascii="宋体" w:hAnsi="宋体" w:cs="宋体"/>
                <w:kern w:val="0"/>
                <w:sz w:val="22"/>
              </w:rPr>
              <w:br w:type="textWrapping"/>
            </w:r>
            <w:r>
              <w:rPr>
                <w:rFonts w:hint="eastAsia" w:ascii="宋体" w:hAnsi="宋体" w:cs="宋体"/>
                <w:kern w:val="0"/>
                <w:sz w:val="22"/>
              </w:rPr>
              <w:t>(5) 其他内容</w:t>
            </w:r>
          </w:p>
        </w:tc>
      </w:tr>
    </w:tbl>
    <w:p>
      <w:pPr>
        <w:pStyle w:val="10"/>
        <w:spacing w:line="360" w:lineRule="auto"/>
        <w:jc w:val="center"/>
        <w:rPr>
          <w:rFonts w:hint="eastAsia"/>
          <w:b/>
          <w:sz w:val="32"/>
          <w:szCs w:val="32"/>
        </w:rPr>
      </w:pPr>
    </w:p>
    <w:p>
      <w:pPr>
        <w:pStyle w:val="10"/>
        <w:spacing w:line="360" w:lineRule="auto"/>
        <w:jc w:val="center"/>
        <w:rPr>
          <w:rFonts w:asciiTheme="minorEastAsia" w:hAnsiTheme="minorEastAsia"/>
          <w:sz w:val="24"/>
        </w:rPr>
      </w:pPr>
      <w:r>
        <w:rPr>
          <w:rFonts w:hint="eastAsia"/>
          <w:b/>
          <w:sz w:val="32"/>
          <w:szCs w:val="32"/>
        </w:rPr>
        <w:t>第二章  采购项目概况</w:t>
      </w:r>
    </w:p>
    <w:p>
      <w:pPr>
        <w:pStyle w:val="10"/>
        <w:spacing w:line="360" w:lineRule="auto"/>
        <w:ind w:firstLine="480" w:firstLineChars="200"/>
        <w:jc w:val="left"/>
        <w:rPr>
          <w:sz w:val="24"/>
        </w:rPr>
      </w:pPr>
      <w:r>
        <w:rPr>
          <w:sz w:val="24"/>
        </w:rPr>
        <w:t>1</w:t>
      </w:r>
      <w:r>
        <w:rPr>
          <w:rFonts w:hint="eastAsia"/>
          <w:sz w:val="24"/>
        </w:rPr>
        <w:t>、工程概况</w:t>
      </w:r>
    </w:p>
    <w:p>
      <w:pPr>
        <w:pStyle w:val="10"/>
        <w:spacing w:line="360" w:lineRule="auto"/>
        <w:ind w:firstLine="360" w:firstLineChars="150"/>
        <w:rPr>
          <w:color w:val="00B0F0"/>
          <w:sz w:val="24"/>
        </w:rPr>
      </w:pPr>
      <w:r>
        <w:rPr>
          <w:rFonts w:hint="eastAsia"/>
          <w:kern w:val="0"/>
          <w:sz w:val="24"/>
        </w:rPr>
        <w:t>采购方位于内蒙古自治区鄂尔多斯市准格尔旗魏家峁镇，公司下属有年产量</w:t>
      </w:r>
      <w:r>
        <w:rPr>
          <w:kern w:val="0"/>
          <w:sz w:val="24"/>
        </w:rPr>
        <w:t>600</w:t>
      </w:r>
      <w:r>
        <w:rPr>
          <w:rFonts w:hint="eastAsia"/>
          <w:kern w:val="0"/>
          <w:sz w:val="24"/>
        </w:rPr>
        <w:t>万吨</w:t>
      </w:r>
      <w:r>
        <w:rPr>
          <w:kern w:val="0"/>
          <w:sz w:val="24"/>
        </w:rPr>
        <w:t>/</w:t>
      </w:r>
      <w:r>
        <w:rPr>
          <w:rFonts w:hint="eastAsia"/>
          <w:kern w:val="0"/>
          <w:sz w:val="24"/>
        </w:rPr>
        <w:t>年的煤矿和装机为</w:t>
      </w:r>
      <w:r>
        <w:rPr>
          <w:kern w:val="0"/>
          <w:sz w:val="24"/>
        </w:rPr>
        <w:t>2</w:t>
      </w:r>
      <w:r>
        <w:rPr>
          <w:rFonts w:hint="eastAsia"/>
          <w:kern w:val="0"/>
          <w:sz w:val="24"/>
        </w:rPr>
        <w:t>×</w:t>
      </w:r>
      <w:r>
        <w:rPr>
          <w:kern w:val="0"/>
          <w:sz w:val="24"/>
        </w:rPr>
        <w:t>660MW</w:t>
      </w:r>
      <w:r>
        <w:rPr>
          <w:rFonts w:hint="eastAsia"/>
          <w:kern w:val="0"/>
          <w:sz w:val="24"/>
        </w:rPr>
        <w:t>超临界机组的电厂。本项目为电缆采购项目,主要内容有：控制电缆、电力电缆。</w:t>
      </w:r>
    </w:p>
    <w:p>
      <w:pPr>
        <w:pStyle w:val="10"/>
        <w:spacing w:line="360" w:lineRule="auto"/>
        <w:rPr>
          <w:b/>
          <w:sz w:val="32"/>
          <w:szCs w:val="32"/>
        </w:rPr>
      </w:pPr>
    </w:p>
    <w:p>
      <w:pPr>
        <w:pStyle w:val="10"/>
        <w:spacing w:line="360" w:lineRule="auto"/>
        <w:rPr>
          <w:b/>
          <w:sz w:val="32"/>
          <w:szCs w:val="32"/>
        </w:rPr>
      </w:pPr>
    </w:p>
    <w:p>
      <w:pPr>
        <w:pStyle w:val="10"/>
        <w:spacing w:line="360" w:lineRule="auto"/>
        <w:rPr>
          <w:b/>
          <w:sz w:val="32"/>
          <w:szCs w:val="32"/>
        </w:rPr>
      </w:pPr>
    </w:p>
    <w:p>
      <w:pPr>
        <w:pStyle w:val="10"/>
        <w:spacing w:line="360" w:lineRule="auto"/>
        <w:jc w:val="center"/>
        <w:rPr>
          <w:b/>
          <w:sz w:val="32"/>
          <w:szCs w:val="32"/>
        </w:rPr>
      </w:pPr>
      <w:r>
        <w:rPr>
          <w:rFonts w:hint="eastAsia" w:ascii="黑体" w:hAnsi="黑体" w:eastAsia="黑体"/>
          <w:sz w:val="40"/>
          <w:szCs w:val="32"/>
        </w:rPr>
        <w:t>第三章 供应商资格要求</w:t>
      </w:r>
    </w:p>
    <w:p>
      <w:pPr>
        <w:pStyle w:val="10"/>
        <w:spacing w:line="360" w:lineRule="auto"/>
        <w:rPr>
          <w:rFonts w:ascii="黑体" w:hAnsi="黑体" w:eastAsia="黑体"/>
          <w:b/>
          <w:sz w:val="24"/>
        </w:rPr>
      </w:pPr>
      <w:r>
        <w:rPr>
          <w:rFonts w:hint="eastAsia" w:ascii="黑体" w:hAnsi="黑体" w:eastAsia="黑体"/>
          <w:b/>
          <w:sz w:val="24"/>
        </w:rPr>
        <w:t>一、通用条款</w:t>
      </w:r>
    </w:p>
    <w:p>
      <w:pPr>
        <w:pStyle w:val="10"/>
        <w:spacing w:line="360" w:lineRule="auto"/>
        <w:rPr>
          <w:rFonts w:asciiTheme="minorEastAsia" w:hAnsiTheme="minorEastAsia"/>
          <w:sz w:val="24"/>
        </w:rPr>
      </w:pPr>
      <w:r>
        <w:rPr>
          <w:rFonts w:hint="eastAsia" w:asciiTheme="minorEastAsia" w:hAnsiTheme="minorEastAsia"/>
          <w:sz w:val="24"/>
        </w:rPr>
        <w:t>1.报价人必须</w:t>
      </w:r>
      <w:r>
        <w:rPr>
          <w:rFonts w:asciiTheme="minorEastAsia" w:hAnsiTheme="minorEastAsia"/>
          <w:sz w:val="24"/>
        </w:rPr>
        <w:t>具有中华人民共和国独立企业法人资格</w:t>
      </w:r>
      <w:r>
        <w:rPr>
          <w:rFonts w:hint="eastAsia" w:asciiTheme="minorEastAsia" w:hAnsiTheme="minorEastAsia"/>
          <w:sz w:val="24"/>
        </w:rPr>
        <w:t>；</w:t>
      </w:r>
    </w:p>
    <w:p>
      <w:pPr>
        <w:pStyle w:val="10"/>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10"/>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10"/>
        <w:spacing w:line="360" w:lineRule="auto"/>
        <w:rPr>
          <w:rFonts w:asciiTheme="minorEastAsia" w:hAnsiTheme="minorEastAsia"/>
          <w:sz w:val="24"/>
        </w:rPr>
      </w:pPr>
      <w:r>
        <w:rPr>
          <w:rFonts w:hint="eastAsia" w:asciiTheme="minorEastAsia" w:hAnsiTheme="minorEastAsia"/>
          <w:sz w:val="24"/>
        </w:rPr>
        <w:t>4.不得处于内蒙古自治区行政区域内有关禁止经营的行政处罚期间内。</w:t>
      </w:r>
    </w:p>
    <w:p>
      <w:pPr>
        <w:pStyle w:val="10"/>
        <w:spacing w:line="360" w:lineRule="auto"/>
        <w:rPr>
          <w:rFonts w:ascii="黑体" w:hAnsi="黑体" w:eastAsia="黑体"/>
          <w:b/>
          <w:sz w:val="24"/>
        </w:rPr>
      </w:pPr>
      <w:r>
        <w:rPr>
          <w:rFonts w:hint="eastAsia" w:ascii="黑体" w:hAnsi="黑体" w:eastAsia="黑体"/>
          <w:b/>
          <w:sz w:val="24"/>
        </w:rPr>
        <w:t>二、专用条款</w:t>
      </w:r>
    </w:p>
    <w:p>
      <w:pPr>
        <w:pStyle w:val="10"/>
        <w:spacing w:line="360" w:lineRule="auto"/>
        <w:rPr>
          <w:rFonts w:asciiTheme="minorEastAsia" w:hAnsiTheme="minorEastAsia"/>
          <w:sz w:val="24"/>
        </w:rPr>
      </w:pPr>
      <w:r>
        <w:rPr>
          <w:rFonts w:hint="eastAsia" w:asciiTheme="minorEastAsia" w:hAnsiTheme="minorEastAsia"/>
          <w:color w:val="FF0000"/>
          <w:sz w:val="24"/>
        </w:rPr>
        <w:t>1.仅限通过华能集团2019</w:t>
      </w:r>
      <w:r>
        <w:rPr>
          <w:rFonts w:asciiTheme="minorEastAsia" w:hAnsiTheme="minorEastAsia"/>
          <w:color w:val="FF0000"/>
          <w:sz w:val="24"/>
        </w:rPr>
        <w:t>-2021</w:t>
      </w:r>
      <w:r>
        <w:rPr>
          <w:rFonts w:hint="eastAsia" w:asciiTheme="minorEastAsia" w:hAnsiTheme="minorEastAsia"/>
          <w:color w:val="FF0000"/>
          <w:sz w:val="24"/>
        </w:rPr>
        <w:t>年度资格预审的供应商参与报价，并上传</w:t>
      </w:r>
      <w:r>
        <w:rPr>
          <w:rFonts w:hint="eastAsia" w:asciiTheme="minorEastAsia" w:hAnsiTheme="minorEastAsia"/>
          <w:b/>
          <w:color w:val="FF0000"/>
          <w:sz w:val="24"/>
        </w:rPr>
        <w:t>华能集团《资格预审合格通知书》</w:t>
      </w:r>
      <w:r>
        <w:rPr>
          <w:rFonts w:hint="eastAsia" w:asciiTheme="minorEastAsia" w:hAnsiTheme="minorEastAsia"/>
          <w:color w:val="FF0000"/>
          <w:sz w:val="24"/>
        </w:rPr>
        <w:t>，无资格随意报价将纳入考核。</w:t>
      </w:r>
    </w:p>
    <w:p>
      <w:pPr>
        <w:spacing w:line="360" w:lineRule="auto"/>
        <w:rPr>
          <w:rFonts w:ascii="宋体" w:hAnsi="宋体"/>
          <w:color w:val="000000"/>
          <w:sz w:val="18"/>
        </w:rPr>
      </w:pPr>
    </w:p>
    <w:p>
      <w:pPr>
        <w:pStyle w:val="15"/>
        <w:spacing w:line="500" w:lineRule="exact"/>
        <w:jc w:val="center"/>
        <w:rPr>
          <w:rFonts w:ascii="黑体" w:hAnsi="黑体" w:eastAsia="黑体"/>
          <w:sz w:val="40"/>
          <w:szCs w:val="32"/>
        </w:rPr>
      </w:pPr>
      <w:r>
        <w:rPr>
          <w:rFonts w:hint="eastAsia" w:ascii="黑体" w:hAnsi="黑体" w:eastAsia="黑体"/>
          <w:sz w:val="40"/>
          <w:szCs w:val="32"/>
        </w:rPr>
        <w:t>第四章 技术规范要求</w:t>
      </w:r>
    </w:p>
    <w:p>
      <w:pPr>
        <w:pStyle w:val="15"/>
        <w:spacing w:line="360" w:lineRule="auto"/>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物资类：</w:t>
      </w:r>
    </w:p>
    <w:p>
      <w:pPr>
        <w:pStyle w:val="10"/>
        <w:spacing w:line="360" w:lineRule="auto"/>
        <w:rPr>
          <w:rFonts w:ascii="宋体" w:hAnsi="宋体"/>
          <w:sz w:val="24"/>
        </w:rPr>
      </w:pPr>
      <w:r>
        <w:rPr>
          <w:rFonts w:hint="eastAsia"/>
          <w:sz w:val="24"/>
        </w:rPr>
        <w:t>（一）、设备需求一览表</w:t>
      </w:r>
    </w:p>
    <w:tbl>
      <w:tblPr>
        <w:tblStyle w:val="8"/>
        <w:tblW w:w="10173" w:type="dxa"/>
        <w:tblInd w:w="-9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458"/>
        <w:gridCol w:w="1940"/>
        <w:gridCol w:w="1335"/>
        <w:gridCol w:w="791"/>
        <w:gridCol w:w="649"/>
        <w:gridCol w:w="627"/>
        <w:gridCol w:w="567"/>
        <w:gridCol w:w="850"/>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538" w:type="dxa"/>
            <w:vMerge w:val="restart"/>
            <w:vAlign w:val="center"/>
          </w:tcPr>
          <w:p>
            <w:pPr>
              <w:pStyle w:val="15"/>
              <w:rPr>
                <w:rFonts w:ascii="宋体" w:hAnsi="宋体"/>
                <w:kern w:val="2"/>
                <w:sz w:val="22"/>
                <w:szCs w:val="22"/>
              </w:rPr>
            </w:pPr>
            <w:r>
              <w:rPr>
                <w:rFonts w:hint="eastAsia" w:ascii="宋体" w:hAnsi="宋体"/>
                <w:kern w:val="2"/>
                <w:sz w:val="22"/>
                <w:szCs w:val="22"/>
              </w:rPr>
              <w:t>序号</w:t>
            </w:r>
          </w:p>
        </w:tc>
        <w:tc>
          <w:tcPr>
            <w:tcW w:w="1458" w:type="dxa"/>
            <w:vMerge w:val="restart"/>
            <w:vAlign w:val="center"/>
          </w:tcPr>
          <w:p>
            <w:pPr>
              <w:pStyle w:val="15"/>
              <w:rPr>
                <w:rFonts w:ascii="宋体" w:hAnsi="宋体"/>
                <w:kern w:val="2"/>
                <w:sz w:val="22"/>
                <w:szCs w:val="22"/>
              </w:rPr>
            </w:pPr>
            <w:r>
              <w:rPr>
                <w:rFonts w:hint="eastAsia" w:ascii="宋体" w:hAnsi="宋体"/>
                <w:kern w:val="2"/>
                <w:sz w:val="22"/>
                <w:szCs w:val="22"/>
              </w:rPr>
              <w:t>物料编码</w:t>
            </w:r>
          </w:p>
        </w:tc>
        <w:tc>
          <w:tcPr>
            <w:tcW w:w="1940" w:type="dxa"/>
            <w:vMerge w:val="restart"/>
            <w:vAlign w:val="center"/>
          </w:tcPr>
          <w:p>
            <w:pPr>
              <w:pStyle w:val="15"/>
              <w:jc w:val="center"/>
              <w:rPr>
                <w:rFonts w:ascii="宋体" w:hAnsi="宋体"/>
                <w:kern w:val="2"/>
                <w:sz w:val="22"/>
                <w:szCs w:val="22"/>
              </w:rPr>
            </w:pPr>
            <w:r>
              <w:rPr>
                <w:rFonts w:hint="eastAsia" w:ascii="宋体" w:hAnsi="宋体"/>
                <w:kern w:val="2"/>
                <w:sz w:val="22"/>
                <w:szCs w:val="22"/>
              </w:rPr>
              <w:t>物料描述</w:t>
            </w:r>
          </w:p>
        </w:tc>
        <w:tc>
          <w:tcPr>
            <w:tcW w:w="1335" w:type="dxa"/>
            <w:vMerge w:val="restart"/>
            <w:vAlign w:val="center"/>
          </w:tcPr>
          <w:p>
            <w:pPr>
              <w:pStyle w:val="15"/>
              <w:jc w:val="center"/>
              <w:rPr>
                <w:rFonts w:ascii="宋体" w:hAnsi="宋体"/>
                <w:kern w:val="2"/>
                <w:sz w:val="22"/>
                <w:szCs w:val="22"/>
              </w:rPr>
            </w:pPr>
            <w:r>
              <w:rPr>
                <w:rFonts w:hint="eastAsia" w:ascii="宋体" w:hAnsi="宋体"/>
                <w:kern w:val="2"/>
                <w:sz w:val="22"/>
                <w:szCs w:val="22"/>
              </w:rPr>
              <w:t>技术参数</w:t>
            </w:r>
          </w:p>
        </w:tc>
        <w:tc>
          <w:tcPr>
            <w:tcW w:w="791" w:type="dxa"/>
            <w:vMerge w:val="restart"/>
            <w:vAlign w:val="center"/>
          </w:tcPr>
          <w:p>
            <w:pPr>
              <w:pStyle w:val="15"/>
              <w:rPr>
                <w:rFonts w:ascii="宋体" w:hAnsi="宋体"/>
                <w:kern w:val="2"/>
                <w:sz w:val="22"/>
                <w:szCs w:val="22"/>
              </w:rPr>
            </w:pPr>
            <w:r>
              <w:rPr>
                <w:rFonts w:hint="eastAsia" w:ascii="宋体" w:hAnsi="宋体"/>
                <w:kern w:val="2"/>
                <w:sz w:val="22"/>
                <w:szCs w:val="22"/>
              </w:rPr>
              <w:t>数量</w:t>
            </w:r>
          </w:p>
        </w:tc>
        <w:tc>
          <w:tcPr>
            <w:tcW w:w="649" w:type="dxa"/>
            <w:vMerge w:val="restart"/>
            <w:vAlign w:val="center"/>
          </w:tcPr>
          <w:p>
            <w:pPr>
              <w:pStyle w:val="15"/>
              <w:rPr>
                <w:rFonts w:ascii="宋体" w:hAnsi="宋体"/>
                <w:kern w:val="2"/>
                <w:sz w:val="22"/>
                <w:szCs w:val="22"/>
              </w:rPr>
            </w:pPr>
            <w:r>
              <w:rPr>
                <w:rFonts w:hint="eastAsia" w:ascii="宋体" w:hAnsi="宋体"/>
                <w:kern w:val="2"/>
                <w:sz w:val="22"/>
                <w:szCs w:val="22"/>
              </w:rPr>
              <w:t>单位</w:t>
            </w:r>
          </w:p>
        </w:tc>
        <w:tc>
          <w:tcPr>
            <w:tcW w:w="1194" w:type="dxa"/>
            <w:gridSpan w:val="2"/>
            <w:vAlign w:val="center"/>
          </w:tcPr>
          <w:p>
            <w:pPr>
              <w:pStyle w:val="15"/>
              <w:rPr>
                <w:rFonts w:ascii="宋体" w:hAnsi="宋体"/>
                <w:color w:val="00B0F0"/>
                <w:kern w:val="2"/>
                <w:sz w:val="22"/>
                <w:szCs w:val="22"/>
              </w:rPr>
            </w:pPr>
            <w:r>
              <w:rPr>
                <w:rFonts w:hint="eastAsia" w:ascii="宋体" w:hAnsi="宋体"/>
                <w:kern w:val="2"/>
                <w:sz w:val="22"/>
                <w:szCs w:val="22"/>
              </w:rPr>
              <w:t>报价</w:t>
            </w:r>
            <w:r>
              <w:rPr>
                <w:rFonts w:ascii="宋体" w:hAnsi="宋体"/>
                <w:kern w:val="2"/>
                <w:sz w:val="22"/>
                <w:szCs w:val="22"/>
              </w:rPr>
              <w:t>方</w:t>
            </w:r>
          </w:p>
        </w:tc>
        <w:tc>
          <w:tcPr>
            <w:tcW w:w="850" w:type="dxa"/>
            <w:vMerge w:val="restart"/>
            <w:vAlign w:val="center"/>
          </w:tcPr>
          <w:p>
            <w:pPr>
              <w:pStyle w:val="15"/>
              <w:rPr>
                <w:rFonts w:ascii="宋体" w:hAnsi="宋体"/>
                <w:kern w:val="2"/>
                <w:sz w:val="22"/>
                <w:szCs w:val="22"/>
              </w:rPr>
            </w:pPr>
            <w:r>
              <w:rPr>
                <w:rFonts w:hint="eastAsia" w:ascii="宋体" w:hAnsi="宋体"/>
                <w:kern w:val="2"/>
                <w:sz w:val="22"/>
                <w:szCs w:val="22"/>
              </w:rPr>
              <w:t>交货时间</w:t>
            </w:r>
          </w:p>
        </w:tc>
        <w:tc>
          <w:tcPr>
            <w:tcW w:w="709" w:type="dxa"/>
            <w:vMerge w:val="restart"/>
            <w:vAlign w:val="center"/>
          </w:tcPr>
          <w:p>
            <w:pPr>
              <w:pStyle w:val="15"/>
              <w:rPr>
                <w:rFonts w:ascii="宋体" w:hAnsi="宋体"/>
                <w:kern w:val="2"/>
                <w:sz w:val="22"/>
                <w:szCs w:val="22"/>
              </w:rPr>
            </w:pPr>
            <w:r>
              <w:rPr>
                <w:rFonts w:hint="eastAsia" w:ascii="宋体" w:hAnsi="宋体"/>
                <w:kern w:val="2"/>
                <w:sz w:val="22"/>
                <w:szCs w:val="22"/>
              </w:rPr>
              <w:t>交货地点</w:t>
            </w:r>
          </w:p>
        </w:tc>
        <w:tc>
          <w:tcPr>
            <w:tcW w:w="709" w:type="dxa"/>
            <w:vMerge w:val="restart"/>
            <w:vAlign w:val="center"/>
          </w:tcPr>
          <w:p>
            <w:pPr>
              <w:pStyle w:val="15"/>
              <w:rPr>
                <w:kern w:val="2"/>
                <w:sz w:val="21"/>
              </w:rPr>
            </w:pPr>
            <w:r>
              <w:rPr>
                <w:rFonts w:hint="eastAsia"/>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538" w:type="dxa"/>
            <w:vMerge w:val="continue"/>
            <w:vAlign w:val="center"/>
          </w:tcPr>
          <w:p>
            <w:pPr>
              <w:pStyle w:val="15"/>
              <w:rPr>
                <w:rFonts w:ascii="宋体" w:hAnsi="宋体"/>
                <w:kern w:val="2"/>
                <w:sz w:val="22"/>
                <w:szCs w:val="22"/>
              </w:rPr>
            </w:pPr>
          </w:p>
        </w:tc>
        <w:tc>
          <w:tcPr>
            <w:tcW w:w="1458" w:type="dxa"/>
            <w:vMerge w:val="continue"/>
            <w:vAlign w:val="center"/>
          </w:tcPr>
          <w:p>
            <w:pPr>
              <w:pStyle w:val="15"/>
              <w:rPr>
                <w:rFonts w:ascii="宋体" w:hAnsi="宋体"/>
                <w:kern w:val="2"/>
                <w:sz w:val="22"/>
                <w:szCs w:val="22"/>
              </w:rPr>
            </w:pPr>
          </w:p>
        </w:tc>
        <w:tc>
          <w:tcPr>
            <w:tcW w:w="1940" w:type="dxa"/>
            <w:vMerge w:val="continue"/>
            <w:vAlign w:val="center"/>
          </w:tcPr>
          <w:p>
            <w:pPr>
              <w:pStyle w:val="15"/>
              <w:rPr>
                <w:rFonts w:ascii="宋体" w:hAnsi="宋体"/>
                <w:kern w:val="2"/>
                <w:sz w:val="22"/>
                <w:szCs w:val="22"/>
              </w:rPr>
            </w:pPr>
          </w:p>
        </w:tc>
        <w:tc>
          <w:tcPr>
            <w:tcW w:w="1335" w:type="dxa"/>
            <w:vMerge w:val="continue"/>
            <w:vAlign w:val="center"/>
          </w:tcPr>
          <w:p>
            <w:pPr>
              <w:pStyle w:val="15"/>
              <w:rPr>
                <w:rFonts w:ascii="宋体" w:hAnsi="宋体"/>
                <w:kern w:val="2"/>
                <w:sz w:val="22"/>
                <w:szCs w:val="22"/>
              </w:rPr>
            </w:pPr>
          </w:p>
        </w:tc>
        <w:tc>
          <w:tcPr>
            <w:tcW w:w="791" w:type="dxa"/>
            <w:vMerge w:val="continue"/>
            <w:vAlign w:val="center"/>
          </w:tcPr>
          <w:p>
            <w:pPr>
              <w:pStyle w:val="15"/>
              <w:rPr>
                <w:rFonts w:ascii="宋体" w:hAnsi="宋体"/>
                <w:kern w:val="2"/>
                <w:sz w:val="22"/>
                <w:szCs w:val="22"/>
              </w:rPr>
            </w:pPr>
          </w:p>
        </w:tc>
        <w:tc>
          <w:tcPr>
            <w:tcW w:w="649" w:type="dxa"/>
            <w:vMerge w:val="continue"/>
            <w:vAlign w:val="center"/>
          </w:tcPr>
          <w:p>
            <w:pPr>
              <w:pStyle w:val="15"/>
              <w:rPr>
                <w:rFonts w:ascii="宋体" w:hAnsi="宋体"/>
                <w:kern w:val="2"/>
                <w:sz w:val="22"/>
                <w:szCs w:val="22"/>
              </w:rPr>
            </w:pPr>
          </w:p>
        </w:tc>
        <w:tc>
          <w:tcPr>
            <w:tcW w:w="627" w:type="dxa"/>
            <w:vAlign w:val="center"/>
          </w:tcPr>
          <w:p>
            <w:pPr>
              <w:pStyle w:val="15"/>
              <w:rPr>
                <w:rFonts w:ascii="宋体" w:hAnsi="宋体"/>
                <w:kern w:val="2"/>
                <w:sz w:val="22"/>
                <w:szCs w:val="22"/>
              </w:rPr>
            </w:pPr>
            <w:r>
              <w:rPr>
                <w:rFonts w:hint="eastAsia" w:ascii="宋体" w:hAnsi="宋体"/>
                <w:kern w:val="2"/>
                <w:sz w:val="22"/>
                <w:szCs w:val="22"/>
              </w:rPr>
              <w:t>含税报</w:t>
            </w:r>
            <w:r>
              <w:rPr>
                <w:rFonts w:ascii="宋体" w:hAnsi="宋体"/>
                <w:kern w:val="2"/>
                <w:sz w:val="22"/>
                <w:szCs w:val="22"/>
              </w:rPr>
              <w:t>单价</w:t>
            </w:r>
          </w:p>
        </w:tc>
        <w:tc>
          <w:tcPr>
            <w:tcW w:w="567" w:type="dxa"/>
            <w:vAlign w:val="top"/>
          </w:tcPr>
          <w:p>
            <w:pPr>
              <w:pStyle w:val="15"/>
              <w:rPr>
                <w:rFonts w:ascii="宋体" w:hAnsi="宋体"/>
                <w:kern w:val="2"/>
                <w:sz w:val="22"/>
                <w:szCs w:val="22"/>
              </w:rPr>
            </w:pPr>
            <w:r>
              <w:rPr>
                <w:rFonts w:hint="eastAsia" w:ascii="宋体" w:hAnsi="宋体"/>
                <w:kern w:val="2"/>
                <w:sz w:val="22"/>
                <w:szCs w:val="22"/>
              </w:rPr>
              <w:t>含税报总</w:t>
            </w:r>
            <w:r>
              <w:rPr>
                <w:rFonts w:ascii="宋体" w:hAnsi="宋体"/>
                <w:kern w:val="2"/>
                <w:sz w:val="22"/>
                <w:szCs w:val="22"/>
              </w:rPr>
              <w:t>价</w:t>
            </w:r>
          </w:p>
        </w:tc>
        <w:tc>
          <w:tcPr>
            <w:tcW w:w="850" w:type="dxa"/>
            <w:vMerge w:val="continue"/>
            <w:vAlign w:val="center"/>
          </w:tcPr>
          <w:p>
            <w:pPr>
              <w:pStyle w:val="15"/>
              <w:rPr>
                <w:rFonts w:ascii="宋体" w:hAnsi="宋体"/>
                <w:kern w:val="2"/>
                <w:sz w:val="22"/>
                <w:szCs w:val="22"/>
              </w:rPr>
            </w:pPr>
          </w:p>
        </w:tc>
        <w:tc>
          <w:tcPr>
            <w:tcW w:w="709" w:type="dxa"/>
            <w:vMerge w:val="continue"/>
            <w:vAlign w:val="center"/>
          </w:tcPr>
          <w:p>
            <w:pPr>
              <w:pStyle w:val="15"/>
              <w:rPr>
                <w:rFonts w:ascii="宋体" w:hAnsi="宋体"/>
                <w:kern w:val="2"/>
                <w:sz w:val="22"/>
                <w:szCs w:val="22"/>
              </w:rPr>
            </w:pPr>
          </w:p>
        </w:tc>
        <w:tc>
          <w:tcPr>
            <w:tcW w:w="709" w:type="dxa"/>
            <w:vMerge w:val="continue"/>
            <w:vAlign w:val="center"/>
          </w:tcPr>
          <w:p>
            <w:pPr>
              <w:pStyle w:val="15"/>
              <w:rPr>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vAlign w:val="top"/>
          </w:tcPr>
          <w:p>
            <w:pPr>
              <w:pStyle w:val="15"/>
              <w:jc w:val="center"/>
              <w:rPr>
                <w:rFonts w:hint="eastAsia" w:ascii="宋体" w:hAnsi="宋体"/>
                <w:kern w:val="2"/>
                <w:sz w:val="22"/>
                <w:szCs w:val="22"/>
              </w:rPr>
            </w:pPr>
          </w:p>
          <w:p>
            <w:pPr>
              <w:pStyle w:val="15"/>
              <w:jc w:val="center"/>
              <w:rPr>
                <w:rFonts w:hint="eastAsia" w:ascii="宋体" w:hAnsi="宋体"/>
                <w:kern w:val="2"/>
                <w:sz w:val="22"/>
                <w:szCs w:val="22"/>
              </w:rPr>
            </w:pPr>
          </w:p>
          <w:p>
            <w:pPr>
              <w:pStyle w:val="15"/>
              <w:jc w:val="center"/>
              <w:rPr>
                <w:rFonts w:ascii="宋体" w:hAnsi="宋体"/>
                <w:kern w:val="2"/>
                <w:sz w:val="22"/>
                <w:szCs w:val="22"/>
              </w:rPr>
            </w:pPr>
            <w:r>
              <w:rPr>
                <w:rFonts w:hint="eastAsia" w:ascii="宋体" w:hAnsi="宋体"/>
                <w:kern w:val="2"/>
                <w:sz w:val="22"/>
                <w:szCs w:val="22"/>
              </w:rPr>
              <w:t>1</w:t>
            </w:r>
          </w:p>
        </w:tc>
        <w:tc>
          <w:tcPr>
            <w:tcW w:w="1458" w:type="dxa"/>
            <w:vAlign w:val="bottom"/>
          </w:tcPr>
          <w:p>
            <w:pPr>
              <w:widowControl/>
              <w:jc w:val="left"/>
              <w:textAlignment w:val="bottom"/>
              <w:rPr>
                <w:rFonts w:hint="eastAsia" w:ascii="宋体" w:hAnsi="宋体"/>
                <w:sz w:val="22"/>
              </w:rPr>
            </w:pPr>
            <w:r>
              <w:rPr>
                <w:rFonts w:hint="eastAsia" w:ascii="宋体" w:hAnsi="宋体" w:cs="宋体"/>
                <w:color w:val="000000"/>
                <w:kern w:val="0"/>
                <w:sz w:val="24"/>
                <w:szCs w:val="24"/>
                <w:lang w:bidi="ar"/>
              </w:rPr>
              <w:t>2020300098</w:t>
            </w:r>
          </w:p>
        </w:tc>
        <w:tc>
          <w:tcPr>
            <w:tcW w:w="1940" w:type="dxa"/>
            <w:vAlign w:val="bottom"/>
          </w:tcPr>
          <w:p>
            <w:pPr>
              <w:widowControl/>
              <w:jc w:val="left"/>
              <w:textAlignment w:val="bottom"/>
              <w:rPr>
                <w:rFonts w:ascii="宋体" w:hAnsi="宋体"/>
                <w:sz w:val="22"/>
              </w:rPr>
            </w:pPr>
            <w:r>
              <w:rPr>
                <w:rFonts w:hint="eastAsia" w:ascii="宋体" w:hAnsi="宋体" w:cs="宋体"/>
                <w:color w:val="000000"/>
                <w:kern w:val="0"/>
                <w:sz w:val="24"/>
                <w:szCs w:val="24"/>
                <w:lang w:bidi="ar"/>
              </w:rPr>
              <w:t>控制电缆</w:t>
            </w:r>
          </w:p>
        </w:tc>
        <w:tc>
          <w:tcPr>
            <w:tcW w:w="1335" w:type="dxa"/>
            <w:vAlign w:val="top"/>
          </w:tcPr>
          <w:p>
            <w:pPr>
              <w:pStyle w:val="15"/>
              <w:rPr>
                <w:rFonts w:hint="eastAsia" w:ascii="宋体" w:hAnsi="宋体"/>
                <w:kern w:val="2"/>
                <w:sz w:val="22"/>
                <w:szCs w:val="22"/>
              </w:rPr>
            </w:pPr>
          </w:p>
          <w:p>
            <w:pPr>
              <w:pStyle w:val="15"/>
              <w:rPr>
                <w:rFonts w:hint="eastAsia" w:ascii="宋体" w:hAnsi="宋体" w:cs="宋体"/>
                <w:color w:val="000000"/>
                <w:sz w:val="24"/>
                <w:lang w:bidi="ar"/>
              </w:rPr>
            </w:pPr>
            <w:r>
              <w:rPr>
                <w:rFonts w:hint="eastAsia" w:ascii="宋体" w:hAnsi="宋体" w:cs="宋体"/>
                <w:color w:val="000000"/>
                <w:sz w:val="24"/>
                <w:lang w:bidi="ar"/>
              </w:rPr>
              <w:t>KVVP</w:t>
            </w:r>
          </w:p>
          <w:p>
            <w:pPr>
              <w:pStyle w:val="15"/>
              <w:rPr>
                <w:rFonts w:hint="eastAsia" w:ascii="宋体" w:hAnsi="宋体"/>
                <w:kern w:val="2"/>
                <w:sz w:val="22"/>
                <w:szCs w:val="22"/>
              </w:rPr>
            </w:pPr>
            <w:r>
              <w:rPr>
                <w:rFonts w:hint="eastAsia" w:ascii="宋体" w:hAnsi="宋体" w:cs="宋体"/>
                <w:color w:val="000000"/>
                <w:sz w:val="24"/>
                <w:lang w:bidi="ar"/>
              </w:rPr>
              <w:t xml:space="preserve"> 4×1.5</w:t>
            </w:r>
          </w:p>
        </w:tc>
        <w:tc>
          <w:tcPr>
            <w:tcW w:w="791" w:type="dxa"/>
            <w:vAlign w:val="top"/>
          </w:tcPr>
          <w:p>
            <w:pPr>
              <w:pStyle w:val="15"/>
              <w:jc w:val="center"/>
              <w:rPr>
                <w:rFonts w:hint="eastAsia" w:ascii="宋体" w:hAnsi="宋体"/>
                <w:kern w:val="2"/>
                <w:sz w:val="22"/>
                <w:szCs w:val="22"/>
              </w:rPr>
            </w:pPr>
          </w:p>
          <w:p>
            <w:pPr>
              <w:pStyle w:val="15"/>
              <w:jc w:val="center"/>
              <w:rPr>
                <w:rFonts w:hint="eastAsia" w:ascii="宋体" w:hAnsi="宋体"/>
                <w:kern w:val="2"/>
                <w:sz w:val="22"/>
                <w:szCs w:val="22"/>
              </w:rPr>
            </w:pPr>
          </w:p>
          <w:p>
            <w:pPr>
              <w:pStyle w:val="15"/>
              <w:jc w:val="center"/>
              <w:rPr>
                <w:rFonts w:hint="eastAsia" w:ascii="宋体" w:hAnsi="宋体"/>
                <w:kern w:val="2"/>
                <w:sz w:val="22"/>
                <w:szCs w:val="22"/>
              </w:rPr>
            </w:pPr>
            <w:r>
              <w:rPr>
                <w:rFonts w:hint="eastAsia" w:ascii="宋体" w:hAnsi="宋体"/>
                <w:kern w:val="2"/>
                <w:sz w:val="22"/>
                <w:szCs w:val="22"/>
              </w:rPr>
              <w:t>3000</w:t>
            </w:r>
          </w:p>
        </w:tc>
        <w:tc>
          <w:tcPr>
            <w:tcW w:w="649" w:type="dxa"/>
            <w:vAlign w:val="bottom"/>
          </w:tcPr>
          <w:p>
            <w:pPr>
              <w:widowControl/>
              <w:jc w:val="left"/>
              <w:textAlignment w:val="bottom"/>
              <w:rPr>
                <w:rFonts w:hint="eastAsia" w:ascii="宋体" w:hAnsi="宋体"/>
                <w:sz w:val="22"/>
              </w:rPr>
            </w:pPr>
            <w:r>
              <w:rPr>
                <w:rFonts w:hint="eastAsia" w:ascii="宋体" w:hAnsi="宋体" w:cs="宋体"/>
                <w:color w:val="000000"/>
                <w:kern w:val="0"/>
                <w:sz w:val="24"/>
                <w:szCs w:val="24"/>
                <w:lang w:bidi="ar"/>
              </w:rPr>
              <w:t>M</w:t>
            </w:r>
          </w:p>
        </w:tc>
        <w:tc>
          <w:tcPr>
            <w:tcW w:w="627" w:type="dxa"/>
            <w:vAlign w:val="top"/>
          </w:tcPr>
          <w:p>
            <w:pPr>
              <w:pStyle w:val="15"/>
              <w:rPr>
                <w:rFonts w:ascii="宋体" w:hAnsi="宋体"/>
                <w:kern w:val="2"/>
                <w:sz w:val="22"/>
                <w:szCs w:val="22"/>
              </w:rPr>
            </w:pPr>
          </w:p>
        </w:tc>
        <w:tc>
          <w:tcPr>
            <w:tcW w:w="567" w:type="dxa"/>
            <w:vAlign w:val="top"/>
          </w:tcPr>
          <w:p>
            <w:pPr>
              <w:pStyle w:val="15"/>
              <w:rPr>
                <w:rFonts w:ascii="宋体" w:hAnsi="宋体"/>
                <w:kern w:val="2"/>
                <w:sz w:val="22"/>
                <w:szCs w:val="22"/>
              </w:rPr>
            </w:pPr>
          </w:p>
        </w:tc>
        <w:tc>
          <w:tcPr>
            <w:tcW w:w="850" w:type="dxa"/>
            <w:vAlign w:val="top"/>
          </w:tcPr>
          <w:p>
            <w:pPr>
              <w:pStyle w:val="15"/>
              <w:rPr>
                <w:rFonts w:ascii="宋体" w:hAnsi="宋体"/>
                <w:kern w:val="2"/>
                <w:sz w:val="22"/>
                <w:szCs w:val="22"/>
              </w:rPr>
            </w:pPr>
            <w:r>
              <w:rPr>
                <w:rFonts w:hint="eastAsia" w:ascii="宋体" w:hAnsi="宋体"/>
                <w:kern w:val="2"/>
                <w:sz w:val="22"/>
                <w:szCs w:val="22"/>
              </w:rPr>
              <w:t>签订合同后，10日</w:t>
            </w:r>
          </w:p>
        </w:tc>
        <w:tc>
          <w:tcPr>
            <w:tcW w:w="709" w:type="dxa"/>
            <w:vAlign w:val="top"/>
          </w:tcPr>
          <w:p>
            <w:pPr>
              <w:pStyle w:val="15"/>
              <w:rPr>
                <w:rFonts w:ascii="宋体" w:hAnsi="宋体"/>
                <w:kern w:val="2"/>
                <w:sz w:val="22"/>
                <w:szCs w:val="22"/>
              </w:rPr>
            </w:pPr>
            <w:r>
              <w:rPr>
                <w:rFonts w:hint="eastAsia" w:ascii="宋体" w:hAnsi="宋体"/>
                <w:kern w:val="2"/>
                <w:sz w:val="22"/>
                <w:szCs w:val="22"/>
              </w:rPr>
              <w:t>买方物资部库房</w:t>
            </w:r>
          </w:p>
        </w:tc>
        <w:tc>
          <w:tcPr>
            <w:tcW w:w="709" w:type="dxa"/>
            <w:vAlign w:val="top"/>
          </w:tcPr>
          <w:p>
            <w:pPr>
              <w:pStyle w:val="15"/>
              <w:rPr>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vAlign w:val="top"/>
          </w:tcPr>
          <w:p>
            <w:pPr>
              <w:pStyle w:val="15"/>
              <w:jc w:val="center"/>
              <w:rPr>
                <w:rFonts w:hint="eastAsia" w:ascii="宋体" w:hAnsi="宋体"/>
                <w:kern w:val="2"/>
                <w:sz w:val="22"/>
                <w:szCs w:val="22"/>
              </w:rPr>
            </w:pPr>
            <w:r>
              <w:rPr>
                <w:rFonts w:hint="eastAsia" w:ascii="宋体" w:hAnsi="宋体"/>
                <w:kern w:val="2"/>
                <w:sz w:val="22"/>
                <w:szCs w:val="22"/>
              </w:rPr>
              <w:t>2</w:t>
            </w:r>
          </w:p>
        </w:tc>
        <w:tc>
          <w:tcPr>
            <w:tcW w:w="1458" w:type="dxa"/>
            <w:vAlign w:val="bottom"/>
          </w:tcPr>
          <w:p>
            <w:pPr>
              <w:widowControl/>
              <w:jc w:val="left"/>
              <w:textAlignment w:val="bottom"/>
              <w:rPr>
                <w:rFonts w:cs="Calibri"/>
                <w:kern w:val="0"/>
                <w:sz w:val="22"/>
                <w:lang w:bidi="ar"/>
              </w:rPr>
            </w:pPr>
            <w:r>
              <w:rPr>
                <w:rFonts w:hint="eastAsia" w:ascii="宋体" w:hAnsi="宋体" w:cs="宋体"/>
                <w:color w:val="000000"/>
                <w:kern w:val="0"/>
                <w:sz w:val="24"/>
                <w:szCs w:val="24"/>
                <w:lang w:bidi="ar"/>
              </w:rPr>
              <w:t>2020300810</w:t>
            </w:r>
          </w:p>
        </w:tc>
        <w:tc>
          <w:tcPr>
            <w:tcW w:w="1940" w:type="dxa"/>
            <w:vAlign w:val="bottom"/>
          </w:tcPr>
          <w:p>
            <w:pPr>
              <w:widowControl/>
              <w:jc w:val="left"/>
              <w:textAlignment w:val="bottom"/>
              <w:rPr>
                <w:rFonts w:cs="Calibri"/>
                <w:kern w:val="0"/>
                <w:sz w:val="22"/>
                <w:lang w:bidi="ar"/>
              </w:rPr>
            </w:pPr>
            <w:r>
              <w:rPr>
                <w:rFonts w:hint="eastAsia" w:ascii="宋体" w:hAnsi="宋体" w:cs="宋体"/>
                <w:color w:val="000000"/>
                <w:kern w:val="0"/>
                <w:sz w:val="24"/>
                <w:szCs w:val="24"/>
                <w:lang w:bidi="ar"/>
              </w:rPr>
              <w:t>电力电缆</w:t>
            </w:r>
          </w:p>
        </w:tc>
        <w:tc>
          <w:tcPr>
            <w:tcW w:w="1335" w:type="dxa"/>
            <w:vAlign w:val="top"/>
          </w:tcPr>
          <w:p>
            <w:pPr>
              <w:pStyle w:val="15"/>
              <w:rPr>
                <w:rFonts w:hint="eastAsia" w:ascii="宋体" w:hAnsi="宋体" w:cs="宋体"/>
                <w:color w:val="000000"/>
                <w:sz w:val="24"/>
                <w:lang w:bidi="ar"/>
              </w:rPr>
            </w:pPr>
            <w:r>
              <w:rPr>
                <w:rFonts w:hint="eastAsia" w:ascii="宋体" w:hAnsi="宋体" w:cs="宋体"/>
                <w:color w:val="000000"/>
                <w:sz w:val="24"/>
                <w:lang w:bidi="ar"/>
              </w:rPr>
              <w:t xml:space="preserve">NH-VV22 </w:t>
            </w:r>
          </w:p>
          <w:p>
            <w:pPr>
              <w:pStyle w:val="15"/>
              <w:rPr>
                <w:rFonts w:hint="eastAsia" w:ascii="宋体" w:hAnsi="宋体" w:cs="宋体"/>
                <w:color w:val="000000"/>
                <w:sz w:val="24"/>
                <w:lang w:bidi="ar"/>
              </w:rPr>
            </w:pPr>
            <w:r>
              <w:rPr>
                <w:rFonts w:hint="eastAsia" w:ascii="宋体" w:hAnsi="宋体" w:cs="宋体"/>
                <w:color w:val="000000"/>
                <w:sz w:val="24"/>
                <w:lang w:bidi="ar"/>
              </w:rPr>
              <w:t>2×6</w:t>
            </w:r>
          </w:p>
        </w:tc>
        <w:tc>
          <w:tcPr>
            <w:tcW w:w="791" w:type="dxa"/>
            <w:vAlign w:val="top"/>
          </w:tcPr>
          <w:p>
            <w:pPr>
              <w:pStyle w:val="15"/>
              <w:jc w:val="center"/>
              <w:rPr>
                <w:rFonts w:hint="eastAsia" w:ascii="宋体" w:hAnsi="宋体"/>
                <w:kern w:val="2"/>
                <w:sz w:val="22"/>
                <w:szCs w:val="22"/>
              </w:rPr>
            </w:pPr>
            <w:r>
              <w:rPr>
                <w:rFonts w:hint="eastAsia" w:ascii="宋体" w:hAnsi="宋体"/>
                <w:kern w:val="2"/>
                <w:sz w:val="22"/>
                <w:szCs w:val="22"/>
              </w:rPr>
              <w:t>2000</w:t>
            </w:r>
          </w:p>
        </w:tc>
        <w:tc>
          <w:tcPr>
            <w:tcW w:w="649" w:type="dxa"/>
            <w:vAlign w:val="bottom"/>
          </w:tcPr>
          <w:p>
            <w:pPr>
              <w:widowControl/>
              <w:jc w:val="left"/>
              <w:textAlignment w:val="bottom"/>
              <w:rPr>
                <w:rFonts w:hint="eastAsia" w:ascii="宋体" w:hAnsi="宋体"/>
                <w:sz w:val="22"/>
              </w:rPr>
            </w:pPr>
            <w:r>
              <w:rPr>
                <w:rFonts w:hint="eastAsia" w:ascii="宋体" w:hAnsi="宋体"/>
                <w:sz w:val="22"/>
              </w:rPr>
              <w:t>M</w:t>
            </w:r>
          </w:p>
        </w:tc>
        <w:tc>
          <w:tcPr>
            <w:tcW w:w="627" w:type="dxa"/>
            <w:vAlign w:val="top"/>
          </w:tcPr>
          <w:p>
            <w:pPr>
              <w:pStyle w:val="15"/>
              <w:rPr>
                <w:rFonts w:ascii="宋体" w:hAnsi="宋体"/>
                <w:kern w:val="2"/>
                <w:sz w:val="22"/>
                <w:szCs w:val="22"/>
              </w:rPr>
            </w:pPr>
          </w:p>
        </w:tc>
        <w:tc>
          <w:tcPr>
            <w:tcW w:w="567" w:type="dxa"/>
            <w:vAlign w:val="top"/>
          </w:tcPr>
          <w:p>
            <w:pPr>
              <w:pStyle w:val="15"/>
              <w:rPr>
                <w:rFonts w:ascii="宋体" w:hAnsi="宋体"/>
                <w:kern w:val="2"/>
                <w:sz w:val="22"/>
                <w:szCs w:val="22"/>
              </w:rPr>
            </w:pPr>
          </w:p>
        </w:tc>
        <w:tc>
          <w:tcPr>
            <w:tcW w:w="850" w:type="dxa"/>
            <w:vAlign w:val="top"/>
          </w:tcPr>
          <w:p>
            <w:pPr>
              <w:pStyle w:val="15"/>
              <w:rPr>
                <w:rFonts w:hint="eastAsia" w:ascii="宋体" w:hAnsi="宋体"/>
                <w:kern w:val="2"/>
                <w:sz w:val="22"/>
                <w:szCs w:val="22"/>
              </w:rPr>
            </w:pPr>
            <w:r>
              <w:rPr>
                <w:rFonts w:hint="eastAsia" w:ascii="宋体" w:hAnsi="宋体"/>
                <w:kern w:val="2"/>
                <w:sz w:val="22"/>
                <w:szCs w:val="22"/>
              </w:rPr>
              <w:t>签订合同后，10日</w:t>
            </w:r>
          </w:p>
        </w:tc>
        <w:tc>
          <w:tcPr>
            <w:tcW w:w="709" w:type="dxa"/>
            <w:vAlign w:val="top"/>
          </w:tcPr>
          <w:p>
            <w:pPr>
              <w:pStyle w:val="15"/>
              <w:rPr>
                <w:rFonts w:hint="eastAsia" w:ascii="宋体" w:hAnsi="宋体"/>
                <w:kern w:val="2"/>
                <w:sz w:val="22"/>
                <w:szCs w:val="22"/>
              </w:rPr>
            </w:pPr>
            <w:r>
              <w:rPr>
                <w:rFonts w:hint="eastAsia" w:ascii="宋体" w:hAnsi="宋体"/>
                <w:kern w:val="2"/>
                <w:sz w:val="22"/>
                <w:szCs w:val="22"/>
              </w:rPr>
              <w:t>买方物资部库房</w:t>
            </w:r>
          </w:p>
        </w:tc>
        <w:tc>
          <w:tcPr>
            <w:tcW w:w="709" w:type="dxa"/>
            <w:vAlign w:val="top"/>
          </w:tcPr>
          <w:p>
            <w:pPr>
              <w:pStyle w:val="15"/>
              <w:rPr>
                <w:kern w:val="2"/>
                <w:sz w:val="21"/>
              </w:rPr>
            </w:pPr>
          </w:p>
        </w:tc>
      </w:tr>
    </w:tbl>
    <w:p>
      <w:pPr>
        <w:spacing w:line="500" w:lineRule="exact"/>
        <w:jc w:val="left"/>
        <w:rPr>
          <w:rFonts w:hint="eastAsia" w:ascii="宋体" w:hAnsi="宋体"/>
          <w:b/>
          <w:color w:val="FF0000"/>
          <w:sz w:val="24"/>
          <w:szCs w:val="24"/>
        </w:rPr>
      </w:pPr>
    </w:p>
    <w:p>
      <w:pPr>
        <w:pStyle w:val="10"/>
        <w:numPr>
          <w:ilvl w:val="0"/>
          <w:numId w:val="1"/>
        </w:numPr>
        <w:spacing w:line="360" w:lineRule="auto"/>
        <w:ind w:firstLine="241" w:firstLineChars="100"/>
        <w:rPr>
          <w:rFonts w:hAnsi="宋体"/>
          <w:b/>
          <w:bCs/>
        </w:rPr>
      </w:pPr>
      <w:r>
        <w:rPr>
          <w:rFonts w:hint="eastAsia" w:ascii="宋体" w:hAnsi="宋体"/>
          <w:b/>
          <w:bCs/>
          <w:sz w:val="24"/>
        </w:rPr>
        <w:t>、技术性能</w:t>
      </w:r>
    </w:p>
    <w:p>
      <w:pPr>
        <w:pStyle w:val="10"/>
        <w:spacing w:line="360" w:lineRule="auto"/>
        <w:ind w:firstLine="240" w:firstLineChars="100"/>
        <w:rPr>
          <w:rFonts w:hAnsi="宋体"/>
          <w:b/>
          <w:bCs/>
        </w:rPr>
      </w:pPr>
      <w:r>
        <w:rPr>
          <w:rFonts w:hint="eastAsia" w:ascii="宋体" w:hAnsi="宋体"/>
          <w:sz w:val="24"/>
        </w:rPr>
        <w:t xml:space="preserve"> 1、</w:t>
      </w:r>
      <w:r>
        <w:rPr>
          <w:rFonts w:hAnsi="宋体"/>
          <w:b/>
          <w:bCs/>
        </w:rPr>
        <w:t>标准和规范</w:t>
      </w:r>
    </w:p>
    <w:p>
      <w:pPr>
        <w:widowControl/>
        <w:autoSpaceDE w:val="0"/>
        <w:autoSpaceDN w:val="0"/>
        <w:ind w:firstLine="510"/>
        <w:textAlignment w:val="bottom"/>
        <w:rPr>
          <w:rFonts w:hAnsi="宋体"/>
          <w:szCs w:val="24"/>
        </w:rPr>
      </w:pPr>
      <w:r>
        <w:rPr>
          <w:rFonts w:hint="eastAsia" w:hAnsi="宋体"/>
          <w:szCs w:val="24"/>
        </w:rPr>
        <w:t>卖方</w:t>
      </w:r>
      <w:r>
        <w:rPr>
          <w:rFonts w:hAnsi="宋体"/>
          <w:szCs w:val="24"/>
        </w:rPr>
        <w:t>提供的所有</w:t>
      </w:r>
      <w:r>
        <w:rPr>
          <w:rFonts w:hint="eastAsia" w:hAnsi="宋体"/>
          <w:szCs w:val="24"/>
        </w:rPr>
        <w:t>电力</w:t>
      </w:r>
      <w:r>
        <w:rPr>
          <w:rFonts w:hAnsi="宋体"/>
          <w:szCs w:val="24"/>
        </w:rPr>
        <w:t>电缆应满足下列</w:t>
      </w:r>
      <w:r>
        <w:rPr>
          <w:rFonts w:hint="eastAsia" w:hAnsi="宋体"/>
          <w:szCs w:val="24"/>
        </w:rPr>
        <w:t>现行最新版本的国家</w:t>
      </w:r>
      <w:r>
        <w:rPr>
          <w:rFonts w:hAnsi="宋体"/>
          <w:szCs w:val="24"/>
        </w:rPr>
        <w:t>标准和规范</w:t>
      </w:r>
      <w:r>
        <w:rPr>
          <w:rFonts w:hint="eastAsia" w:hAnsi="宋体"/>
          <w:szCs w:val="24"/>
        </w:rPr>
        <w:t>的要求，当各</w:t>
      </w:r>
      <w:r>
        <w:rPr>
          <w:rFonts w:hAnsi="宋体"/>
          <w:szCs w:val="24"/>
        </w:rPr>
        <w:t>标准和规范</w:t>
      </w:r>
      <w:r>
        <w:rPr>
          <w:rFonts w:hint="eastAsia" w:hAnsi="宋体"/>
          <w:szCs w:val="24"/>
        </w:rPr>
        <w:t>之间出现不一致或与卖方所执行的标准</w:t>
      </w:r>
      <w:r>
        <w:rPr>
          <w:rFonts w:hAnsi="宋体"/>
          <w:szCs w:val="24"/>
        </w:rPr>
        <w:t>和规范</w:t>
      </w:r>
      <w:r>
        <w:rPr>
          <w:rFonts w:hint="eastAsia" w:hAnsi="宋体"/>
          <w:szCs w:val="24"/>
        </w:rPr>
        <w:t>有偏差时，应执行较严格的标准</w:t>
      </w:r>
      <w:r>
        <w:rPr>
          <w:rFonts w:hAnsi="宋体"/>
          <w:szCs w:val="24"/>
        </w:rPr>
        <w:t>和规范</w:t>
      </w:r>
      <w:r>
        <w:rPr>
          <w:rFonts w:hint="eastAsia" w:hAnsi="宋体"/>
          <w:szCs w:val="24"/>
        </w:rPr>
        <w:t>：</w:t>
      </w:r>
    </w:p>
    <w:p>
      <w:pPr>
        <w:numPr>
          <w:ilvl w:val="0"/>
          <w:numId w:val="2"/>
        </w:numPr>
        <w:jc w:val="left"/>
        <w:rPr>
          <w:rFonts w:hint="eastAsia" w:hAnsi="宋体"/>
          <w:szCs w:val="24"/>
        </w:rPr>
      </w:pPr>
      <w:r>
        <w:rPr>
          <w:rFonts w:hAnsi="宋体"/>
          <w:szCs w:val="24"/>
        </w:rPr>
        <w:t>GB191</w:t>
      </w:r>
      <w:r>
        <w:rPr>
          <w:rFonts w:hint="eastAsia" w:hAnsi="宋体"/>
          <w:szCs w:val="24"/>
        </w:rPr>
        <w:t xml:space="preserve">       包装储运图示标志</w:t>
      </w:r>
    </w:p>
    <w:p>
      <w:pPr>
        <w:numPr>
          <w:ilvl w:val="0"/>
          <w:numId w:val="2"/>
        </w:numPr>
        <w:jc w:val="left"/>
        <w:rPr>
          <w:rFonts w:hint="eastAsia" w:hAnsi="宋体"/>
          <w:szCs w:val="24"/>
        </w:rPr>
      </w:pPr>
      <w:r>
        <w:rPr>
          <w:rFonts w:hint="eastAsia" w:hAnsi="宋体"/>
          <w:szCs w:val="24"/>
        </w:rPr>
        <w:t>GB 50217    电力工程电缆设计规范</w:t>
      </w:r>
    </w:p>
    <w:p>
      <w:pPr>
        <w:numPr>
          <w:ilvl w:val="0"/>
          <w:numId w:val="2"/>
        </w:numPr>
        <w:jc w:val="left"/>
        <w:rPr>
          <w:rFonts w:hint="eastAsia" w:hAnsi="宋体"/>
          <w:szCs w:val="24"/>
        </w:rPr>
      </w:pPr>
      <w:r>
        <w:rPr>
          <w:rFonts w:hint="eastAsia" w:hAnsi="宋体"/>
          <w:szCs w:val="24"/>
        </w:rPr>
        <w:t>GB/T 2951   电缆和光缆绝缘和护套材料通用试验方法</w:t>
      </w:r>
    </w:p>
    <w:p>
      <w:pPr>
        <w:numPr>
          <w:ilvl w:val="0"/>
          <w:numId w:val="2"/>
        </w:numPr>
        <w:jc w:val="left"/>
        <w:rPr>
          <w:rFonts w:hint="eastAsia" w:hAnsi="宋体"/>
          <w:szCs w:val="24"/>
        </w:rPr>
      </w:pPr>
      <w:r>
        <w:rPr>
          <w:rFonts w:hint="eastAsia" w:hAnsi="宋体"/>
          <w:szCs w:val="24"/>
        </w:rPr>
        <w:t>GB/T 2952   电缆外护层</w:t>
      </w:r>
    </w:p>
    <w:p>
      <w:pPr>
        <w:numPr>
          <w:ilvl w:val="0"/>
          <w:numId w:val="2"/>
        </w:numPr>
        <w:jc w:val="left"/>
        <w:rPr>
          <w:rFonts w:hint="eastAsia" w:hAnsi="宋体"/>
          <w:szCs w:val="24"/>
        </w:rPr>
      </w:pPr>
      <w:r>
        <w:rPr>
          <w:rFonts w:hAnsi="宋体"/>
          <w:szCs w:val="24"/>
        </w:rPr>
        <w:t>GB</w:t>
      </w:r>
      <w:r>
        <w:rPr>
          <w:rFonts w:hint="eastAsia" w:hAnsi="宋体"/>
          <w:szCs w:val="24"/>
        </w:rPr>
        <w:t xml:space="preserve">/T </w:t>
      </w:r>
      <w:r>
        <w:rPr>
          <w:rFonts w:hAnsi="宋体"/>
          <w:szCs w:val="24"/>
        </w:rPr>
        <w:t>3048</w:t>
      </w:r>
      <w:r>
        <w:rPr>
          <w:rFonts w:hint="eastAsia" w:hAnsi="宋体"/>
          <w:szCs w:val="24"/>
        </w:rPr>
        <w:t xml:space="preserve">   </w:t>
      </w:r>
      <w:r>
        <w:rPr>
          <w:rFonts w:hAnsi="宋体"/>
          <w:szCs w:val="24"/>
        </w:rPr>
        <w:t>电线电缆电性能</w:t>
      </w:r>
      <w:r>
        <w:rPr>
          <w:rFonts w:hint="eastAsia" w:hAnsi="宋体"/>
          <w:szCs w:val="24"/>
        </w:rPr>
        <w:t>试验方法</w:t>
      </w:r>
    </w:p>
    <w:p>
      <w:pPr>
        <w:numPr>
          <w:ilvl w:val="0"/>
          <w:numId w:val="2"/>
        </w:numPr>
        <w:jc w:val="left"/>
        <w:rPr>
          <w:rFonts w:hint="eastAsia" w:hAnsi="宋体"/>
          <w:szCs w:val="24"/>
        </w:rPr>
      </w:pPr>
      <w:r>
        <w:rPr>
          <w:rFonts w:hAnsi="宋体"/>
          <w:szCs w:val="24"/>
        </w:rPr>
        <w:t>GB</w:t>
      </w:r>
      <w:r>
        <w:rPr>
          <w:rFonts w:hint="eastAsia" w:hAnsi="宋体"/>
          <w:szCs w:val="24"/>
        </w:rPr>
        <w:t>/</w:t>
      </w:r>
      <w:r>
        <w:rPr>
          <w:rFonts w:hAnsi="宋体"/>
          <w:szCs w:val="24"/>
        </w:rPr>
        <w:t>T 3952</w:t>
      </w:r>
      <w:r>
        <w:rPr>
          <w:rFonts w:hint="eastAsia" w:hAnsi="宋体"/>
          <w:szCs w:val="24"/>
        </w:rPr>
        <w:t xml:space="preserve">   电工用铜线坯</w:t>
      </w:r>
    </w:p>
    <w:p>
      <w:pPr>
        <w:numPr>
          <w:ilvl w:val="0"/>
          <w:numId w:val="2"/>
        </w:numPr>
        <w:jc w:val="left"/>
        <w:rPr>
          <w:rFonts w:hint="eastAsia" w:hAnsi="宋体"/>
          <w:szCs w:val="24"/>
        </w:rPr>
      </w:pPr>
      <w:r>
        <w:rPr>
          <w:rFonts w:hAnsi="宋体"/>
          <w:szCs w:val="24"/>
        </w:rPr>
        <w:t>GB</w:t>
      </w:r>
      <w:r>
        <w:rPr>
          <w:rFonts w:hint="eastAsia" w:hAnsi="宋体"/>
          <w:szCs w:val="24"/>
        </w:rPr>
        <w:t xml:space="preserve">/T </w:t>
      </w:r>
      <w:r>
        <w:rPr>
          <w:rFonts w:hAnsi="宋体"/>
          <w:szCs w:val="24"/>
        </w:rPr>
        <w:t>395</w:t>
      </w:r>
      <w:r>
        <w:rPr>
          <w:rFonts w:hint="eastAsia" w:hAnsi="宋体"/>
          <w:szCs w:val="24"/>
        </w:rPr>
        <w:t xml:space="preserve">3   </w:t>
      </w:r>
      <w:r>
        <w:rPr>
          <w:rFonts w:hAnsi="宋体"/>
          <w:szCs w:val="24"/>
        </w:rPr>
        <w:t>电工圆导线</w:t>
      </w:r>
    </w:p>
    <w:p>
      <w:pPr>
        <w:numPr>
          <w:ilvl w:val="0"/>
          <w:numId w:val="2"/>
        </w:numPr>
        <w:jc w:val="left"/>
        <w:rPr>
          <w:rFonts w:hint="eastAsia" w:hAnsi="宋体"/>
          <w:szCs w:val="24"/>
        </w:rPr>
      </w:pPr>
      <w:r>
        <w:rPr>
          <w:rFonts w:hAnsi="宋体"/>
          <w:szCs w:val="24"/>
        </w:rPr>
        <w:t>GB</w:t>
      </w:r>
      <w:r>
        <w:rPr>
          <w:rFonts w:hint="eastAsia" w:hAnsi="宋体"/>
          <w:szCs w:val="24"/>
        </w:rPr>
        <w:t>/</w:t>
      </w:r>
      <w:r>
        <w:rPr>
          <w:rFonts w:hAnsi="宋体"/>
          <w:szCs w:val="24"/>
        </w:rPr>
        <w:t>T</w:t>
      </w:r>
      <w:r>
        <w:rPr>
          <w:rFonts w:hint="eastAsia" w:hAnsi="宋体"/>
          <w:szCs w:val="24"/>
        </w:rPr>
        <w:t xml:space="preserve"> </w:t>
      </w:r>
      <w:r>
        <w:rPr>
          <w:rFonts w:hAnsi="宋体"/>
          <w:szCs w:val="24"/>
        </w:rPr>
        <w:t>3956</w:t>
      </w:r>
      <w:r>
        <w:rPr>
          <w:rFonts w:hint="eastAsia" w:hAnsi="宋体"/>
          <w:szCs w:val="24"/>
        </w:rPr>
        <w:t xml:space="preserve">   </w:t>
      </w:r>
      <w:r>
        <w:rPr>
          <w:rFonts w:hAnsi="宋体"/>
          <w:szCs w:val="24"/>
        </w:rPr>
        <w:t>电缆</w:t>
      </w:r>
      <w:r>
        <w:rPr>
          <w:rFonts w:hint="eastAsia" w:hAnsi="宋体"/>
          <w:szCs w:val="24"/>
        </w:rPr>
        <w:t>的</w:t>
      </w:r>
      <w:r>
        <w:rPr>
          <w:rFonts w:hAnsi="宋体"/>
          <w:szCs w:val="24"/>
        </w:rPr>
        <w:t>导</w:t>
      </w:r>
      <w:r>
        <w:rPr>
          <w:rFonts w:hint="eastAsia" w:hAnsi="宋体"/>
          <w:szCs w:val="24"/>
        </w:rPr>
        <w:t>体</w:t>
      </w:r>
    </w:p>
    <w:p>
      <w:pPr>
        <w:numPr>
          <w:ilvl w:val="0"/>
          <w:numId w:val="2"/>
        </w:numPr>
        <w:jc w:val="left"/>
        <w:rPr>
          <w:rFonts w:hint="eastAsia" w:hAnsi="宋体"/>
          <w:szCs w:val="24"/>
        </w:rPr>
      </w:pPr>
      <w:r>
        <w:rPr>
          <w:rFonts w:hint="eastAsia" w:hAnsi="宋体"/>
          <w:szCs w:val="24"/>
        </w:rPr>
        <w:t>GB/T 4909   裸电线试验方法</w:t>
      </w:r>
    </w:p>
    <w:p>
      <w:pPr>
        <w:numPr>
          <w:ilvl w:val="0"/>
          <w:numId w:val="2"/>
        </w:numPr>
        <w:jc w:val="left"/>
        <w:rPr>
          <w:rFonts w:hint="eastAsia" w:hAnsi="宋体"/>
          <w:szCs w:val="24"/>
        </w:rPr>
      </w:pPr>
      <w:r>
        <w:rPr>
          <w:rFonts w:hint="eastAsia" w:hAnsi="宋体"/>
          <w:szCs w:val="24"/>
        </w:rPr>
        <w:t>GB/</w:t>
      </w:r>
      <w:r>
        <w:rPr>
          <w:rFonts w:hAnsi="宋体"/>
          <w:szCs w:val="24"/>
        </w:rPr>
        <w:t>T</w:t>
      </w:r>
      <w:r>
        <w:rPr>
          <w:rFonts w:hint="eastAsia" w:hAnsi="宋体"/>
          <w:szCs w:val="24"/>
        </w:rPr>
        <w:t xml:space="preserve"> 5019   以云母为基的绝缘材料</w:t>
      </w:r>
    </w:p>
    <w:p>
      <w:pPr>
        <w:numPr>
          <w:ilvl w:val="0"/>
          <w:numId w:val="2"/>
        </w:numPr>
        <w:jc w:val="left"/>
        <w:rPr>
          <w:rFonts w:hint="eastAsia" w:hAnsi="宋体"/>
          <w:szCs w:val="24"/>
        </w:rPr>
      </w:pPr>
      <w:r>
        <w:rPr>
          <w:rFonts w:hAnsi="宋体"/>
          <w:szCs w:val="24"/>
        </w:rPr>
        <w:t>GB</w:t>
      </w:r>
      <w:r>
        <w:rPr>
          <w:rFonts w:hint="eastAsia" w:hAnsi="宋体"/>
          <w:szCs w:val="24"/>
        </w:rPr>
        <w:t xml:space="preserve">/T </w:t>
      </w:r>
      <w:r>
        <w:rPr>
          <w:rFonts w:hAnsi="宋体"/>
          <w:szCs w:val="24"/>
        </w:rPr>
        <w:t>6995</w:t>
      </w:r>
      <w:r>
        <w:rPr>
          <w:rFonts w:hint="eastAsia" w:hAnsi="宋体"/>
          <w:szCs w:val="24"/>
        </w:rPr>
        <w:t xml:space="preserve">   </w:t>
      </w:r>
      <w:r>
        <w:rPr>
          <w:rFonts w:hAnsi="宋体"/>
          <w:szCs w:val="24"/>
        </w:rPr>
        <w:t>电线电缆识别标志方法</w:t>
      </w:r>
    </w:p>
    <w:p>
      <w:pPr>
        <w:numPr>
          <w:ilvl w:val="0"/>
          <w:numId w:val="2"/>
        </w:numPr>
        <w:jc w:val="left"/>
        <w:rPr>
          <w:rFonts w:hAnsi="宋体"/>
          <w:szCs w:val="24"/>
        </w:rPr>
      </w:pPr>
      <w:r>
        <w:rPr>
          <w:rFonts w:hint="eastAsia" w:hAnsi="宋体"/>
          <w:szCs w:val="24"/>
        </w:rPr>
        <w:t>GB/T 7971   半导电电缆纸</w:t>
      </w:r>
    </w:p>
    <w:p>
      <w:pPr>
        <w:numPr>
          <w:ilvl w:val="0"/>
          <w:numId w:val="2"/>
        </w:numPr>
        <w:jc w:val="left"/>
        <w:rPr>
          <w:rFonts w:hint="eastAsia" w:hAnsi="宋体"/>
          <w:szCs w:val="24"/>
        </w:rPr>
      </w:pPr>
      <w:r>
        <w:rPr>
          <w:rFonts w:hAnsi="宋体"/>
          <w:szCs w:val="24"/>
        </w:rPr>
        <w:t>GB</w:t>
      </w:r>
      <w:r>
        <w:rPr>
          <w:rFonts w:hint="eastAsia" w:hAnsi="宋体"/>
          <w:szCs w:val="24"/>
        </w:rPr>
        <w:t xml:space="preserve">/T </w:t>
      </w:r>
      <w:r>
        <w:rPr>
          <w:rFonts w:hAnsi="宋体"/>
          <w:szCs w:val="24"/>
        </w:rPr>
        <w:t>12666</w:t>
      </w:r>
      <w:r>
        <w:rPr>
          <w:rFonts w:hint="eastAsia" w:hAnsi="宋体"/>
          <w:szCs w:val="24"/>
        </w:rPr>
        <w:t xml:space="preserve">  单根电线电缆燃烧试验方法</w:t>
      </w:r>
    </w:p>
    <w:p>
      <w:pPr>
        <w:numPr>
          <w:ilvl w:val="0"/>
          <w:numId w:val="2"/>
        </w:numPr>
        <w:ind w:left="2268" w:hanging="1702"/>
        <w:jc w:val="left"/>
        <w:rPr>
          <w:rFonts w:hint="eastAsia" w:hAnsi="宋体"/>
          <w:szCs w:val="24"/>
        </w:rPr>
      </w:pPr>
      <w:r>
        <w:rPr>
          <w:rFonts w:hint="eastAsia" w:hAnsi="宋体"/>
          <w:szCs w:val="24"/>
        </w:rPr>
        <w:t>GB/T 12706  额定电压1kV（Um=1.2kV）到35kV（Um=40.5kV）挤包绝缘电力电缆及附件</w:t>
      </w:r>
    </w:p>
    <w:p>
      <w:pPr>
        <w:numPr>
          <w:ilvl w:val="0"/>
          <w:numId w:val="2"/>
        </w:numPr>
        <w:jc w:val="left"/>
        <w:rPr>
          <w:rFonts w:hint="eastAsia" w:hAnsi="宋体"/>
          <w:szCs w:val="24"/>
        </w:rPr>
      </w:pPr>
      <w:r>
        <w:rPr>
          <w:rFonts w:hint="eastAsia" w:hAnsi="宋体"/>
          <w:szCs w:val="24"/>
        </w:rPr>
        <w:t>GB/T 15065  电线电缆用黑色聚乙烯塑料</w:t>
      </w:r>
    </w:p>
    <w:p>
      <w:pPr>
        <w:numPr>
          <w:ilvl w:val="0"/>
          <w:numId w:val="2"/>
        </w:numPr>
        <w:jc w:val="left"/>
        <w:rPr>
          <w:rFonts w:hint="eastAsia" w:hAnsi="宋体"/>
          <w:szCs w:val="24"/>
        </w:rPr>
      </w:pPr>
      <w:r>
        <w:rPr>
          <w:rFonts w:hAnsi="宋体"/>
          <w:szCs w:val="24"/>
        </w:rPr>
        <w:t>GB</w:t>
      </w:r>
      <w:r>
        <w:rPr>
          <w:rFonts w:hint="eastAsia" w:hAnsi="宋体"/>
          <w:szCs w:val="24"/>
        </w:rPr>
        <w:t>/T 16927  高电压试验技术</w:t>
      </w:r>
    </w:p>
    <w:p>
      <w:pPr>
        <w:numPr>
          <w:ilvl w:val="0"/>
          <w:numId w:val="2"/>
        </w:numPr>
        <w:jc w:val="left"/>
        <w:rPr>
          <w:rFonts w:hAnsi="宋体"/>
          <w:szCs w:val="24"/>
        </w:rPr>
      </w:pPr>
      <w:r>
        <w:rPr>
          <w:rFonts w:hAnsi="宋体"/>
          <w:szCs w:val="24"/>
        </w:rPr>
        <w:t>GB</w:t>
      </w:r>
      <w:r>
        <w:rPr>
          <w:rFonts w:hint="eastAsia" w:hAnsi="宋体"/>
          <w:szCs w:val="24"/>
        </w:rPr>
        <w:t>/</w:t>
      </w:r>
      <w:r>
        <w:rPr>
          <w:rFonts w:hAnsi="宋体"/>
          <w:szCs w:val="24"/>
        </w:rPr>
        <w:t>T</w:t>
      </w:r>
      <w:r>
        <w:rPr>
          <w:rFonts w:hint="eastAsia" w:hAnsi="宋体"/>
          <w:szCs w:val="24"/>
        </w:rPr>
        <w:t xml:space="preserve"> </w:t>
      </w:r>
      <w:r>
        <w:rPr>
          <w:rFonts w:hAnsi="宋体"/>
          <w:szCs w:val="24"/>
        </w:rPr>
        <w:t>17650</w:t>
      </w:r>
      <w:r>
        <w:rPr>
          <w:rFonts w:hint="eastAsia" w:hAnsi="宋体"/>
          <w:szCs w:val="24"/>
        </w:rPr>
        <w:t xml:space="preserve">  取自</w:t>
      </w:r>
      <w:r>
        <w:rPr>
          <w:rFonts w:hAnsi="宋体"/>
          <w:szCs w:val="24"/>
        </w:rPr>
        <w:t>电缆或光缆的材料燃烧时释出气体的试验方法</w:t>
      </w:r>
    </w:p>
    <w:p>
      <w:pPr>
        <w:numPr>
          <w:ilvl w:val="0"/>
          <w:numId w:val="2"/>
        </w:numPr>
        <w:jc w:val="left"/>
        <w:rPr>
          <w:rFonts w:hint="eastAsia" w:hAnsi="宋体"/>
          <w:szCs w:val="24"/>
        </w:rPr>
      </w:pPr>
      <w:r>
        <w:rPr>
          <w:rFonts w:hAnsi="宋体"/>
          <w:szCs w:val="24"/>
        </w:rPr>
        <w:t>GB</w:t>
      </w:r>
      <w:r>
        <w:rPr>
          <w:rFonts w:hint="eastAsia" w:hAnsi="宋体"/>
          <w:szCs w:val="24"/>
        </w:rPr>
        <w:t>/</w:t>
      </w:r>
      <w:r>
        <w:rPr>
          <w:rFonts w:hAnsi="宋体"/>
          <w:szCs w:val="24"/>
        </w:rPr>
        <w:t>T</w:t>
      </w:r>
      <w:r>
        <w:rPr>
          <w:rFonts w:hint="eastAsia" w:hAnsi="宋体"/>
          <w:szCs w:val="24"/>
        </w:rPr>
        <w:t xml:space="preserve"> </w:t>
      </w:r>
      <w:r>
        <w:rPr>
          <w:rFonts w:hAnsi="宋体"/>
          <w:szCs w:val="24"/>
        </w:rPr>
        <w:t>17651</w:t>
      </w:r>
      <w:r>
        <w:rPr>
          <w:rFonts w:hint="eastAsia" w:hAnsi="宋体"/>
          <w:szCs w:val="24"/>
        </w:rPr>
        <w:t xml:space="preserve">  电缆或光缆在特定条件下燃烧的烟密度测定</w:t>
      </w:r>
    </w:p>
    <w:p>
      <w:pPr>
        <w:numPr>
          <w:ilvl w:val="0"/>
          <w:numId w:val="2"/>
        </w:numPr>
        <w:jc w:val="left"/>
        <w:rPr>
          <w:rFonts w:hint="eastAsia" w:hAnsi="宋体"/>
          <w:szCs w:val="24"/>
        </w:rPr>
      </w:pPr>
      <w:r>
        <w:rPr>
          <w:rFonts w:hAnsi="宋体"/>
          <w:szCs w:val="24"/>
        </w:rPr>
        <w:t>GB</w:t>
      </w:r>
      <w:r>
        <w:rPr>
          <w:rFonts w:hint="eastAsia" w:hAnsi="宋体"/>
          <w:szCs w:val="24"/>
        </w:rPr>
        <w:t>/</w:t>
      </w:r>
      <w:r>
        <w:rPr>
          <w:rFonts w:hAnsi="宋体"/>
          <w:szCs w:val="24"/>
        </w:rPr>
        <w:t>T</w:t>
      </w:r>
      <w:r>
        <w:rPr>
          <w:rFonts w:hint="eastAsia" w:hAnsi="宋体"/>
          <w:szCs w:val="24"/>
        </w:rPr>
        <w:t xml:space="preserve"> 18380  电缆和光缆在火焰条件下的燃烧试验</w:t>
      </w:r>
    </w:p>
    <w:p>
      <w:pPr>
        <w:numPr>
          <w:ilvl w:val="0"/>
          <w:numId w:val="2"/>
        </w:numPr>
        <w:jc w:val="left"/>
        <w:rPr>
          <w:rFonts w:hint="eastAsia" w:hAnsi="宋体"/>
          <w:szCs w:val="24"/>
        </w:rPr>
      </w:pPr>
      <w:r>
        <w:rPr>
          <w:rFonts w:hint="eastAsia" w:hAnsi="宋体"/>
          <w:szCs w:val="24"/>
        </w:rPr>
        <w:t>GB/T 19216  在火焰条件下电缆或光缆的线路完整性试验</w:t>
      </w:r>
    </w:p>
    <w:p>
      <w:pPr>
        <w:numPr>
          <w:ilvl w:val="0"/>
          <w:numId w:val="2"/>
        </w:numPr>
        <w:jc w:val="left"/>
        <w:rPr>
          <w:rFonts w:hint="eastAsia" w:hAnsi="宋体"/>
          <w:szCs w:val="24"/>
        </w:rPr>
      </w:pPr>
      <w:r>
        <w:rPr>
          <w:rFonts w:hint="eastAsia" w:hAnsi="宋体"/>
          <w:szCs w:val="24"/>
        </w:rPr>
        <w:t>GB/T 19666  阻燃和耐火电线电缆通则</w:t>
      </w:r>
    </w:p>
    <w:p>
      <w:pPr>
        <w:numPr>
          <w:ilvl w:val="0"/>
          <w:numId w:val="2"/>
        </w:numPr>
        <w:jc w:val="left"/>
        <w:rPr>
          <w:rFonts w:hint="eastAsia" w:hAnsi="宋体"/>
          <w:szCs w:val="24"/>
        </w:rPr>
      </w:pPr>
      <w:r>
        <w:rPr>
          <w:rFonts w:hint="eastAsia" w:hAnsi="宋体"/>
        </w:rPr>
        <w:t>GB/T 21762  电缆管理 电缆托盘系统和电缆梯架系统</w:t>
      </w:r>
    </w:p>
    <w:p>
      <w:pPr>
        <w:pStyle w:val="10"/>
        <w:spacing w:line="360" w:lineRule="auto"/>
        <w:rPr>
          <w:rFonts w:hint="eastAsia" w:ascii="宋体" w:hAnsi="宋体"/>
          <w:sz w:val="24"/>
        </w:rPr>
      </w:pPr>
    </w:p>
    <w:p>
      <w:pPr>
        <w:pStyle w:val="10"/>
        <w:rPr>
          <w:rFonts w:hint="eastAsia" w:ascii="宋体" w:hAnsi="宋体" w:cs="宋体"/>
          <w:b/>
          <w:bCs/>
          <w:szCs w:val="21"/>
        </w:rPr>
      </w:pPr>
      <w:r>
        <w:rPr>
          <w:rFonts w:hint="eastAsia" w:ascii="宋体" w:hAnsi="宋体" w:cs="宋体"/>
          <w:b/>
          <w:bCs/>
          <w:szCs w:val="21"/>
        </w:rPr>
        <w:t>2、运行条件和主要技术要求</w:t>
      </w:r>
    </w:p>
    <w:p>
      <w:pPr>
        <w:pStyle w:val="10"/>
        <w:rPr>
          <w:rFonts w:hint="eastAsia" w:ascii="宋体" w:hAnsi="宋体" w:cs="宋体"/>
          <w:szCs w:val="21"/>
        </w:rPr>
      </w:pPr>
      <w:r>
        <w:rPr>
          <w:rFonts w:hint="eastAsia" w:ascii="宋体" w:hAnsi="宋体" w:cs="宋体"/>
          <w:szCs w:val="21"/>
        </w:rPr>
        <w:t>2.1 运行条件</w:t>
      </w:r>
    </w:p>
    <w:p>
      <w:pPr>
        <w:pStyle w:val="10"/>
        <w:rPr>
          <w:rFonts w:hint="eastAsia" w:ascii="宋体" w:hAnsi="宋体" w:cs="宋体"/>
          <w:szCs w:val="21"/>
        </w:rPr>
      </w:pPr>
      <w:r>
        <w:rPr>
          <w:rFonts w:hint="eastAsia" w:ascii="宋体" w:hAnsi="宋体" w:cs="宋体"/>
          <w:szCs w:val="21"/>
        </w:rPr>
        <w:t>2.1.1 概述</w:t>
      </w:r>
    </w:p>
    <w:p>
      <w:pPr>
        <w:pStyle w:val="10"/>
        <w:rPr>
          <w:rFonts w:hint="eastAsia" w:ascii="宋体" w:hAnsi="宋体" w:cs="宋体"/>
          <w:szCs w:val="21"/>
        </w:rPr>
      </w:pPr>
      <w:r>
        <w:rPr>
          <w:rFonts w:hint="eastAsia" w:ascii="宋体" w:hAnsi="宋体" w:cs="宋体"/>
          <w:szCs w:val="21"/>
        </w:rPr>
        <w:t>2.1.1.1 卖方提供的设备应满足环境条件的要求，因为环境条件对设备的寿命、结构和运行可靠性有直接影响。</w:t>
      </w:r>
    </w:p>
    <w:p>
      <w:pPr>
        <w:pStyle w:val="10"/>
        <w:rPr>
          <w:rFonts w:hint="eastAsia" w:ascii="宋体" w:hAnsi="宋体" w:cs="宋体"/>
          <w:szCs w:val="21"/>
        </w:rPr>
      </w:pPr>
      <w:r>
        <w:rPr>
          <w:rFonts w:hint="eastAsia" w:ascii="宋体" w:hAnsi="宋体" w:cs="宋体"/>
          <w:szCs w:val="21"/>
        </w:rPr>
        <w:t>2.1.1.2 卖方应保证提供的所有材料、设备、精加工件、装置和系统在运输、卸货、搬运、储存、安装和运行中能经得起环境条件的考验，并且没有损坏，能长期满容量连续运行。</w:t>
      </w:r>
    </w:p>
    <w:p>
      <w:pPr>
        <w:pStyle w:val="10"/>
        <w:rPr>
          <w:rFonts w:hint="eastAsia" w:ascii="宋体" w:hAnsi="宋体" w:cs="宋体"/>
          <w:szCs w:val="21"/>
        </w:rPr>
      </w:pPr>
      <w:r>
        <w:rPr>
          <w:rFonts w:hint="eastAsia" w:ascii="宋体" w:hAnsi="宋体" w:cs="宋体"/>
          <w:szCs w:val="21"/>
        </w:rPr>
        <w:t>2.1.2 基本环境条件</w:t>
      </w:r>
    </w:p>
    <w:p>
      <w:pPr>
        <w:pStyle w:val="10"/>
        <w:rPr>
          <w:rFonts w:hint="eastAsia" w:ascii="宋体" w:hAnsi="宋体" w:cs="宋体"/>
          <w:szCs w:val="21"/>
        </w:rPr>
      </w:pPr>
      <w:r>
        <w:rPr>
          <w:rFonts w:hint="eastAsia" w:ascii="宋体" w:hAnsi="宋体" w:cs="宋体"/>
          <w:szCs w:val="21"/>
        </w:rPr>
        <w:t>2.1.2.1 环境温度</w:t>
      </w:r>
    </w:p>
    <w:p>
      <w:pPr>
        <w:pStyle w:val="10"/>
        <w:rPr>
          <w:rFonts w:hint="eastAsia" w:ascii="宋体" w:hAnsi="宋体" w:cs="宋体"/>
          <w:szCs w:val="21"/>
        </w:rPr>
      </w:pPr>
      <w:r>
        <w:rPr>
          <w:rFonts w:hint="eastAsia" w:ascii="宋体" w:hAnsi="宋体" w:cs="宋体"/>
          <w:szCs w:val="21"/>
        </w:rPr>
        <w:t>最高环境温度</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40C</w:t>
      </w:r>
    </w:p>
    <w:p>
      <w:pPr>
        <w:pStyle w:val="10"/>
        <w:rPr>
          <w:rFonts w:hint="eastAsia" w:ascii="宋体" w:hAnsi="宋体" w:cs="宋体"/>
          <w:szCs w:val="21"/>
        </w:rPr>
      </w:pPr>
      <w:r>
        <w:rPr>
          <w:rFonts w:hint="eastAsia" w:ascii="宋体" w:hAnsi="宋体" w:cs="宋体"/>
          <w:szCs w:val="21"/>
        </w:rPr>
        <w:t>室外最低环境温度</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-30.9C</w:t>
      </w:r>
    </w:p>
    <w:p>
      <w:pPr>
        <w:pStyle w:val="10"/>
        <w:rPr>
          <w:rFonts w:hint="eastAsia" w:ascii="宋体" w:hAnsi="宋体" w:cs="宋体"/>
          <w:szCs w:val="21"/>
        </w:rPr>
      </w:pPr>
      <w:r>
        <w:rPr>
          <w:rFonts w:hint="eastAsia" w:ascii="宋体" w:hAnsi="宋体" w:cs="宋体"/>
          <w:szCs w:val="21"/>
        </w:rPr>
        <w:t>室内最低环境温度</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-5C</w:t>
      </w:r>
    </w:p>
    <w:p>
      <w:pPr>
        <w:pStyle w:val="10"/>
        <w:rPr>
          <w:rFonts w:hint="eastAsia" w:ascii="宋体" w:hAnsi="宋体" w:cs="宋体"/>
          <w:szCs w:val="21"/>
        </w:rPr>
      </w:pPr>
      <w:r>
        <w:rPr>
          <w:rFonts w:hint="eastAsia" w:ascii="宋体" w:hAnsi="宋体" w:cs="宋体"/>
          <w:szCs w:val="21"/>
        </w:rPr>
        <w:t>2.1.2.2 月平均相对湿度</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54%</w:t>
      </w:r>
    </w:p>
    <w:p>
      <w:pPr>
        <w:pStyle w:val="10"/>
        <w:rPr>
          <w:rFonts w:hint="eastAsia" w:ascii="宋体" w:hAnsi="宋体" w:cs="宋体"/>
          <w:szCs w:val="21"/>
        </w:rPr>
      </w:pPr>
      <w:r>
        <w:rPr>
          <w:rFonts w:hint="eastAsia" w:ascii="宋体" w:hAnsi="宋体" w:cs="宋体"/>
          <w:szCs w:val="21"/>
        </w:rPr>
        <w:t>2.1.2.3 海拔高度</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1260m</w:t>
      </w:r>
    </w:p>
    <w:p>
      <w:pPr>
        <w:pStyle w:val="10"/>
        <w:rPr>
          <w:rFonts w:hint="eastAsia" w:ascii="宋体" w:hAnsi="宋体" w:cs="宋体"/>
          <w:szCs w:val="21"/>
        </w:rPr>
      </w:pPr>
      <w:r>
        <w:rPr>
          <w:rFonts w:hint="eastAsia" w:ascii="宋体" w:hAnsi="宋体" w:cs="宋体"/>
          <w:szCs w:val="21"/>
        </w:rPr>
        <w:t>2.1.2.4 地震基本烈度                         6度，按7度设防</w:t>
      </w:r>
    </w:p>
    <w:p>
      <w:pPr>
        <w:pStyle w:val="10"/>
        <w:rPr>
          <w:rFonts w:hint="eastAsia" w:ascii="宋体" w:hAnsi="宋体" w:cs="宋体"/>
          <w:szCs w:val="21"/>
        </w:rPr>
      </w:pPr>
      <w:r>
        <w:rPr>
          <w:rFonts w:hint="eastAsia" w:ascii="宋体" w:hAnsi="宋体" w:cs="宋体"/>
          <w:szCs w:val="21"/>
        </w:rPr>
        <w:t>2.1.2.5 最大风速</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28.3m/s</w:t>
      </w:r>
    </w:p>
    <w:p>
      <w:pPr>
        <w:pStyle w:val="10"/>
        <w:rPr>
          <w:rFonts w:hint="eastAsia" w:ascii="宋体" w:hAnsi="宋体" w:cs="宋体"/>
          <w:szCs w:val="21"/>
        </w:rPr>
      </w:pPr>
      <w:r>
        <w:rPr>
          <w:rFonts w:hint="eastAsia" w:ascii="宋体" w:hAnsi="宋体" w:cs="宋体"/>
          <w:szCs w:val="21"/>
        </w:rPr>
        <w:t>2.1.2.6 覆冰厚度</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15mm</w:t>
      </w:r>
    </w:p>
    <w:p>
      <w:pPr>
        <w:pStyle w:val="10"/>
        <w:rPr>
          <w:rFonts w:hint="eastAsia" w:ascii="宋体" w:hAnsi="宋体" w:cs="宋体"/>
          <w:szCs w:val="21"/>
        </w:rPr>
      </w:pPr>
      <w:r>
        <w:rPr>
          <w:rFonts w:hint="eastAsia" w:ascii="宋体" w:hAnsi="宋体" w:cs="宋体"/>
          <w:szCs w:val="21"/>
        </w:rPr>
        <w:t>2.1.2.7 日照强度(风速0.5m/s)</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0.1W/cm2</w:t>
      </w:r>
    </w:p>
    <w:p>
      <w:pPr>
        <w:pStyle w:val="10"/>
        <w:rPr>
          <w:rFonts w:hint="eastAsia" w:ascii="宋体" w:hAnsi="宋体" w:cs="宋体"/>
          <w:szCs w:val="21"/>
        </w:rPr>
      </w:pPr>
      <w:r>
        <w:rPr>
          <w:rFonts w:hint="eastAsia" w:ascii="宋体" w:hAnsi="宋体" w:cs="宋体"/>
          <w:szCs w:val="21"/>
        </w:rPr>
        <w:t>2.1.3 工程条件</w:t>
      </w:r>
    </w:p>
    <w:p>
      <w:pPr>
        <w:pStyle w:val="10"/>
        <w:rPr>
          <w:rFonts w:hint="eastAsia" w:ascii="宋体" w:hAnsi="宋体" w:cs="宋体"/>
          <w:szCs w:val="21"/>
        </w:rPr>
      </w:pPr>
      <w:r>
        <w:rPr>
          <w:rFonts w:hint="eastAsia" w:ascii="宋体" w:hAnsi="宋体" w:cs="宋体"/>
          <w:szCs w:val="21"/>
        </w:rPr>
        <w:t>2.1.3.1 系统电压</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6kV</w:t>
      </w:r>
    </w:p>
    <w:p>
      <w:pPr>
        <w:pStyle w:val="10"/>
        <w:rPr>
          <w:rFonts w:hint="eastAsia" w:ascii="宋体" w:hAnsi="宋体" w:cs="宋体"/>
          <w:szCs w:val="21"/>
        </w:rPr>
      </w:pPr>
      <w:r>
        <w:rPr>
          <w:rFonts w:hint="eastAsia" w:ascii="宋体" w:hAnsi="宋体" w:cs="宋体"/>
          <w:szCs w:val="21"/>
        </w:rPr>
        <w:t>2.1.3.2 系统最高电压</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7.2kV</w:t>
      </w:r>
    </w:p>
    <w:p>
      <w:pPr>
        <w:pStyle w:val="10"/>
        <w:rPr>
          <w:rFonts w:hint="eastAsia" w:ascii="宋体" w:hAnsi="宋体" w:cs="宋体"/>
          <w:szCs w:val="21"/>
        </w:rPr>
      </w:pPr>
      <w:r>
        <w:rPr>
          <w:rFonts w:hint="eastAsia" w:ascii="宋体" w:hAnsi="宋体" w:cs="宋体"/>
          <w:szCs w:val="21"/>
        </w:rPr>
        <w:t>2.1.3.3 系统频率</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50Hz</w:t>
      </w:r>
    </w:p>
    <w:p>
      <w:pPr>
        <w:pStyle w:val="10"/>
        <w:rPr>
          <w:rFonts w:hint="eastAsia" w:ascii="宋体" w:hAnsi="宋体" w:cs="宋体"/>
          <w:szCs w:val="21"/>
        </w:rPr>
      </w:pPr>
      <w:r>
        <w:rPr>
          <w:rFonts w:hint="eastAsia" w:ascii="宋体" w:hAnsi="宋体" w:cs="宋体"/>
          <w:szCs w:val="21"/>
        </w:rPr>
        <w:t>2.1.3.4 中性点接地方式                      电阻接地，接地电流200A</w:t>
      </w:r>
    </w:p>
    <w:p>
      <w:pPr>
        <w:pStyle w:val="10"/>
        <w:rPr>
          <w:rFonts w:hint="eastAsia" w:ascii="宋体" w:hAnsi="宋体" w:cs="宋体"/>
          <w:szCs w:val="21"/>
        </w:rPr>
      </w:pPr>
      <w:r>
        <w:rPr>
          <w:rFonts w:hint="eastAsia" w:ascii="宋体" w:hAnsi="宋体" w:cs="宋体"/>
          <w:szCs w:val="21"/>
        </w:rPr>
        <w:t>2.1.3.5 安装地点</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室内和室外</w:t>
      </w:r>
    </w:p>
    <w:p>
      <w:pPr>
        <w:pStyle w:val="10"/>
        <w:rPr>
          <w:rFonts w:hint="eastAsia" w:ascii="宋体" w:hAnsi="宋体" w:cs="宋体"/>
          <w:szCs w:val="21"/>
        </w:rPr>
      </w:pPr>
      <w:r>
        <w:rPr>
          <w:rFonts w:hint="eastAsia" w:ascii="宋体" w:hAnsi="宋体" w:cs="宋体"/>
          <w:szCs w:val="21"/>
        </w:rPr>
        <w:t>2.1.3.6 电缆敷设方式                        电缆托架架空敷设</w:t>
      </w:r>
    </w:p>
    <w:p>
      <w:pPr>
        <w:pStyle w:val="10"/>
        <w:ind w:firstLine="4620" w:firstLineChars="2200"/>
        <w:rPr>
          <w:rFonts w:hint="eastAsia" w:ascii="宋体" w:hAnsi="宋体" w:cs="宋体"/>
          <w:szCs w:val="21"/>
        </w:rPr>
      </w:pPr>
      <w:r>
        <w:rPr>
          <w:rFonts w:hint="eastAsia" w:ascii="宋体" w:hAnsi="宋体" w:cs="宋体"/>
          <w:szCs w:val="21"/>
        </w:rPr>
        <w:t>电缆沟电缆托架敷设</w:t>
      </w:r>
    </w:p>
    <w:p>
      <w:pPr>
        <w:pStyle w:val="10"/>
        <w:ind w:firstLine="4410" w:firstLineChars="2100"/>
        <w:rPr>
          <w:rFonts w:hint="eastAsia" w:ascii="宋体" w:hAnsi="宋体" w:cs="宋体"/>
          <w:szCs w:val="21"/>
        </w:rPr>
      </w:pPr>
      <w:r>
        <w:rPr>
          <w:rFonts w:hint="eastAsia" w:ascii="宋体" w:hAnsi="宋体" w:cs="宋体"/>
          <w:szCs w:val="21"/>
        </w:rPr>
        <w:t>穿瓦斯管敷设</w:t>
      </w:r>
    </w:p>
    <w:p>
      <w:pPr>
        <w:pStyle w:val="10"/>
        <w:ind w:firstLine="4410" w:firstLineChars="2100"/>
        <w:rPr>
          <w:rFonts w:hint="eastAsia" w:ascii="宋体" w:hAnsi="宋体" w:cs="宋体"/>
          <w:szCs w:val="21"/>
        </w:rPr>
      </w:pPr>
      <w:r>
        <w:rPr>
          <w:rFonts w:hint="eastAsia" w:ascii="宋体" w:hAnsi="宋体" w:cs="宋体"/>
          <w:szCs w:val="21"/>
        </w:rPr>
        <w:t xml:space="preserve">直埋敷设 </w:t>
      </w:r>
    </w:p>
    <w:p>
      <w:pPr>
        <w:pStyle w:val="10"/>
        <w:rPr>
          <w:rFonts w:hint="eastAsia" w:ascii="宋体" w:hAnsi="宋体" w:cs="宋体"/>
          <w:szCs w:val="21"/>
        </w:rPr>
      </w:pPr>
      <w:r>
        <w:rPr>
          <w:rFonts w:hint="eastAsia" w:ascii="宋体" w:hAnsi="宋体" w:cs="宋体"/>
          <w:szCs w:val="21"/>
        </w:rPr>
        <w:t>2.1.3.7 电缆额定电流应要求见表。</w:t>
      </w:r>
    </w:p>
    <w:p>
      <w:pPr>
        <w:pStyle w:val="10"/>
        <w:jc w:val="center"/>
        <w:rPr>
          <w:rFonts w:hint="eastAsia" w:ascii="宋体" w:hAnsi="宋体" w:cs="宋体"/>
          <w:szCs w:val="21"/>
        </w:rPr>
      </w:pPr>
      <w:r>
        <w:rPr>
          <w:rFonts w:hint="eastAsia" w:ascii="宋体" w:hAnsi="宋体" w:cs="宋体"/>
          <w:b/>
          <w:bCs/>
          <w:sz w:val="24"/>
        </w:rPr>
        <w:t>电力电缆额定电流</w:t>
      </w:r>
    </w:p>
    <w:tbl>
      <w:tblPr>
        <w:tblStyle w:val="8"/>
        <w:tblpPr w:leftFromText="180" w:rightFromText="180" w:vertAnchor="text" w:horzAnchor="page" w:tblpX="2037" w:tblpY="480"/>
        <w:tblOverlap w:val="never"/>
        <w:tblW w:w="8194" w:type="dxa"/>
        <w:tblInd w:w="0" w:type="dxa"/>
        <w:tblLayout w:type="fixed"/>
        <w:tblCellMar>
          <w:top w:w="0" w:type="dxa"/>
          <w:left w:w="0" w:type="dxa"/>
          <w:bottom w:w="0" w:type="dxa"/>
          <w:right w:w="0" w:type="dxa"/>
        </w:tblCellMar>
      </w:tblPr>
      <w:tblGrid>
        <w:gridCol w:w="580"/>
        <w:gridCol w:w="1918"/>
        <w:gridCol w:w="1424"/>
        <w:gridCol w:w="578"/>
        <w:gridCol w:w="2270"/>
        <w:gridCol w:w="1424"/>
      </w:tblGrid>
      <w:tr>
        <w:tblPrEx>
          <w:tblLayout w:type="fixed"/>
          <w:tblCellMar>
            <w:top w:w="0" w:type="dxa"/>
            <w:left w:w="0" w:type="dxa"/>
            <w:bottom w:w="0" w:type="dxa"/>
            <w:right w:w="0" w:type="dxa"/>
          </w:tblCellMar>
        </w:tblPrEx>
        <w:trPr>
          <w:cantSplit/>
          <w:trHeight w:val="628" w:hRule="atLeast"/>
        </w:trPr>
        <w:tc>
          <w:tcPr>
            <w:tcW w:w="580" w:type="dxa"/>
            <w:tcBorders>
              <w:top w:val="single" w:color="auto" w:sz="4" w:space="0"/>
              <w:left w:val="single" w:color="auto" w:sz="4" w:space="0"/>
              <w:bottom w:val="single" w:color="000000" w:sz="4" w:space="0"/>
              <w:right w:val="single" w:color="auto" w:sz="4" w:space="0"/>
            </w:tcBorders>
            <w:tcMar>
              <w:top w:w="13" w:type="dxa"/>
              <w:left w:w="13" w:type="dxa"/>
              <w:bottom w:w="0" w:type="dxa"/>
              <w:right w:w="13" w:type="dxa"/>
            </w:tcMar>
            <w:vAlign w:val="center"/>
          </w:tcPr>
          <w:p>
            <w:pPr>
              <w:widowControl/>
              <w:jc w:val="center"/>
              <w:rPr>
                <w:rFonts w:hAnsi="宋体" w:cs="宋体"/>
                <w:kern w:val="0"/>
                <w:szCs w:val="24"/>
              </w:rPr>
            </w:pPr>
            <w:r>
              <w:rPr>
                <w:rFonts w:hint="eastAsia" w:hAnsi="宋体" w:cs="宋体"/>
                <w:kern w:val="0"/>
                <w:szCs w:val="24"/>
              </w:rPr>
              <w:t>序号</w:t>
            </w:r>
          </w:p>
        </w:tc>
        <w:tc>
          <w:tcPr>
            <w:tcW w:w="1918" w:type="dxa"/>
            <w:tcBorders>
              <w:top w:val="single" w:color="auto" w:sz="4" w:space="0"/>
              <w:left w:val="single" w:color="auto" w:sz="4" w:space="0"/>
              <w:bottom w:val="single" w:color="000000" w:sz="4" w:space="0"/>
              <w:right w:val="single" w:color="auto" w:sz="4" w:space="0"/>
            </w:tcBorders>
            <w:tcMar>
              <w:top w:w="13" w:type="dxa"/>
              <w:left w:w="13" w:type="dxa"/>
              <w:bottom w:w="0" w:type="dxa"/>
              <w:right w:w="13" w:type="dxa"/>
            </w:tcMar>
            <w:vAlign w:val="center"/>
          </w:tcPr>
          <w:p>
            <w:pPr>
              <w:widowControl/>
              <w:jc w:val="center"/>
              <w:rPr>
                <w:rFonts w:hAnsi="宋体" w:cs="宋体"/>
                <w:kern w:val="0"/>
                <w:szCs w:val="24"/>
              </w:rPr>
            </w:pPr>
            <w:r>
              <w:rPr>
                <w:rFonts w:hint="eastAsia" w:hAnsi="宋体"/>
                <w:szCs w:val="24"/>
              </w:rPr>
              <w:t>芯数x标称截面mm</w:t>
            </w:r>
            <w:r>
              <w:rPr>
                <w:rFonts w:hint="eastAsia" w:hAnsi="宋体"/>
                <w:szCs w:val="24"/>
                <w:vertAlign w:val="superscript"/>
              </w:rPr>
              <w:t>2</w:t>
            </w:r>
          </w:p>
        </w:tc>
        <w:tc>
          <w:tcPr>
            <w:tcW w:w="1424" w:type="dxa"/>
            <w:tcBorders>
              <w:top w:val="single" w:color="auto" w:sz="4" w:space="0"/>
              <w:left w:val="nil"/>
              <w:bottom w:val="single" w:color="auto" w:sz="4" w:space="0"/>
              <w:right w:val="single" w:color="000000" w:sz="4" w:space="0"/>
            </w:tcBorders>
            <w:tcMar>
              <w:top w:w="13" w:type="dxa"/>
              <w:left w:w="13" w:type="dxa"/>
              <w:bottom w:w="0" w:type="dxa"/>
              <w:right w:w="13" w:type="dxa"/>
            </w:tcMar>
            <w:vAlign w:val="center"/>
          </w:tcPr>
          <w:p>
            <w:pPr>
              <w:widowControl/>
              <w:jc w:val="center"/>
              <w:rPr>
                <w:rFonts w:hAnsi="宋体" w:cs="宋体"/>
                <w:kern w:val="0"/>
                <w:szCs w:val="24"/>
              </w:rPr>
            </w:pPr>
            <w:r>
              <w:rPr>
                <w:rFonts w:hint="eastAsia" w:hAnsi="宋体" w:cs="宋体"/>
                <w:kern w:val="0"/>
                <w:szCs w:val="24"/>
              </w:rPr>
              <w:t>额定电流(A)</w:t>
            </w:r>
          </w:p>
        </w:tc>
        <w:tc>
          <w:tcPr>
            <w:tcW w:w="578" w:type="dxa"/>
            <w:tcBorders>
              <w:top w:val="single" w:color="auto" w:sz="4" w:space="0"/>
              <w:left w:val="nil"/>
              <w:bottom w:val="single" w:color="auto" w:sz="4" w:space="0"/>
              <w:right w:val="single" w:color="000000" w:sz="4" w:space="0"/>
            </w:tcBorders>
            <w:tcMar>
              <w:top w:w="13" w:type="dxa"/>
              <w:left w:w="13" w:type="dxa"/>
              <w:bottom w:w="0" w:type="dxa"/>
              <w:right w:w="13" w:type="dxa"/>
            </w:tcMar>
            <w:vAlign w:val="center"/>
          </w:tcPr>
          <w:p>
            <w:pPr>
              <w:widowControl/>
              <w:jc w:val="center"/>
              <w:rPr>
                <w:rFonts w:hint="eastAsia" w:hAnsi="宋体" w:cs="宋体"/>
                <w:kern w:val="0"/>
                <w:szCs w:val="24"/>
              </w:rPr>
            </w:pPr>
            <w:r>
              <w:rPr>
                <w:rFonts w:hint="eastAsia" w:hAnsi="宋体" w:cs="宋体"/>
                <w:kern w:val="0"/>
                <w:szCs w:val="24"/>
              </w:rPr>
              <w:t>序号</w:t>
            </w:r>
          </w:p>
        </w:tc>
        <w:tc>
          <w:tcPr>
            <w:tcW w:w="2270" w:type="dxa"/>
            <w:tcBorders>
              <w:top w:val="single" w:color="auto" w:sz="4" w:space="0"/>
              <w:left w:val="nil"/>
              <w:bottom w:val="single" w:color="auto" w:sz="4" w:space="0"/>
              <w:right w:val="single" w:color="000000" w:sz="4" w:space="0"/>
            </w:tcBorders>
            <w:tcMar>
              <w:top w:w="13" w:type="dxa"/>
              <w:left w:w="13" w:type="dxa"/>
              <w:bottom w:w="0" w:type="dxa"/>
              <w:right w:w="13" w:type="dxa"/>
            </w:tcMar>
            <w:vAlign w:val="center"/>
          </w:tcPr>
          <w:p>
            <w:pPr>
              <w:widowControl/>
              <w:jc w:val="center"/>
              <w:rPr>
                <w:rFonts w:hint="eastAsia" w:hAnsi="宋体" w:cs="宋体"/>
                <w:kern w:val="0"/>
                <w:szCs w:val="24"/>
              </w:rPr>
            </w:pPr>
            <w:r>
              <w:rPr>
                <w:rFonts w:hint="eastAsia" w:hAnsi="宋体"/>
                <w:szCs w:val="24"/>
              </w:rPr>
              <w:t>芯数x标称截面mm</w:t>
            </w:r>
            <w:r>
              <w:rPr>
                <w:rFonts w:hint="eastAsia" w:hAnsi="宋体"/>
                <w:szCs w:val="24"/>
                <w:vertAlign w:val="superscript"/>
              </w:rPr>
              <w:t>2</w:t>
            </w:r>
          </w:p>
        </w:tc>
        <w:tc>
          <w:tcPr>
            <w:tcW w:w="1424" w:type="dxa"/>
            <w:tcBorders>
              <w:top w:val="single" w:color="auto" w:sz="4" w:space="0"/>
              <w:left w:val="nil"/>
              <w:bottom w:val="single" w:color="auto" w:sz="4" w:space="0"/>
              <w:right w:val="single" w:color="000000" w:sz="4" w:space="0"/>
            </w:tcBorders>
            <w:tcMar>
              <w:top w:w="13" w:type="dxa"/>
              <w:left w:w="13" w:type="dxa"/>
              <w:bottom w:w="0" w:type="dxa"/>
              <w:right w:w="13" w:type="dxa"/>
            </w:tcMar>
            <w:vAlign w:val="center"/>
          </w:tcPr>
          <w:p>
            <w:pPr>
              <w:widowControl/>
              <w:jc w:val="center"/>
              <w:rPr>
                <w:rFonts w:hint="eastAsia" w:hAnsi="宋体" w:cs="宋体"/>
                <w:kern w:val="0"/>
                <w:szCs w:val="24"/>
              </w:rPr>
            </w:pPr>
            <w:r>
              <w:rPr>
                <w:rFonts w:hint="eastAsia" w:hAnsi="宋体" w:cs="宋体"/>
                <w:kern w:val="0"/>
                <w:szCs w:val="24"/>
              </w:rPr>
              <w:t>额定电流(A)</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Ansi="宋体"/>
                <w:szCs w:val="24"/>
              </w:rPr>
              <w:t>1</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Ansi="宋体"/>
                <w:szCs w:val="24"/>
              </w:rPr>
              <w:t>3×70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223</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23</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4x25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121</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Ansi="宋体"/>
                <w:szCs w:val="24"/>
              </w:rPr>
              <w:t>2</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Ansi="宋体"/>
                <w:szCs w:val="24"/>
              </w:rPr>
              <w:t>3×95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270</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24</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2x35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180</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Ansi="宋体"/>
                <w:szCs w:val="24"/>
              </w:rPr>
              <w:t>3</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Ansi="宋体"/>
                <w:szCs w:val="24"/>
              </w:rPr>
              <w:t>3×120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317</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25</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3x35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150</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Ansi="宋体"/>
                <w:szCs w:val="24"/>
              </w:rPr>
              <w:t>4</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Ansi="宋体"/>
                <w:szCs w:val="24"/>
              </w:rPr>
              <w:t>3×150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357</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26</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4x35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157</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Ansi="宋体"/>
                <w:szCs w:val="24"/>
              </w:rPr>
              <w:t>5</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Ansi="宋体"/>
                <w:szCs w:val="24"/>
              </w:rPr>
              <w:t>3×185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417</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27</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2x50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216</w:t>
            </w:r>
          </w:p>
        </w:tc>
      </w:tr>
      <w:tr>
        <w:tblPrEx>
          <w:tblLayout w:type="fixed"/>
          <w:tblCellMar>
            <w:top w:w="0" w:type="dxa"/>
            <w:left w:w="0" w:type="dxa"/>
            <w:bottom w:w="0" w:type="dxa"/>
            <w:right w:w="0" w:type="dxa"/>
          </w:tblCellMar>
        </w:tblPrEx>
        <w:trPr>
          <w:trHeight w:val="439" w:hRule="atLeast"/>
        </w:trPr>
        <w:tc>
          <w:tcPr>
            <w:tcW w:w="5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6</w:t>
            </w:r>
          </w:p>
        </w:tc>
        <w:tc>
          <w:tcPr>
            <w:tcW w:w="1918"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2x2.5</w:t>
            </w:r>
          </w:p>
        </w:tc>
        <w:tc>
          <w:tcPr>
            <w:tcW w:w="1424"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 xml:space="preserve">31 </w:t>
            </w:r>
          </w:p>
        </w:tc>
        <w:tc>
          <w:tcPr>
            <w:tcW w:w="578"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28</w:t>
            </w:r>
          </w:p>
        </w:tc>
        <w:tc>
          <w:tcPr>
            <w:tcW w:w="227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3x50</w:t>
            </w:r>
          </w:p>
        </w:tc>
        <w:tc>
          <w:tcPr>
            <w:tcW w:w="1424"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182</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7</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3x2.5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27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29</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3x50+25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190</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8</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4x2.5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27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30</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2x70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272</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9</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2x4</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40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31</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3x70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228</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10</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3x4</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35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32</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3x70+35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240</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11</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4x4</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35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33</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2x95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323</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12</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2x6</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57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34</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3x95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273</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13</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3x6</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49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35</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3x95+50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288</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14</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4x6</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49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36</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2x120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370</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15</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2x10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77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37</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3x120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314</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16</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3x10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67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38</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3x120+70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329</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17</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4x10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67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39</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2x150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421</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18</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2x16</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102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40</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3x150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360</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19</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3x16</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89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41</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3x150+70</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378</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20</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4x16</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 xml:space="preserve">89 </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42</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2x185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476</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21</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2x25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139</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43</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3x185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410</w:t>
            </w:r>
          </w:p>
        </w:tc>
      </w:tr>
      <w:tr>
        <w:tblPrEx>
          <w:tblLayout w:type="fixed"/>
          <w:tblCellMar>
            <w:top w:w="0" w:type="dxa"/>
            <w:left w:w="0" w:type="dxa"/>
            <w:bottom w:w="0" w:type="dxa"/>
            <w:right w:w="0" w:type="dxa"/>
          </w:tblCellMar>
        </w:tblPrEx>
        <w:trPr>
          <w:trHeight w:val="439" w:hRule="atLeast"/>
        </w:trPr>
        <w:tc>
          <w:tcPr>
            <w:tcW w:w="580"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22</w:t>
            </w:r>
          </w:p>
        </w:tc>
        <w:tc>
          <w:tcPr>
            <w:tcW w:w="191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3x25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Ansi="宋体"/>
                <w:szCs w:val="24"/>
              </w:rPr>
            </w:pPr>
            <w:r>
              <w:rPr>
                <w:rFonts w:hint="eastAsia" w:hAnsi="宋体"/>
                <w:szCs w:val="24"/>
              </w:rPr>
              <w:t>118</w:t>
            </w:r>
          </w:p>
        </w:tc>
        <w:tc>
          <w:tcPr>
            <w:tcW w:w="578"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44</w:t>
            </w:r>
          </w:p>
        </w:tc>
        <w:tc>
          <w:tcPr>
            <w:tcW w:w="2270"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3x185+95</w:t>
            </w:r>
          </w:p>
        </w:tc>
        <w:tc>
          <w:tcPr>
            <w:tcW w:w="1424" w:type="dxa"/>
            <w:tcBorders>
              <w:top w:val="nil"/>
              <w:left w:val="nil"/>
              <w:bottom w:val="single" w:color="auto" w:sz="4" w:space="0"/>
              <w:right w:val="single" w:color="auto" w:sz="4" w:space="0"/>
            </w:tcBorders>
            <w:tcMar>
              <w:top w:w="13" w:type="dxa"/>
              <w:left w:w="13" w:type="dxa"/>
              <w:bottom w:w="0" w:type="dxa"/>
              <w:right w:w="13" w:type="dxa"/>
            </w:tcMar>
            <w:vAlign w:val="center"/>
          </w:tcPr>
          <w:p>
            <w:pPr>
              <w:jc w:val="center"/>
              <w:rPr>
                <w:rFonts w:hint="eastAsia" w:hAnsi="宋体"/>
                <w:szCs w:val="24"/>
              </w:rPr>
            </w:pPr>
            <w:r>
              <w:rPr>
                <w:rFonts w:hint="eastAsia" w:hAnsi="宋体"/>
                <w:szCs w:val="24"/>
              </w:rPr>
              <w:t>429</w:t>
            </w:r>
          </w:p>
        </w:tc>
      </w:tr>
    </w:tbl>
    <w:p>
      <w:pPr>
        <w:pStyle w:val="10"/>
        <w:rPr>
          <w:rFonts w:hint="eastAsia" w:ascii="宋体" w:hAnsi="宋体" w:cs="宋体"/>
          <w:szCs w:val="21"/>
        </w:rPr>
      </w:pPr>
    </w:p>
    <w:p>
      <w:pPr>
        <w:pStyle w:val="10"/>
        <w:rPr>
          <w:rFonts w:hint="eastAsia" w:ascii="宋体" w:hAnsi="宋体" w:cs="宋体"/>
          <w:szCs w:val="21"/>
        </w:rPr>
      </w:pPr>
      <w:r>
        <w:rPr>
          <w:rFonts w:hint="eastAsia" w:ascii="宋体" w:hAnsi="宋体" w:cs="宋体"/>
          <w:szCs w:val="21"/>
        </w:rPr>
        <w:t>特别说明：</w:t>
      </w:r>
    </w:p>
    <w:p>
      <w:pPr>
        <w:pStyle w:val="10"/>
        <w:ind w:left="630" w:leftChars="300"/>
        <w:rPr>
          <w:rFonts w:hint="eastAsia" w:ascii="宋体" w:hAnsi="宋体" w:cs="宋体"/>
          <w:szCs w:val="21"/>
        </w:rPr>
      </w:pPr>
      <w:r>
        <w:rPr>
          <w:rFonts w:hint="eastAsia" w:ascii="宋体" w:hAnsi="宋体" w:cs="宋体"/>
          <w:szCs w:val="21"/>
        </w:rPr>
        <w:t>导体材质：铜；</w:t>
      </w:r>
    </w:p>
    <w:p>
      <w:pPr>
        <w:pStyle w:val="10"/>
        <w:ind w:left="630" w:leftChars="300"/>
        <w:rPr>
          <w:rFonts w:hint="eastAsia" w:ascii="宋体" w:hAnsi="宋体" w:cs="宋体"/>
          <w:szCs w:val="21"/>
        </w:rPr>
      </w:pPr>
      <w:r>
        <w:rPr>
          <w:rFonts w:hint="eastAsia" w:ascii="宋体" w:hAnsi="宋体" w:cs="宋体"/>
          <w:szCs w:val="21"/>
        </w:rPr>
        <w:t>绝缘材料：交联聚乙烯；</w:t>
      </w:r>
    </w:p>
    <w:p>
      <w:pPr>
        <w:pStyle w:val="10"/>
        <w:ind w:left="630" w:leftChars="300"/>
        <w:rPr>
          <w:rFonts w:hint="eastAsia" w:ascii="宋体" w:hAnsi="宋体" w:cs="宋体"/>
          <w:szCs w:val="21"/>
        </w:rPr>
      </w:pPr>
      <w:r>
        <w:rPr>
          <w:rFonts w:hint="eastAsia" w:ascii="宋体" w:hAnsi="宋体" w:cs="宋体"/>
          <w:szCs w:val="21"/>
        </w:rPr>
        <w:t>环境温度：40ºC；</w:t>
      </w:r>
    </w:p>
    <w:p>
      <w:pPr>
        <w:pStyle w:val="10"/>
        <w:ind w:left="630" w:leftChars="300"/>
        <w:rPr>
          <w:rFonts w:hint="eastAsia" w:ascii="宋体" w:hAnsi="宋体" w:cs="宋体"/>
          <w:szCs w:val="21"/>
        </w:rPr>
      </w:pPr>
      <w:r>
        <w:rPr>
          <w:rFonts w:hint="eastAsia" w:ascii="宋体" w:hAnsi="宋体" w:cs="宋体"/>
          <w:szCs w:val="21"/>
        </w:rPr>
        <w:t>导体最高工作温度：90ºC；</w:t>
      </w:r>
    </w:p>
    <w:p>
      <w:pPr>
        <w:pStyle w:val="10"/>
        <w:ind w:left="630" w:leftChars="300"/>
        <w:rPr>
          <w:rFonts w:hint="eastAsia" w:ascii="宋体" w:hAnsi="宋体" w:cs="宋体"/>
          <w:szCs w:val="21"/>
        </w:rPr>
      </w:pPr>
      <w:r>
        <w:rPr>
          <w:rFonts w:hint="eastAsia" w:ascii="宋体" w:hAnsi="宋体" w:cs="宋体"/>
          <w:szCs w:val="21"/>
        </w:rPr>
        <w:t>安装地点：空气中敷设；</w:t>
      </w:r>
    </w:p>
    <w:p>
      <w:pPr>
        <w:pStyle w:val="10"/>
        <w:ind w:left="630" w:leftChars="300"/>
        <w:rPr>
          <w:rFonts w:hint="eastAsia" w:ascii="宋体" w:hAnsi="宋体" w:cs="宋体"/>
          <w:szCs w:val="21"/>
        </w:rPr>
      </w:pPr>
      <w:r>
        <w:rPr>
          <w:rFonts w:hint="eastAsia" w:ascii="宋体" w:hAnsi="宋体" w:cs="宋体"/>
          <w:szCs w:val="21"/>
        </w:rPr>
        <w:t>额定电流为钢带铠装电缆的额定电流（非铠装电缆的额定电流应大于上表中相应截面电缆的额定电流）。</w:t>
      </w:r>
    </w:p>
    <w:p>
      <w:pPr>
        <w:pStyle w:val="10"/>
        <w:ind w:left="630" w:leftChars="300"/>
        <w:rPr>
          <w:rFonts w:hint="eastAsia" w:ascii="宋体" w:hAnsi="宋体" w:cs="宋体"/>
          <w:szCs w:val="21"/>
        </w:rPr>
      </w:pPr>
      <w:r>
        <w:rPr>
          <w:rFonts w:hint="eastAsia" w:ascii="宋体" w:hAnsi="宋体" w:cs="宋体"/>
          <w:szCs w:val="21"/>
        </w:rPr>
        <w:t>额定电流没有负偏差。</w:t>
      </w:r>
    </w:p>
    <w:p>
      <w:pPr>
        <w:pStyle w:val="10"/>
        <w:rPr>
          <w:rFonts w:hint="eastAsia" w:ascii="宋体" w:hAnsi="宋体" w:cs="宋体"/>
          <w:szCs w:val="21"/>
        </w:rPr>
      </w:pPr>
      <w:r>
        <w:rPr>
          <w:rFonts w:hint="eastAsia" w:ascii="宋体" w:hAnsi="宋体" w:cs="宋体"/>
          <w:szCs w:val="21"/>
        </w:rPr>
        <w:t>2.2.4 在本工程环境条件下运行，并按照卖方提供的运行指导手册维修，电缆运行寿命不小于30年。</w:t>
      </w:r>
    </w:p>
    <w:p>
      <w:pPr>
        <w:pStyle w:val="10"/>
        <w:spacing w:line="360" w:lineRule="auto"/>
        <w:rPr>
          <w:rFonts w:hint="eastAsia" w:ascii="宋体" w:hAnsi="宋体"/>
          <w:sz w:val="24"/>
        </w:rPr>
      </w:pPr>
    </w:p>
    <w:p>
      <w:pPr>
        <w:pStyle w:val="10"/>
        <w:numPr>
          <w:ilvl w:val="0"/>
          <w:numId w:val="3"/>
        </w:numPr>
        <w:spacing w:line="360" w:lineRule="auto"/>
        <w:rPr>
          <w:rFonts w:hint="eastAsia" w:ascii="宋体" w:hAnsi="宋体"/>
          <w:sz w:val="24"/>
        </w:rPr>
      </w:pPr>
      <w:r>
        <w:rPr>
          <w:rFonts w:hint="eastAsia" w:ascii="宋体" w:hAnsi="宋体"/>
          <w:sz w:val="24"/>
        </w:rPr>
        <w:t>、技术服务、备品备件和质保期服务要求</w:t>
      </w:r>
    </w:p>
    <w:p>
      <w:pPr>
        <w:pStyle w:val="10"/>
        <w:spacing w:line="360" w:lineRule="auto"/>
        <w:rPr>
          <w:rFonts w:hint="eastAsia" w:ascii="宋体" w:hAnsi="宋体"/>
          <w:sz w:val="24"/>
        </w:rPr>
      </w:pPr>
      <w:r>
        <w:rPr>
          <w:rFonts w:hint="eastAsia" w:ascii="宋体" w:hAnsi="宋体"/>
          <w:sz w:val="24"/>
        </w:rPr>
        <w:t>3.1 供货方仅限通过华能集团2019-2021年度资格预审的供应商参与报价</w:t>
      </w:r>
    </w:p>
    <w:p>
      <w:pPr>
        <w:pStyle w:val="10"/>
        <w:rPr>
          <w:rFonts w:hint="eastAsia" w:ascii="宋体" w:hAnsi="宋体" w:cs="宋体"/>
          <w:szCs w:val="21"/>
        </w:rPr>
      </w:pPr>
      <w:r>
        <w:rPr>
          <w:rFonts w:hint="eastAsia" w:ascii="宋体" w:hAnsi="宋体" w:cs="宋体"/>
          <w:b/>
          <w:bCs/>
          <w:szCs w:val="21"/>
        </w:rPr>
        <w:t>1  技术要求</w:t>
      </w:r>
    </w:p>
    <w:p>
      <w:pPr>
        <w:pStyle w:val="10"/>
        <w:ind w:firstLine="420" w:firstLineChars="200"/>
        <w:rPr>
          <w:rFonts w:hint="eastAsia" w:ascii="宋体" w:hAnsi="宋体" w:cs="宋体"/>
          <w:szCs w:val="21"/>
        </w:rPr>
      </w:pPr>
      <w:r>
        <w:rPr>
          <w:rFonts w:hint="eastAsia" w:ascii="宋体" w:hAnsi="宋体" w:cs="宋体"/>
          <w:szCs w:val="21"/>
        </w:rPr>
        <w:t>无论机组启动、运行以及紧急停机，电缆都应安全可靠的工作，同时还应能够承受系统可能出现的正常及异常电压而不损坏。</w:t>
      </w:r>
    </w:p>
    <w:p>
      <w:pPr>
        <w:pStyle w:val="10"/>
        <w:ind w:firstLine="420" w:firstLineChars="200"/>
        <w:rPr>
          <w:rFonts w:hint="eastAsia" w:ascii="宋体" w:hAnsi="宋体" w:cs="宋体"/>
          <w:szCs w:val="21"/>
        </w:rPr>
      </w:pPr>
      <w:r>
        <w:rPr>
          <w:rFonts w:hint="eastAsia" w:ascii="宋体" w:hAnsi="宋体" w:cs="宋体"/>
          <w:szCs w:val="21"/>
        </w:rPr>
        <w:t>卖方提供的电缆须适应本工程可能出现的各种恶略环境，如潮湿、干燥、室内、室外等，特别是在室外低温环境（-30.9C）和室外高温环境（40C）下的安装和运行。卖方应在技术协议中提供电缆允许的安装最低环境温度和运行最高环境温度。</w:t>
      </w:r>
    </w:p>
    <w:p>
      <w:pPr>
        <w:pStyle w:val="10"/>
        <w:rPr>
          <w:rFonts w:hint="eastAsia" w:ascii="宋体" w:hAnsi="宋体" w:cs="宋体"/>
          <w:szCs w:val="21"/>
        </w:rPr>
      </w:pPr>
      <w:r>
        <w:rPr>
          <w:rFonts w:hint="eastAsia" w:ascii="宋体" w:hAnsi="宋体" w:cs="宋体"/>
          <w:szCs w:val="21"/>
        </w:rPr>
        <w:t>1.1 概述</w:t>
      </w:r>
    </w:p>
    <w:p>
      <w:pPr>
        <w:pStyle w:val="10"/>
        <w:ind w:firstLine="420" w:firstLineChars="200"/>
        <w:rPr>
          <w:rFonts w:hint="eastAsia" w:ascii="宋体" w:hAnsi="宋体" w:cs="宋体"/>
          <w:szCs w:val="21"/>
        </w:rPr>
      </w:pPr>
      <w:r>
        <w:rPr>
          <w:rFonts w:hint="eastAsia" w:ascii="宋体" w:hAnsi="宋体" w:cs="宋体"/>
          <w:szCs w:val="21"/>
        </w:rPr>
        <w:t>卖方应在技术协议中详细说明电缆的结构形式、各层材料及其技术性能。</w:t>
      </w:r>
    </w:p>
    <w:p>
      <w:pPr>
        <w:pStyle w:val="10"/>
        <w:ind w:firstLine="420" w:firstLineChars="200"/>
        <w:rPr>
          <w:rFonts w:hint="eastAsia" w:ascii="宋体" w:hAnsi="宋体" w:cs="宋体"/>
          <w:szCs w:val="21"/>
        </w:rPr>
      </w:pPr>
      <w:r>
        <w:rPr>
          <w:rFonts w:hint="eastAsia" w:ascii="宋体" w:hAnsi="宋体" w:cs="宋体"/>
          <w:szCs w:val="21"/>
        </w:rPr>
        <w:t>卖方也可提供技术性能高于本技术协议要求的电力电缆。</w:t>
      </w:r>
    </w:p>
    <w:p>
      <w:pPr>
        <w:pStyle w:val="10"/>
        <w:rPr>
          <w:rFonts w:hint="eastAsia" w:ascii="宋体" w:hAnsi="宋体" w:cs="宋体"/>
          <w:szCs w:val="21"/>
        </w:rPr>
      </w:pPr>
      <w:r>
        <w:rPr>
          <w:rFonts w:hint="eastAsia" w:ascii="宋体" w:hAnsi="宋体" w:cs="宋体"/>
          <w:szCs w:val="21"/>
        </w:rPr>
        <w:t>1.2 主要结构及其材料技术要求</w:t>
      </w:r>
    </w:p>
    <w:p>
      <w:pPr>
        <w:pStyle w:val="10"/>
        <w:ind w:firstLine="420" w:firstLineChars="200"/>
        <w:rPr>
          <w:rFonts w:hint="eastAsia" w:ascii="宋体" w:hAnsi="宋体" w:cs="宋体"/>
          <w:szCs w:val="21"/>
        </w:rPr>
      </w:pPr>
      <w:r>
        <w:rPr>
          <w:rFonts w:hint="eastAsia" w:ascii="宋体" w:hAnsi="宋体" w:cs="宋体"/>
          <w:szCs w:val="21"/>
        </w:rPr>
        <w:t>电缆的结构和材料除满足以下要求外，还应满足现行最新版本的国家标准和规范的要求，当两者不一致时，执行较严格标准。</w:t>
      </w:r>
    </w:p>
    <w:p>
      <w:pPr>
        <w:pStyle w:val="10"/>
        <w:ind w:firstLine="420" w:firstLineChars="200"/>
        <w:rPr>
          <w:rFonts w:hint="eastAsia" w:ascii="宋体" w:hAnsi="宋体" w:cs="宋体"/>
          <w:szCs w:val="21"/>
        </w:rPr>
      </w:pPr>
      <w:r>
        <w:rPr>
          <w:rFonts w:hint="eastAsia" w:ascii="宋体" w:hAnsi="宋体" w:cs="宋体"/>
          <w:szCs w:val="21"/>
        </w:rPr>
        <w:t>卖方在技术协议中应说明电缆的结构形式、主要材料的性能和生产厂家（如导体、绝缘、护套等）。</w:t>
      </w:r>
    </w:p>
    <w:p>
      <w:pPr>
        <w:pStyle w:val="10"/>
        <w:ind w:firstLine="420" w:firstLineChars="200"/>
        <w:rPr>
          <w:rFonts w:hint="eastAsia" w:ascii="宋体" w:hAnsi="宋体" w:cs="宋体"/>
          <w:szCs w:val="21"/>
        </w:rPr>
      </w:pPr>
      <w:r>
        <w:rPr>
          <w:rFonts w:hint="eastAsia" w:ascii="宋体" w:hAnsi="宋体" w:cs="宋体"/>
          <w:szCs w:val="21"/>
        </w:rPr>
        <w:t>电缆材料的强度、耐用性、化学和物理性能应满足本工程环境条件的要求，应选用成熟的、最新的、优质的、无损伤和无缺陷的材料，技术性能不应低于本技术协议的要求。</w:t>
      </w:r>
    </w:p>
    <w:p>
      <w:pPr>
        <w:pStyle w:val="10"/>
        <w:rPr>
          <w:rFonts w:hint="eastAsia" w:ascii="宋体" w:hAnsi="宋体" w:cs="宋体"/>
          <w:szCs w:val="21"/>
        </w:rPr>
      </w:pPr>
      <w:r>
        <w:rPr>
          <w:rFonts w:hint="eastAsia" w:ascii="宋体" w:hAnsi="宋体" w:cs="宋体"/>
          <w:szCs w:val="21"/>
        </w:rPr>
        <w:t>1.2.1 导体</w:t>
      </w:r>
    </w:p>
    <w:p>
      <w:pPr>
        <w:pStyle w:val="10"/>
        <w:ind w:firstLine="420" w:firstLineChars="200"/>
        <w:rPr>
          <w:rFonts w:hint="eastAsia" w:ascii="宋体" w:hAnsi="宋体" w:cs="宋体"/>
          <w:szCs w:val="21"/>
        </w:rPr>
      </w:pPr>
      <w:r>
        <w:rPr>
          <w:rFonts w:hint="eastAsia" w:ascii="宋体" w:hAnsi="宋体" w:cs="宋体"/>
          <w:szCs w:val="21"/>
        </w:rPr>
        <w:t>导体材料为现行最新版本的国家标准GB/T 3956《电缆的导体》规定的第1种或第2种镀金属层或不镀金属层退火铜线。</w:t>
      </w:r>
    </w:p>
    <w:p>
      <w:pPr>
        <w:pStyle w:val="10"/>
        <w:ind w:firstLine="420" w:firstLineChars="200"/>
        <w:rPr>
          <w:rFonts w:hint="eastAsia" w:ascii="宋体" w:hAnsi="宋体" w:cs="宋体"/>
          <w:szCs w:val="21"/>
        </w:rPr>
      </w:pPr>
      <w:r>
        <w:rPr>
          <w:rFonts w:hint="eastAsia" w:ascii="宋体" w:hAnsi="宋体" w:cs="宋体"/>
          <w:szCs w:val="21"/>
        </w:rPr>
        <w:t>导体单线数量和20℃时导体电阻值应满足现行最新版本的国家标准GB/T 3956《电缆的导体》的要求。</w:t>
      </w:r>
    </w:p>
    <w:p>
      <w:pPr>
        <w:pStyle w:val="10"/>
        <w:rPr>
          <w:rFonts w:hint="eastAsia" w:ascii="宋体" w:hAnsi="宋体" w:cs="宋体"/>
          <w:szCs w:val="21"/>
        </w:rPr>
      </w:pPr>
      <w:r>
        <w:rPr>
          <w:rFonts w:hint="eastAsia" w:ascii="宋体" w:hAnsi="宋体" w:cs="宋体"/>
          <w:szCs w:val="21"/>
        </w:rPr>
        <w:t>1.2.2 导体屏蔽</w:t>
      </w:r>
    </w:p>
    <w:p>
      <w:pPr>
        <w:pStyle w:val="10"/>
        <w:ind w:firstLine="420" w:firstLineChars="200"/>
        <w:rPr>
          <w:rFonts w:hint="eastAsia" w:ascii="宋体" w:hAnsi="宋体" w:cs="宋体"/>
          <w:szCs w:val="21"/>
        </w:rPr>
      </w:pPr>
      <w:r>
        <w:rPr>
          <w:rFonts w:hint="eastAsia" w:ascii="宋体" w:hAnsi="宋体" w:cs="宋体"/>
          <w:szCs w:val="21"/>
        </w:rPr>
        <w:t>导体屏蔽应是非金属的，由挤包的半导电料或在导体上先包半导电带再挤包半导电料组成。挤包的半导电料应和绝缘紧密结合。</w:t>
      </w:r>
    </w:p>
    <w:p>
      <w:pPr>
        <w:pStyle w:val="10"/>
        <w:ind w:firstLine="420" w:firstLineChars="200"/>
        <w:rPr>
          <w:rFonts w:hint="eastAsia" w:ascii="宋体" w:hAnsi="宋体" w:cs="宋体"/>
          <w:szCs w:val="21"/>
        </w:rPr>
      </w:pPr>
      <w:r>
        <w:rPr>
          <w:rFonts w:hint="eastAsia" w:ascii="宋体" w:hAnsi="宋体" w:cs="宋体"/>
          <w:szCs w:val="21"/>
        </w:rPr>
        <w:t>半导电料应均匀地包覆在导体上，表面光滑，无明显绞线凸纹，无尖角、颗粒、烧焦或擦伤的痕迹。</w:t>
      </w:r>
    </w:p>
    <w:p>
      <w:pPr>
        <w:pStyle w:val="10"/>
        <w:rPr>
          <w:rFonts w:hint="eastAsia" w:ascii="宋体" w:hAnsi="宋体" w:cs="宋体"/>
          <w:szCs w:val="21"/>
        </w:rPr>
      </w:pPr>
      <w:r>
        <w:rPr>
          <w:rFonts w:hint="eastAsia" w:ascii="宋体" w:hAnsi="宋体" w:cs="宋体"/>
          <w:szCs w:val="21"/>
        </w:rPr>
        <w:t>1.2.3 绝缘</w:t>
      </w:r>
    </w:p>
    <w:p>
      <w:pPr>
        <w:pStyle w:val="10"/>
        <w:ind w:firstLine="420" w:firstLineChars="200"/>
        <w:rPr>
          <w:rFonts w:hint="eastAsia" w:ascii="宋体" w:hAnsi="宋体" w:cs="宋体"/>
          <w:szCs w:val="21"/>
        </w:rPr>
      </w:pPr>
      <w:r>
        <w:rPr>
          <w:rFonts w:hint="eastAsia" w:ascii="宋体" w:hAnsi="宋体" w:cs="宋体"/>
          <w:szCs w:val="21"/>
        </w:rPr>
        <w:t>绝缘材料为交联聚乙烯，代号XLPE。</w:t>
      </w:r>
    </w:p>
    <w:p>
      <w:pPr>
        <w:pStyle w:val="10"/>
        <w:ind w:firstLine="420" w:firstLineChars="200"/>
        <w:rPr>
          <w:rFonts w:hint="eastAsia" w:ascii="宋体" w:hAnsi="宋体" w:cs="宋体"/>
          <w:szCs w:val="21"/>
        </w:rPr>
      </w:pPr>
      <w:r>
        <w:rPr>
          <w:rFonts w:hint="eastAsia" w:ascii="宋体" w:hAnsi="宋体" w:cs="宋体"/>
          <w:szCs w:val="21"/>
        </w:rPr>
        <w:t>绝缘材料挤包成型，性能、电特性和物理特性应符合现行最新版本的国家标准标准和规范的要求。</w:t>
      </w:r>
    </w:p>
    <w:p>
      <w:pPr>
        <w:pStyle w:val="10"/>
        <w:ind w:firstLine="420" w:firstLineChars="200"/>
        <w:rPr>
          <w:rFonts w:hint="eastAsia" w:ascii="宋体" w:hAnsi="宋体" w:cs="宋体"/>
          <w:szCs w:val="21"/>
        </w:rPr>
      </w:pPr>
      <w:r>
        <w:rPr>
          <w:rFonts w:hint="eastAsia" w:ascii="宋体" w:hAnsi="宋体" w:cs="宋体"/>
          <w:szCs w:val="21"/>
        </w:rPr>
        <w:t>导体和绝缘外面的任何隔离层或半导电屏蔽层的厚度不应包括在绝缘标称厚度内。</w:t>
      </w:r>
    </w:p>
    <w:p>
      <w:pPr>
        <w:pStyle w:val="10"/>
        <w:ind w:firstLine="420" w:firstLineChars="200"/>
        <w:rPr>
          <w:rFonts w:hint="eastAsia" w:ascii="宋体" w:hAnsi="宋体" w:cs="宋体"/>
          <w:szCs w:val="21"/>
        </w:rPr>
      </w:pPr>
      <w:r>
        <w:rPr>
          <w:rFonts w:hint="eastAsia" w:ascii="宋体" w:hAnsi="宋体" w:cs="宋体"/>
          <w:szCs w:val="21"/>
        </w:rPr>
        <w:t>绝缘层的横断面上应无目力可见的气泡和砂眼等缺陷。</w:t>
      </w:r>
    </w:p>
    <w:p>
      <w:pPr>
        <w:pStyle w:val="10"/>
        <w:ind w:firstLine="420" w:firstLineChars="200"/>
        <w:rPr>
          <w:rFonts w:hint="eastAsia" w:ascii="宋体" w:hAnsi="宋体" w:cs="宋体"/>
          <w:szCs w:val="21"/>
        </w:rPr>
      </w:pPr>
      <w:r>
        <w:rPr>
          <w:rFonts w:hint="eastAsia" w:ascii="宋体" w:hAnsi="宋体" w:cs="宋体"/>
          <w:szCs w:val="21"/>
        </w:rPr>
        <w:t>绝缘标称厚度、最薄点厚度、原始机械性能（包括抗张强度和断裂伸长率）和热延伸试验（包括荷载下伸长率和冷却后永久变形）等应满足现行最新版本的国家标准GB/T 12706.2《额定电压1kV（Um=1.2kV）到35kV（Um=40.5kV）挤包绝缘电力电缆及附件 第2部分：额定电压6kV（Um=7.2kV）到30kV（Um=36kV）电缆》的要求。</w:t>
      </w:r>
    </w:p>
    <w:p>
      <w:pPr>
        <w:pStyle w:val="10"/>
        <w:rPr>
          <w:rFonts w:hint="eastAsia" w:ascii="宋体" w:hAnsi="宋体" w:cs="宋体"/>
          <w:szCs w:val="21"/>
        </w:rPr>
      </w:pPr>
      <w:r>
        <w:rPr>
          <w:rFonts w:hint="eastAsia" w:ascii="宋体" w:hAnsi="宋体" w:cs="宋体"/>
          <w:szCs w:val="21"/>
        </w:rPr>
        <w:t>1.2.4 绝缘屏蔽</w:t>
      </w:r>
    </w:p>
    <w:p>
      <w:pPr>
        <w:pStyle w:val="10"/>
        <w:ind w:firstLine="420" w:firstLineChars="200"/>
        <w:rPr>
          <w:rFonts w:hint="eastAsia" w:ascii="宋体" w:hAnsi="宋体" w:cs="宋体"/>
          <w:szCs w:val="21"/>
        </w:rPr>
      </w:pPr>
      <w:r>
        <w:rPr>
          <w:rFonts w:hint="eastAsia" w:ascii="宋体" w:hAnsi="宋体" w:cs="宋体"/>
          <w:szCs w:val="21"/>
        </w:rPr>
        <w:t>绝缘屏蔽应由非金属半导电层与金属层组合而成。</w:t>
      </w:r>
    </w:p>
    <w:p>
      <w:pPr>
        <w:pStyle w:val="10"/>
        <w:ind w:firstLine="420" w:firstLineChars="200"/>
        <w:rPr>
          <w:rFonts w:hint="eastAsia" w:ascii="宋体" w:hAnsi="宋体" w:cs="宋体"/>
          <w:szCs w:val="21"/>
        </w:rPr>
      </w:pPr>
      <w:r>
        <w:rPr>
          <w:rFonts w:hint="eastAsia" w:ascii="宋体" w:hAnsi="宋体" w:cs="宋体"/>
          <w:szCs w:val="21"/>
        </w:rPr>
        <w:t>每根绝缘线芯上应直接挤包与绝缘线芯紧密结合或可剥离的非金属半导电层。然后对每根绝缘线芯或缆芯也可绕包一层半导电带或剂包半导电料。</w:t>
      </w:r>
    </w:p>
    <w:p>
      <w:pPr>
        <w:pStyle w:val="10"/>
        <w:rPr>
          <w:rFonts w:hint="eastAsia" w:ascii="宋体" w:hAnsi="宋体" w:cs="宋体"/>
          <w:szCs w:val="21"/>
        </w:rPr>
      </w:pPr>
      <w:r>
        <w:rPr>
          <w:rFonts w:hint="eastAsia" w:ascii="宋体" w:hAnsi="宋体" w:cs="宋体"/>
          <w:szCs w:val="21"/>
        </w:rPr>
        <w:t>半导电层应均匀地包覆在绝缘表面，表面光滑，无尖角、颗粒、烧焦或擦伤的痕迹。</w:t>
      </w:r>
    </w:p>
    <w:p>
      <w:pPr>
        <w:pStyle w:val="10"/>
        <w:rPr>
          <w:rFonts w:hint="eastAsia" w:ascii="宋体" w:hAnsi="宋体" w:cs="宋体"/>
          <w:szCs w:val="21"/>
        </w:rPr>
      </w:pPr>
      <w:r>
        <w:rPr>
          <w:rFonts w:hint="eastAsia" w:ascii="宋体" w:hAnsi="宋体" w:cs="宋体"/>
          <w:szCs w:val="21"/>
        </w:rPr>
        <w:t>1.2.5 金属屏蔽</w:t>
      </w:r>
    </w:p>
    <w:p>
      <w:pPr>
        <w:pStyle w:val="10"/>
        <w:ind w:firstLine="420" w:firstLineChars="200"/>
        <w:rPr>
          <w:rFonts w:hint="eastAsia" w:ascii="宋体" w:hAnsi="宋体" w:cs="宋体"/>
          <w:szCs w:val="21"/>
        </w:rPr>
      </w:pPr>
      <w:r>
        <w:rPr>
          <w:rFonts w:hint="eastAsia" w:ascii="宋体" w:hAnsi="宋体" w:cs="宋体"/>
          <w:szCs w:val="21"/>
        </w:rPr>
        <w:t>金属屏蔽采用铜丝屏蔽和铜带屏蔽。</w:t>
      </w:r>
    </w:p>
    <w:p>
      <w:pPr>
        <w:pStyle w:val="10"/>
        <w:ind w:firstLine="420" w:firstLineChars="200"/>
        <w:rPr>
          <w:rFonts w:hint="eastAsia" w:ascii="宋体" w:hAnsi="宋体" w:cs="宋体"/>
          <w:szCs w:val="21"/>
        </w:rPr>
      </w:pPr>
      <w:r>
        <w:rPr>
          <w:rFonts w:hint="eastAsia" w:ascii="宋体" w:hAnsi="宋体" w:cs="宋体"/>
          <w:szCs w:val="21"/>
        </w:rPr>
        <w:t>铜丝屏蔽由疏绕的软铜线组成，其表面应用反向铜丝或铜带扎紧，相邻铜丝的平均间隙应不大于4mm。</w:t>
      </w:r>
    </w:p>
    <w:p>
      <w:pPr>
        <w:pStyle w:val="10"/>
        <w:ind w:firstLine="420" w:firstLineChars="200"/>
        <w:rPr>
          <w:rFonts w:hint="eastAsia" w:ascii="宋体" w:hAnsi="宋体" w:cs="宋体"/>
          <w:szCs w:val="21"/>
        </w:rPr>
      </w:pPr>
      <w:r>
        <w:rPr>
          <w:rFonts w:hint="eastAsia" w:ascii="宋体" w:hAnsi="宋体" w:cs="宋体"/>
          <w:szCs w:val="21"/>
        </w:rPr>
        <w:t>铜带屏蔽由一层重叠绕包的软铜带组成，也可以采用双层铜带间隙绕包。铜带间的搭盖率为铜带宽度的15%（标称值）。</w:t>
      </w:r>
    </w:p>
    <w:p>
      <w:pPr>
        <w:pStyle w:val="10"/>
        <w:ind w:firstLine="420" w:firstLineChars="200"/>
        <w:rPr>
          <w:rFonts w:hint="eastAsia" w:ascii="宋体" w:hAnsi="宋体" w:cs="宋体"/>
          <w:szCs w:val="21"/>
        </w:rPr>
      </w:pPr>
      <w:r>
        <w:rPr>
          <w:rFonts w:hint="eastAsia" w:ascii="宋体" w:hAnsi="宋体" w:cs="宋体"/>
          <w:szCs w:val="21"/>
        </w:rPr>
        <w:t>金属屏蔽层的性能和材料应满足现行最新版本的国家标准GB/T12706.2《额定电压1kV（Um=1.2kV）到35kV（Um=40.5kV）挤包绝缘电力电缆及附件 第2部分：额定电压6kV（Um=7.2kV）到30kV（Um=36kV）电缆》的要求。</w:t>
      </w:r>
    </w:p>
    <w:p>
      <w:pPr>
        <w:pStyle w:val="10"/>
        <w:rPr>
          <w:rFonts w:hint="eastAsia" w:ascii="宋体" w:hAnsi="宋体" w:cs="宋体"/>
          <w:szCs w:val="21"/>
        </w:rPr>
      </w:pPr>
      <w:r>
        <w:rPr>
          <w:rFonts w:hint="eastAsia" w:ascii="宋体" w:hAnsi="宋体" w:cs="宋体"/>
          <w:szCs w:val="21"/>
        </w:rPr>
        <w:t>1.2.6 内衬层与填充</w:t>
      </w:r>
    </w:p>
    <w:p>
      <w:pPr>
        <w:pStyle w:val="10"/>
        <w:ind w:firstLine="420" w:firstLineChars="200"/>
        <w:rPr>
          <w:rFonts w:hint="eastAsia" w:ascii="宋体" w:hAnsi="宋体" w:cs="宋体"/>
          <w:szCs w:val="21"/>
        </w:rPr>
      </w:pPr>
      <w:r>
        <w:rPr>
          <w:rFonts w:hint="eastAsia" w:ascii="宋体" w:hAnsi="宋体" w:cs="宋体"/>
          <w:szCs w:val="21"/>
        </w:rPr>
        <w:t>内衬层包覆在电缆的缆芯外，可以挤包或绕包（只有在绝缘线芯间的间隙被密实填充时，才可采用绕包方式）。</w:t>
      </w:r>
    </w:p>
    <w:p>
      <w:pPr>
        <w:pStyle w:val="10"/>
        <w:ind w:firstLine="420" w:firstLineChars="200"/>
        <w:rPr>
          <w:rFonts w:hint="eastAsia" w:ascii="宋体" w:hAnsi="宋体" w:cs="宋体"/>
          <w:szCs w:val="21"/>
        </w:rPr>
      </w:pPr>
      <w:r>
        <w:rPr>
          <w:rFonts w:hint="eastAsia" w:ascii="宋体" w:hAnsi="宋体" w:cs="宋体"/>
          <w:szCs w:val="21"/>
        </w:rPr>
        <w:t>内衬层和填充物的材料应适合电缆的运行温度，并和电缆绝缘材料相兼容。</w:t>
      </w:r>
    </w:p>
    <w:p>
      <w:pPr>
        <w:pStyle w:val="10"/>
        <w:rPr>
          <w:rFonts w:hint="eastAsia" w:ascii="宋体" w:hAnsi="宋体" w:cs="宋体"/>
          <w:szCs w:val="21"/>
        </w:rPr>
      </w:pPr>
      <w:r>
        <w:rPr>
          <w:rFonts w:hint="eastAsia" w:ascii="宋体" w:hAnsi="宋体" w:cs="宋体"/>
          <w:szCs w:val="21"/>
        </w:rPr>
        <w:t>圆形绝缘线芯电缆只有在绝缘线芯间的间隙被密实填充时，才应允许采用绕包内衬层。</w:t>
      </w:r>
    </w:p>
    <w:p>
      <w:pPr>
        <w:pStyle w:val="10"/>
        <w:rPr>
          <w:rFonts w:hint="eastAsia" w:ascii="宋体" w:hAnsi="宋体" w:cs="宋体"/>
          <w:szCs w:val="21"/>
        </w:rPr>
      </w:pPr>
      <w:r>
        <w:rPr>
          <w:rFonts w:hint="eastAsia" w:ascii="宋体" w:hAnsi="宋体" w:cs="宋体"/>
          <w:szCs w:val="21"/>
        </w:rPr>
        <w:t>挤包内衬层前允许用合适的带子扎紧。</w:t>
      </w:r>
    </w:p>
    <w:p>
      <w:pPr>
        <w:pStyle w:val="10"/>
        <w:ind w:firstLine="420" w:firstLineChars="200"/>
        <w:rPr>
          <w:rFonts w:hint="eastAsia" w:ascii="宋体" w:hAnsi="宋体" w:cs="宋体"/>
          <w:szCs w:val="21"/>
        </w:rPr>
      </w:pPr>
      <w:r>
        <w:rPr>
          <w:rFonts w:hint="eastAsia" w:ascii="宋体" w:hAnsi="宋体" w:cs="宋体"/>
          <w:szCs w:val="21"/>
        </w:rPr>
        <w:t>内衬层和填充物的性能和材料应满足现行最新版本的国家标准GB/T12706.2《额定电压1kV（Um=1.2kV）到35kV（Um=40.5kV）挤包绝缘电力电缆及附件 第2部分：额定电压6kV（Um=7.2kV）到30kV（Um=36kV）电缆》的要求。</w:t>
      </w:r>
    </w:p>
    <w:p>
      <w:pPr>
        <w:pStyle w:val="10"/>
        <w:rPr>
          <w:rFonts w:hint="eastAsia" w:ascii="宋体" w:hAnsi="宋体" w:cs="宋体"/>
          <w:szCs w:val="21"/>
        </w:rPr>
      </w:pPr>
      <w:r>
        <w:rPr>
          <w:rFonts w:hint="eastAsia" w:ascii="宋体" w:hAnsi="宋体" w:cs="宋体"/>
          <w:szCs w:val="21"/>
        </w:rPr>
        <w:t>1.2.7 金属铠装</w:t>
      </w:r>
    </w:p>
    <w:p>
      <w:pPr>
        <w:pStyle w:val="10"/>
        <w:ind w:firstLine="420" w:firstLineChars="200"/>
        <w:rPr>
          <w:rFonts w:hint="eastAsia" w:ascii="宋体" w:hAnsi="宋体" w:cs="宋体"/>
          <w:szCs w:val="21"/>
        </w:rPr>
      </w:pPr>
      <w:r>
        <w:rPr>
          <w:rFonts w:hint="eastAsia" w:ascii="宋体" w:hAnsi="宋体" w:cs="宋体"/>
          <w:szCs w:val="21"/>
        </w:rPr>
        <w:t>电缆铠装采用工业等级热轧或冷轧热镀锌钢带。</w:t>
      </w:r>
    </w:p>
    <w:p>
      <w:pPr>
        <w:pStyle w:val="10"/>
        <w:ind w:firstLine="420" w:firstLineChars="200"/>
        <w:rPr>
          <w:rFonts w:hint="eastAsia" w:ascii="宋体" w:hAnsi="宋体" w:cs="宋体"/>
          <w:szCs w:val="21"/>
        </w:rPr>
      </w:pPr>
      <w:r>
        <w:rPr>
          <w:rFonts w:hint="eastAsia" w:ascii="宋体" w:hAnsi="宋体" w:cs="宋体"/>
          <w:szCs w:val="21"/>
        </w:rPr>
        <w:t>钢带铠装应包覆在内衬层上。</w:t>
      </w:r>
    </w:p>
    <w:p>
      <w:pPr>
        <w:pStyle w:val="10"/>
        <w:ind w:firstLine="420" w:firstLineChars="200"/>
        <w:rPr>
          <w:rFonts w:hint="eastAsia" w:ascii="宋体" w:hAnsi="宋体" w:cs="宋体"/>
          <w:szCs w:val="21"/>
        </w:rPr>
      </w:pPr>
      <w:r>
        <w:rPr>
          <w:rFonts w:hint="eastAsia" w:ascii="宋体" w:hAnsi="宋体" w:cs="宋体"/>
          <w:szCs w:val="21"/>
        </w:rPr>
        <w:t>钢带的层数、厚度和宽度等技术性能应满足现行最新版本的国家标准GB/T12706.2《额定电压1kV（Um=1.2kV）到35kV（Um=40.5kV）挤包绝缘电力电缆及附件 第2部分：额定电压6kV（Um=7.2kV）到30kV（Um=36kV）电缆》和GB/T 2952《电缆外护层》的要求。</w:t>
      </w:r>
    </w:p>
    <w:p>
      <w:pPr>
        <w:pStyle w:val="10"/>
        <w:rPr>
          <w:rFonts w:hint="eastAsia" w:ascii="宋体" w:hAnsi="宋体" w:cs="宋体"/>
          <w:szCs w:val="21"/>
        </w:rPr>
      </w:pPr>
      <w:r>
        <w:rPr>
          <w:rFonts w:hint="eastAsia" w:ascii="宋体" w:hAnsi="宋体" w:cs="宋体"/>
          <w:szCs w:val="21"/>
        </w:rPr>
        <w:t>1.2.8 隔离套</w:t>
      </w:r>
    </w:p>
    <w:p>
      <w:pPr>
        <w:pStyle w:val="10"/>
        <w:ind w:firstLine="420" w:firstLineChars="200"/>
        <w:rPr>
          <w:rFonts w:hint="eastAsia" w:ascii="宋体" w:hAnsi="宋体" w:cs="宋体"/>
          <w:szCs w:val="21"/>
        </w:rPr>
      </w:pPr>
      <w:r>
        <w:rPr>
          <w:rFonts w:hint="eastAsia" w:ascii="宋体" w:hAnsi="宋体" w:cs="宋体"/>
          <w:szCs w:val="21"/>
        </w:rPr>
        <w:t>当铠装层下的金属层与铠装层材料不同时，应剂包一层隔离套将其隔开。</w:t>
      </w:r>
    </w:p>
    <w:p>
      <w:pPr>
        <w:pStyle w:val="10"/>
        <w:ind w:firstLine="420" w:firstLineChars="200"/>
        <w:rPr>
          <w:rFonts w:hint="eastAsia" w:ascii="宋体" w:hAnsi="宋体" w:cs="宋体"/>
          <w:szCs w:val="21"/>
        </w:rPr>
      </w:pPr>
      <w:r>
        <w:rPr>
          <w:rFonts w:hint="eastAsia" w:ascii="宋体" w:hAnsi="宋体" w:cs="宋体"/>
          <w:szCs w:val="21"/>
        </w:rPr>
        <w:t>如果在铠装层下采用隔离套，可以由其代替内衬层或附加在内衬层上。</w:t>
      </w:r>
    </w:p>
    <w:p>
      <w:pPr>
        <w:pStyle w:val="10"/>
        <w:ind w:firstLine="420" w:firstLineChars="200"/>
        <w:rPr>
          <w:rFonts w:hint="eastAsia" w:ascii="宋体" w:hAnsi="宋体" w:cs="宋体"/>
          <w:szCs w:val="21"/>
        </w:rPr>
      </w:pPr>
      <w:r>
        <w:rPr>
          <w:rFonts w:hint="eastAsia" w:ascii="宋体" w:hAnsi="宋体" w:cs="宋体"/>
          <w:szCs w:val="21"/>
        </w:rPr>
        <w:t>隔离套的性能和材料应按现行最新版本的国家标准GB/T12706.2《额定电压1kV（Um=1.2kV）到35kV（Um=40.5kV）挤包绝缘电力电缆及附件 第2部分：额定电压6kV（Um=7.2kV）到30kV（Um=36kV）电缆》的要求。</w:t>
      </w:r>
    </w:p>
    <w:p>
      <w:pPr>
        <w:pStyle w:val="10"/>
        <w:rPr>
          <w:rFonts w:hint="eastAsia" w:ascii="宋体" w:hAnsi="宋体" w:cs="宋体"/>
          <w:szCs w:val="21"/>
        </w:rPr>
      </w:pPr>
      <w:r>
        <w:rPr>
          <w:rFonts w:hint="eastAsia" w:ascii="宋体" w:hAnsi="宋体" w:cs="宋体"/>
          <w:szCs w:val="21"/>
        </w:rPr>
        <w:t>1.2.9 外护套</w:t>
      </w:r>
    </w:p>
    <w:p>
      <w:pPr>
        <w:pStyle w:val="10"/>
        <w:ind w:firstLine="420" w:firstLineChars="200"/>
        <w:rPr>
          <w:rFonts w:hint="eastAsia" w:ascii="宋体" w:hAnsi="宋体" w:cs="宋体"/>
          <w:szCs w:val="21"/>
        </w:rPr>
      </w:pPr>
      <w:r>
        <w:rPr>
          <w:rFonts w:hint="eastAsia" w:ascii="宋体" w:hAnsi="宋体" w:cs="宋体"/>
          <w:szCs w:val="21"/>
        </w:rPr>
        <w:t>外护套材料为聚乙烯，代号ST7，应与电缆运行温度相适应。</w:t>
      </w:r>
    </w:p>
    <w:p>
      <w:pPr>
        <w:pStyle w:val="10"/>
        <w:ind w:firstLine="420" w:firstLineChars="200"/>
        <w:rPr>
          <w:rFonts w:hint="eastAsia" w:ascii="宋体" w:hAnsi="宋体" w:cs="宋体"/>
          <w:szCs w:val="21"/>
        </w:rPr>
      </w:pPr>
      <w:r>
        <w:rPr>
          <w:rFonts w:hint="eastAsia" w:ascii="宋体" w:hAnsi="宋体" w:cs="宋体"/>
          <w:szCs w:val="21"/>
        </w:rPr>
        <w:t>外护套应为C类阻燃、抗拉、耐磨、耐油、耐低温、聚乙烯外护套。</w:t>
      </w:r>
    </w:p>
    <w:p>
      <w:pPr>
        <w:pStyle w:val="10"/>
        <w:ind w:firstLine="420" w:firstLineChars="200"/>
        <w:rPr>
          <w:rFonts w:hint="eastAsia" w:ascii="宋体" w:hAnsi="宋体" w:cs="宋体"/>
          <w:szCs w:val="21"/>
        </w:rPr>
      </w:pPr>
      <w:r>
        <w:rPr>
          <w:rFonts w:hint="eastAsia" w:ascii="宋体" w:hAnsi="宋体" w:cs="宋体"/>
          <w:szCs w:val="21"/>
        </w:rPr>
        <w:t>外护套颜色为黑色。</w:t>
      </w:r>
    </w:p>
    <w:p>
      <w:pPr>
        <w:pStyle w:val="10"/>
        <w:ind w:firstLine="420" w:firstLineChars="200"/>
        <w:rPr>
          <w:rFonts w:hint="eastAsia" w:ascii="宋体" w:hAnsi="宋体" w:cs="宋体"/>
          <w:szCs w:val="21"/>
        </w:rPr>
      </w:pPr>
      <w:r>
        <w:rPr>
          <w:rFonts w:hint="eastAsia" w:ascii="宋体" w:hAnsi="宋体" w:cs="宋体"/>
          <w:szCs w:val="21"/>
        </w:rPr>
        <w:t>外护套平均厚度、最薄点厚度、原始机械性能（包括抗张强度和断裂伸长率）等应满足现行最新版本的国家标准GB/T12706.2《额定电压1kV（Um=1.2kV）到35kV（Um=40.5kV）挤包绝缘电力电缆及附件 第2部分：额定电压6kV（Um=7.2kV）到30kV（Um=36kV）电缆》和GB/T 2952《电缆外护层》的要求。</w:t>
      </w:r>
    </w:p>
    <w:p>
      <w:pPr>
        <w:pStyle w:val="10"/>
        <w:rPr>
          <w:rFonts w:hint="eastAsia" w:ascii="宋体" w:hAnsi="宋体" w:cs="宋体"/>
          <w:szCs w:val="21"/>
        </w:rPr>
      </w:pPr>
      <w:r>
        <w:rPr>
          <w:rFonts w:hint="eastAsia" w:ascii="宋体" w:hAnsi="宋体" w:cs="宋体"/>
          <w:szCs w:val="21"/>
        </w:rPr>
        <w:t>1.2.10 阻燃</w:t>
      </w:r>
    </w:p>
    <w:p>
      <w:pPr>
        <w:pStyle w:val="10"/>
        <w:ind w:firstLine="420" w:firstLineChars="200"/>
        <w:rPr>
          <w:rFonts w:hint="eastAsia" w:ascii="宋体" w:hAnsi="宋体" w:cs="宋体"/>
          <w:szCs w:val="21"/>
        </w:rPr>
      </w:pPr>
      <w:r>
        <w:rPr>
          <w:rFonts w:hint="eastAsia" w:ascii="宋体" w:hAnsi="宋体" w:cs="宋体"/>
          <w:szCs w:val="21"/>
        </w:rPr>
        <w:t>6kV电力电缆全部采用C类阻燃电缆，其阻燃性能应符合现行最新版本的国家标准GB/T19666《阻燃和耐火电线电缆通则》和GB/T18380《电缆和光缆在火焰条件下的燃烧试验》的规定。</w:t>
      </w:r>
    </w:p>
    <w:p>
      <w:pPr>
        <w:pStyle w:val="10"/>
        <w:ind w:firstLine="420" w:firstLineChars="200"/>
        <w:rPr>
          <w:rFonts w:hint="eastAsia" w:ascii="宋体" w:hAnsi="宋体" w:cs="宋体"/>
          <w:szCs w:val="21"/>
        </w:rPr>
      </w:pPr>
      <w:r>
        <w:rPr>
          <w:rFonts w:hint="eastAsia" w:ascii="宋体" w:hAnsi="宋体" w:cs="宋体"/>
          <w:szCs w:val="21"/>
        </w:rPr>
        <w:t>6kV电力电缆的护套和/或绝缘选用阻燃材料，并选用合适的辅助材料作填充、包带或阻燃增强层，使产品达到相应的阻燃级别。</w:t>
      </w:r>
    </w:p>
    <w:p>
      <w:pPr>
        <w:pStyle w:val="10"/>
        <w:rPr>
          <w:rFonts w:hint="eastAsia" w:ascii="宋体" w:hAnsi="宋体" w:cs="宋体"/>
          <w:szCs w:val="21"/>
        </w:rPr>
      </w:pPr>
      <w:r>
        <w:rPr>
          <w:rFonts w:hint="eastAsia" w:ascii="宋体" w:hAnsi="宋体" w:cs="宋体"/>
          <w:szCs w:val="21"/>
        </w:rPr>
        <w:t>1.2.10.1 阻燃电缆</w:t>
      </w:r>
    </w:p>
    <w:p>
      <w:pPr>
        <w:pStyle w:val="10"/>
        <w:rPr>
          <w:rFonts w:hint="eastAsia" w:ascii="宋体" w:hAnsi="宋体" w:cs="宋体"/>
          <w:szCs w:val="21"/>
        </w:rPr>
      </w:pPr>
      <w:r>
        <w:rPr>
          <w:rFonts w:hint="eastAsia" w:ascii="宋体" w:hAnsi="宋体" w:cs="宋体"/>
          <w:szCs w:val="21"/>
        </w:rPr>
        <w:t>阻燃电缆为阻燃C类，其阻燃性能应符合现行最新版本的国家标准GB/T19666《阻燃和耐火电线电缆通则》和GB/T18380《电缆和光缆在火焰条件下的燃烧试验》的规定。</w:t>
      </w:r>
    </w:p>
    <w:p>
      <w:pPr>
        <w:pStyle w:val="10"/>
        <w:rPr>
          <w:rFonts w:hint="eastAsia" w:ascii="宋体" w:hAnsi="宋体" w:cs="宋体"/>
          <w:szCs w:val="21"/>
        </w:rPr>
      </w:pPr>
      <w:r>
        <w:rPr>
          <w:rFonts w:hint="eastAsia" w:ascii="宋体" w:hAnsi="宋体" w:cs="宋体"/>
          <w:szCs w:val="21"/>
        </w:rPr>
        <w:t>阻燃电缆的护套和/或绝缘选用阻燃材料，并选用合适的辅助材料作填充、包带或阻燃增强层，使产品达到相应的阻燃级别。</w:t>
      </w:r>
    </w:p>
    <w:p>
      <w:pPr>
        <w:pStyle w:val="10"/>
        <w:rPr>
          <w:rFonts w:hint="eastAsia" w:ascii="宋体" w:hAnsi="宋体" w:cs="宋体"/>
          <w:szCs w:val="21"/>
        </w:rPr>
      </w:pPr>
      <w:r>
        <w:rPr>
          <w:rFonts w:hint="eastAsia" w:ascii="宋体" w:hAnsi="宋体" w:cs="宋体"/>
          <w:szCs w:val="21"/>
        </w:rPr>
        <w:t>1.2.10.2 耐火电缆</w:t>
      </w:r>
    </w:p>
    <w:p>
      <w:pPr>
        <w:pStyle w:val="10"/>
        <w:rPr>
          <w:rFonts w:hint="eastAsia" w:ascii="宋体" w:hAnsi="宋体" w:cs="宋体"/>
          <w:szCs w:val="21"/>
        </w:rPr>
      </w:pPr>
      <w:r>
        <w:rPr>
          <w:rFonts w:hint="eastAsia" w:ascii="宋体" w:hAnsi="宋体" w:cs="宋体"/>
          <w:szCs w:val="21"/>
        </w:rPr>
        <w:t>耐火电缆为阻燃A类耐火电缆。</w:t>
      </w:r>
    </w:p>
    <w:p>
      <w:pPr>
        <w:pStyle w:val="10"/>
        <w:rPr>
          <w:rFonts w:hint="eastAsia" w:ascii="宋体" w:hAnsi="宋体" w:cs="宋体"/>
          <w:szCs w:val="21"/>
        </w:rPr>
      </w:pPr>
      <w:r>
        <w:rPr>
          <w:rFonts w:hint="eastAsia" w:ascii="宋体" w:hAnsi="宋体" w:cs="宋体"/>
          <w:szCs w:val="21"/>
        </w:rPr>
        <w:t>绝缘应具耐火特性，否则在导体和/或电缆缆芯上应设置耐火层。</w:t>
      </w:r>
    </w:p>
    <w:p>
      <w:pPr>
        <w:pStyle w:val="10"/>
        <w:rPr>
          <w:rFonts w:hint="eastAsia" w:ascii="宋体" w:hAnsi="宋体" w:cs="宋体"/>
          <w:szCs w:val="21"/>
        </w:rPr>
      </w:pPr>
      <w:r>
        <w:rPr>
          <w:rFonts w:hint="eastAsia" w:ascii="宋体" w:hAnsi="宋体" w:cs="宋体"/>
          <w:szCs w:val="21"/>
        </w:rPr>
        <w:t>耐火层由耐火云母带绕包而成。</w:t>
      </w:r>
    </w:p>
    <w:p>
      <w:pPr>
        <w:pStyle w:val="10"/>
        <w:rPr>
          <w:rFonts w:hint="eastAsia" w:ascii="宋体" w:hAnsi="宋体" w:cs="宋体"/>
          <w:szCs w:val="21"/>
        </w:rPr>
      </w:pPr>
      <w:r>
        <w:rPr>
          <w:rFonts w:hint="eastAsia" w:ascii="宋体" w:hAnsi="宋体" w:cs="宋体"/>
          <w:szCs w:val="21"/>
        </w:rPr>
        <w:t>若耐火层在导体和绝缘层之间，允许绝缘层厚度减薄，减薄后的厚度应不小于标准厚度的80%，允许在耐火层上设置增强层。</w:t>
      </w:r>
    </w:p>
    <w:p>
      <w:pPr>
        <w:pStyle w:val="10"/>
        <w:rPr>
          <w:rFonts w:hint="eastAsia" w:ascii="宋体" w:hAnsi="宋体" w:cs="宋体"/>
          <w:szCs w:val="21"/>
        </w:rPr>
      </w:pPr>
      <w:r>
        <w:rPr>
          <w:rFonts w:hint="eastAsia" w:ascii="宋体" w:hAnsi="宋体" w:cs="宋体"/>
          <w:szCs w:val="21"/>
        </w:rPr>
        <w:t>  耐火电缆的性能和材料应满足现行最新版本的国家标准GB/T19666《阻燃和耐火电线电缆通则》的要求。</w:t>
      </w:r>
    </w:p>
    <w:p>
      <w:pPr>
        <w:pStyle w:val="10"/>
        <w:rPr>
          <w:rFonts w:hint="eastAsia" w:ascii="宋体" w:hAnsi="宋体" w:cs="宋体"/>
          <w:szCs w:val="21"/>
        </w:rPr>
      </w:pPr>
      <w:r>
        <w:rPr>
          <w:rFonts w:hint="eastAsia" w:ascii="宋体" w:hAnsi="宋体" w:cs="宋体"/>
          <w:szCs w:val="21"/>
        </w:rPr>
        <w:t>1.2.10.3 卖方应在技术协议中提供阻燃电缆和耐火电缆的检验报告，否则视为废标。5.3所有电缆导线中间不得有连接接头。电缆不圆度应小于10％。</w:t>
      </w:r>
    </w:p>
    <w:p>
      <w:pPr>
        <w:pStyle w:val="10"/>
        <w:rPr>
          <w:rFonts w:hint="eastAsia" w:ascii="宋体" w:hAnsi="宋体" w:cs="宋体"/>
          <w:szCs w:val="21"/>
        </w:rPr>
      </w:pPr>
      <w:r>
        <w:rPr>
          <w:rFonts w:hint="eastAsia" w:ascii="宋体" w:hAnsi="宋体" w:cs="宋体"/>
          <w:szCs w:val="21"/>
        </w:rPr>
        <w:t>3.4卖方应在技术协议中提供技术协议各种类型电缆的检验报告，未提供检验报告或者检验报告不合格均视为废标。</w:t>
      </w:r>
    </w:p>
    <w:p>
      <w:pPr>
        <w:pStyle w:val="10"/>
        <w:rPr>
          <w:rFonts w:hint="eastAsia" w:ascii="宋体" w:hAnsi="宋体" w:cs="宋体"/>
          <w:szCs w:val="21"/>
        </w:rPr>
      </w:pPr>
      <w:r>
        <w:rPr>
          <w:rFonts w:hint="eastAsia" w:ascii="宋体" w:hAnsi="宋体" w:cs="宋体"/>
          <w:szCs w:val="21"/>
        </w:rPr>
        <w:t>1.5电缆盘</w:t>
      </w:r>
    </w:p>
    <w:p>
      <w:pPr>
        <w:pStyle w:val="10"/>
        <w:rPr>
          <w:rFonts w:hint="eastAsia" w:ascii="宋体" w:hAnsi="宋体" w:cs="宋体"/>
          <w:szCs w:val="21"/>
        </w:rPr>
      </w:pPr>
      <w:r>
        <w:rPr>
          <w:rFonts w:hint="eastAsia" w:ascii="宋体" w:hAnsi="宋体" w:cs="宋体"/>
          <w:szCs w:val="21"/>
        </w:rPr>
        <w:t>    卖方应将电缆绕在不回收的电缆盘上，电缆盘应采用铁木结构，应能承受在运输、现场搬运中可能遭受的外力作用，应能在任何气象条件下在户外至少储存5年。电缆盘应能承受在安装或处理电缆时可能遭受的外力作用，且不会损伤电缆及盘体。电缆盘桶体最小直径应符合电缆最小弯曲半径。每盘电缆的端头应采用密封头密封。</w:t>
      </w:r>
    </w:p>
    <w:p>
      <w:pPr>
        <w:pStyle w:val="10"/>
        <w:rPr>
          <w:rFonts w:hint="eastAsia" w:ascii="宋体" w:hAnsi="宋体" w:cs="宋体"/>
          <w:szCs w:val="21"/>
        </w:rPr>
      </w:pPr>
      <w:r>
        <w:rPr>
          <w:rFonts w:hint="eastAsia" w:ascii="宋体" w:hAnsi="宋体" w:cs="宋体"/>
          <w:szCs w:val="21"/>
        </w:rPr>
        <w:t>1.6设备标示</w:t>
      </w:r>
    </w:p>
    <w:p>
      <w:pPr>
        <w:pStyle w:val="10"/>
        <w:rPr>
          <w:rFonts w:hint="eastAsia" w:ascii="宋体" w:hAnsi="宋体" w:cs="宋体"/>
          <w:szCs w:val="21"/>
        </w:rPr>
      </w:pPr>
      <w:r>
        <w:rPr>
          <w:rFonts w:hint="eastAsia" w:ascii="宋体" w:hAnsi="宋体" w:cs="宋体"/>
          <w:szCs w:val="21"/>
        </w:rPr>
        <w:t>1.6.1 电缆盘标志</w:t>
      </w:r>
    </w:p>
    <w:p>
      <w:pPr>
        <w:pStyle w:val="10"/>
        <w:ind w:firstLine="420" w:firstLineChars="200"/>
        <w:rPr>
          <w:rFonts w:hint="eastAsia" w:ascii="宋体" w:hAnsi="宋体" w:cs="宋体"/>
          <w:szCs w:val="21"/>
        </w:rPr>
      </w:pPr>
      <w:r>
        <w:rPr>
          <w:rFonts w:hint="eastAsia" w:ascii="宋体" w:hAnsi="宋体" w:cs="宋体"/>
          <w:szCs w:val="21"/>
        </w:rPr>
        <w:t>每个电缆盘应在其两侧作以下永久性标志：</w:t>
      </w:r>
    </w:p>
    <w:p>
      <w:pPr>
        <w:pStyle w:val="10"/>
        <w:ind w:left="630" w:leftChars="300"/>
        <w:rPr>
          <w:rFonts w:hint="eastAsia" w:ascii="宋体" w:hAnsi="宋体" w:cs="宋体"/>
          <w:szCs w:val="21"/>
        </w:rPr>
      </w:pPr>
      <w:r>
        <w:rPr>
          <w:rFonts w:hint="eastAsia" w:ascii="宋体" w:hAnsi="宋体" w:cs="宋体"/>
          <w:szCs w:val="21"/>
        </w:rPr>
        <w:t>电缆长度</w:t>
      </w:r>
    </w:p>
    <w:p>
      <w:pPr>
        <w:pStyle w:val="10"/>
        <w:ind w:left="630" w:leftChars="300"/>
        <w:rPr>
          <w:rFonts w:hint="eastAsia" w:ascii="宋体" w:hAnsi="宋体" w:cs="宋体"/>
          <w:szCs w:val="21"/>
        </w:rPr>
      </w:pPr>
      <w:r>
        <w:rPr>
          <w:rFonts w:hint="eastAsia" w:ascii="宋体" w:hAnsi="宋体" w:cs="宋体"/>
          <w:szCs w:val="21"/>
        </w:rPr>
        <w:t>电缆盘滚动方向</w:t>
      </w:r>
    </w:p>
    <w:p>
      <w:pPr>
        <w:pStyle w:val="10"/>
        <w:ind w:left="630" w:leftChars="300"/>
        <w:rPr>
          <w:rFonts w:hint="eastAsia" w:ascii="宋体" w:hAnsi="宋体" w:cs="宋体"/>
          <w:szCs w:val="21"/>
        </w:rPr>
      </w:pPr>
      <w:r>
        <w:rPr>
          <w:rFonts w:hint="eastAsia" w:ascii="宋体" w:hAnsi="宋体" w:cs="宋体"/>
          <w:szCs w:val="21"/>
        </w:rPr>
        <w:t>每个电缆盘应在其两侧作以下永久性标志：</w:t>
      </w:r>
    </w:p>
    <w:p>
      <w:pPr>
        <w:pStyle w:val="10"/>
        <w:ind w:left="630" w:leftChars="300"/>
        <w:rPr>
          <w:rFonts w:hint="eastAsia" w:ascii="宋体" w:hAnsi="宋体" w:cs="宋体"/>
          <w:szCs w:val="21"/>
        </w:rPr>
      </w:pPr>
      <w:r>
        <w:rPr>
          <w:rFonts w:hint="eastAsia" w:ascii="宋体" w:hAnsi="宋体" w:cs="宋体"/>
          <w:szCs w:val="21"/>
        </w:rPr>
        <w:t>a.电缆盘号</w:t>
      </w:r>
    </w:p>
    <w:p>
      <w:pPr>
        <w:pStyle w:val="10"/>
        <w:ind w:left="630" w:leftChars="300"/>
        <w:rPr>
          <w:rFonts w:hint="eastAsia" w:ascii="宋体" w:hAnsi="宋体" w:cs="宋体"/>
          <w:szCs w:val="21"/>
        </w:rPr>
      </w:pPr>
      <w:r>
        <w:rPr>
          <w:rFonts w:hint="eastAsia" w:ascii="宋体" w:hAnsi="宋体" w:cs="宋体"/>
          <w:szCs w:val="21"/>
        </w:rPr>
        <w:t>b.订货单序号／供货单序号和合同项目号</w:t>
      </w:r>
    </w:p>
    <w:p>
      <w:pPr>
        <w:pStyle w:val="10"/>
        <w:ind w:left="630" w:leftChars="300"/>
        <w:rPr>
          <w:rFonts w:hint="eastAsia" w:ascii="宋体" w:hAnsi="宋体" w:cs="宋体"/>
          <w:szCs w:val="21"/>
        </w:rPr>
      </w:pPr>
      <w:r>
        <w:rPr>
          <w:rFonts w:hint="eastAsia" w:ascii="宋体" w:hAnsi="宋体" w:cs="宋体"/>
          <w:szCs w:val="21"/>
        </w:rPr>
        <w:t>c.电缆电压</w:t>
      </w:r>
    </w:p>
    <w:p>
      <w:pPr>
        <w:pStyle w:val="10"/>
        <w:ind w:left="630" w:leftChars="300"/>
        <w:rPr>
          <w:rFonts w:hint="eastAsia" w:ascii="宋体" w:hAnsi="宋体" w:cs="宋体"/>
          <w:szCs w:val="21"/>
        </w:rPr>
      </w:pPr>
      <w:r>
        <w:rPr>
          <w:rFonts w:hint="eastAsia" w:ascii="宋体" w:hAnsi="宋体" w:cs="宋体"/>
          <w:szCs w:val="21"/>
        </w:rPr>
        <w:t>d.芯数</w:t>
      </w:r>
    </w:p>
    <w:p>
      <w:pPr>
        <w:pStyle w:val="10"/>
        <w:ind w:left="630" w:leftChars="300"/>
        <w:rPr>
          <w:rFonts w:hint="eastAsia" w:ascii="宋体" w:hAnsi="宋体" w:cs="宋体"/>
          <w:szCs w:val="21"/>
        </w:rPr>
      </w:pPr>
      <w:r>
        <w:rPr>
          <w:rFonts w:hint="eastAsia" w:ascii="宋体" w:hAnsi="宋体" w:cs="宋体"/>
          <w:szCs w:val="21"/>
        </w:rPr>
        <w:t>e.截面</w:t>
      </w:r>
    </w:p>
    <w:p>
      <w:pPr>
        <w:pStyle w:val="10"/>
        <w:ind w:left="630" w:leftChars="300"/>
        <w:rPr>
          <w:rFonts w:hint="eastAsia" w:ascii="宋体" w:hAnsi="宋体" w:cs="宋体"/>
          <w:szCs w:val="21"/>
        </w:rPr>
      </w:pPr>
      <w:r>
        <w:rPr>
          <w:rFonts w:hint="eastAsia" w:ascii="宋体" w:hAnsi="宋体" w:cs="宋体"/>
          <w:szCs w:val="21"/>
        </w:rPr>
        <w:t>f.电缆长度、每盘电缆计米从0开始计数，同型号电缆不得累加。</w:t>
      </w:r>
    </w:p>
    <w:p>
      <w:pPr>
        <w:pStyle w:val="10"/>
        <w:ind w:left="630" w:leftChars="300"/>
        <w:rPr>
          <w:rFonts w:hint="eastAsia" w:ascii="宋体" w:hAnsi="宋体" w:cs="宋体"/>
          <w:szCs w:val="21"/>
        </w:rPr>
      </w:pPr>
      <w:r>
        <w:rPr>
          <w:rFonts w:hint="eastAsia" w:ascii="宋体" w:hAnsi="宋体" w:cs="宋体"/>
          <w:szCs w:val="21"/>
        </w:rPr>
        <w:t>g.电缆盘滚动方向</w:t>
      </w:r>
    </w:p>
    <w:p>
      <w:pPr>
        <w:pStyle w:val="10"/>
        <w:ind w:left="630" w:leftChars="300"/>
        <w:rPr>
          <w:rFonts w:hint="eastAsia" w:ascii="宋体" w:hAnsi="宋体" w:cs="宋体"/>
          <w:szCs w:val="21"/>
        </w:rPr>
      </w:pPr>
      <w:r>
        <w:rPr>
          <w:rFonts w:hint="eastAsia" w:ascii="宋体" w:hAnsi="宋体" w:cs="宋体"/>
          <w:szCs w:val="21"/>
        </w:rPr>
        <w:t>h.重量、每盘电缆毛重，净重标明。</w:t>
      </w:r>
    </w:p>
    <w:p>
      <w:pPr>
        <w:pStyle w:val="10"/>
        <w:ind w:left="630" w:leftChars="300"/>
        <w:rPr>
          <w:rFonts w:hint="eastAsia" w:ascii="宋体" w:hAnsi="宋体" w:cs="宋体"/>
          <w:szCs w:val="21"/>
        </w:rPr>
      </w:pPr>
      <w:r>
        <w:rPr>
          <w:rFonts w:hint="eastAsia" w:ascii="宋体" w:hAnsi="宋体" w:cs="宋体"/>
          <w:szCs w:val="21"/>
        </w:rPr>
        <w:t>i.生产厂家名称、厂名必须印字电缆盘上。</w:t>
      </w:r>
    </w:p>
    <w:p>
      <w:pPr>
        <w:pStyle w:val="10"/>
        <w:rPr>
          <w:rFonts w:hint="eastAsia" w:ascii="宋体" w:hAnsi="宋体" w:cs="宋体"/>
          <w:szCs w:val="21"/>
        </w:rPr>
      </w:pPr>
      <w:r>
        <w:rPr>
          <w:rFonts w:hint="eastAsia" w:ascii="宋体" w:hAnsi="宋体" w:cs="宋体"/>
          <w:szCs w:val="21"/>
        </w:rPr>
        <w:t>1.6.2 电缆标志</w:t>
      </w:r>
    </w:p>
    <w:p>
      <w:pPr>
        <w:pStyle w:val="10"/>
        <w:ind w:firstLine="420" w:firstLineChars="200"/>
        <w:rPr>
          <w:rFonts w:hint="eastAsia" w:ascii="宋体" w:hAnsi="宋体" w:cs="宋体"/>
          <w:szCs w:val="21"/>
        </w:rPr>
      </w:pPr>
      <w:r>
        <w:rPr>
          <w:rFonts w:hint="eastAsia" w:ascii="宋体" w:hAnsi="宋体" w:cs="宋体"/>
          <w:szCs w:val="21"/>
        </w:rPr>
        <w:t>电缆应在外层表面上印有以下标记，标记应清晰、耐磨擦，并具有连续性，应满足现行最新版本的国家标准GB/T 6995《电线电缆识别标志方法》的要求。</w:t>
      </w:r>
    </w:p>
    <w:p>
      <w:pPr>
        <w:pStyle w:val="10"/>
        <w:ind w:left="420" w:leftChars="200"/>
        <w:rPr>
          <w:rFonts w:hint="eastAsia" w:ascii="宋体" w:hAnsi="宋体" w:cs="宋体"/>
          <w:szCs w:val="21"/>
        </w:rPr>
      </w:pPr>
      <w:r>
        <w:rPr>
          <w:rFonts w:hint="eastAsia" w:ascii="宋体" w:hAnsi="宋体" w:cs="宋体"/>
          <w:szCs w:val="21"/>
        </w:rPr>
        <w:t>生产厂家名称</w:t>
      </w:r>
    </w:p>
    <w:p>
      <w:pPr>
        <w:pStyle w:val="10"/>
        <w:ind w:left="420" w:leftChars="200"/>
        <w:rPr>
          <w:rFonts w:hint="eastAsia" w:ascii="宋体" w:hAnsi="宋体" w:cs="宋体"/>
          <w:szCs w:val="21"/>
        </w:rPr>
      </w:pPr>
      <w:r>
        <w:rPr>
          <w:rFonts w:hint="eastAsia" w:ascii="宋体" w:hAnsi="宋体" w:cs="宋体"/>
          <w:szCs w:val="21"/>
        </w:rPr>
        <w:t>芯数</w:t>
      </w:r>
    </w:p>
    <w:p>
      <w:pPr>
        <w:pStyle w:val="10"/>
        <w:ind w:left="420" w:leftChars="200"/>
        <w:rPr>
          <w:rFonts w:hint="eastAsia" w:ascii="宋体" w:hAnsi="宋体" w:cs="宋体"/>
          <w:szCs w:val="21"/>
        </w:rPr>
      </w:pPr>
      <w:r>
        <w:rPr>
          <w:rFonts w:hint="eastAsia" w:ascii="宋体" w:hAnsi="宋体" w:cs="宋体"/>
          <w:szCs w:val="21"/>
        </w:rPr>
        <w:t>导体截面</w:t>
      </w:r>
    </w:p>
    <w:p>
      <w:pPr>
        <w:pStyle w:val="10"/>
        <w:ind w:left="420" w:leftChars="200"/>
        <w:rPr>
          <w:rFonts w:hint="eastAsia" w:ascii="宋体" w:hAnsi="宋体" w:cs="宋体"/>
          <w:szCs w:val="21"/>
        </w:rPr>
      </w:pPr>
      <w:r>
        <w:rPr>
          <w:rFonts w:hint="eastAsia" w:ascii="宋体" w:hAnsi="宋体" w:cs="宋体"/>
          <w:szCs w:val="21"/>
        </w:rPr>
        <w:t>额定电压</w:t>
      </w:r>
    </w:p>
    <w:p>
      <w:pPr>
        <w:pStyle w:val="10"/>
        <w:ind w:left="420" w:leftChars="200"/>
        <w:rPr>
          <w:rFonts w:hint="eastAsia" w:ascii="宋体" w:hAnsi="宋体" w:cs="宋体"/>
          <w:szCs w:val="21"/>
        </w:rPr>
      </w:pPr>
      <w:r>
        <w:rPr>
          <w:rFonts w:hint="eastAsia" w:ascii="宋体" w:hAnsi="宋体" w:cs="宋体"/>
          <w:szCs w:val="21"/>
        </w:rPr>
        <w:t>米标（长度标识距离最长1m）</w:t>
      </w:r>
    </w:p>
    <w:p>
      <w:pPr>
        <w:pStyle w:val="10"/>
        <w:rPr>
          <w:rFonts w:hint="eastAsia" w:ascii="宋体" w:hAnsi="宋体" w:cs="宋体"/>
          <w:szCs w:val="21"/>
        </w:rPr>
      </w:pPr>
      <w:r>
        <w:rPr>
          <w:rFonts w:hint="eastAsia" w:ascii="宋体" w:hAnsi="宋体" w:cs="宋体"/>
          <w:szCs w:val="21"/>
        </w:rPr>
        <w:t>1.7 包装、运输和存储要求</w:t>
      </w:r>
    </w:p>
    <w:p>
      <w:pPr>
        <w:pStyle w:val="10"/>
        <w:rPr>
          <w:rFonts w:hint="eastAsia" w:ascii="宋体" w:hAnsi="宋体" w:cs="宋体"/>
          <w:szCs w:val="21"/>
        </w:rPr>
      </w:pPr>
      <w:r>
        <w:rPr>
          <w:rFonts w:hint="eastAsia" w:ascii="宋体" w:hAnsi="宋体" w:cs="宋体"/>
          <w:szCs w:val="21"/>
        </w:rPr>
        <w:t>1.7.1 设备制造完成并通过试验后，应及时包装，否则应得到切实的保护，确保不受污损。</w:t>
      </w:r>
    </w:p>
    <w:p>
      <w:pPr>
        <w:pStyle w:val="10"/>
        <w:rPr>
          <w:rFonts w:hint="eastAsia" w:ascii="宋体" w:hAnsi="宋体" w:cs="宋体"/>
          <w:szCs w:val="21"/>
        </w:rPr>
      </w:pPr>
      <w:r>
        <w:rPr>
          <w:rFonts w:hint="eastAsia" w:ascii="宋体" w:hAnsi="宋体" w:cs="宋体"/>
          <w:szCs w:val="21"/>
        </w:rPr>
        <w:t>1.7.2 所有部件经妥善包装或装箱后，在运输过程中尚应采取其它防护措施，以免散失、损坏或被盗。</w:t>
      </w:r>
    </w:p>
    <w:p>
      <w:pPr>
        <w:pStyle w:val="10"/>
        <w:rPr>
          <w:rFonts w:hint="eastAsia" w:ascii="宋体" w:hAnsi="宋体" w:cs="宋体"/>
          <w:szCs w:val="21"/>
        </w:rPr>
      </w:pPr>
      <w:r>
        <w:rPr>
          <w:rFonts w:hint="eastAsia" w:ascii="宋体" w:hAnsi="宋体" w:cs="宋体"/>
          <w:szCs w:val="21"/>
        </w:rPr>
        <w:t>1.7.3 电缆的包装、运输应符合现行最新版本的国家标准GB191《包装储运图示标志》 的规定，且含装箱单、合格证。包装箱上应有明显的包装储运图标志。</w:t>
      </w:r>
    </w:p>
    <w:p>
      <w:pPr>
        <w:pStyle w:val="10"/>
        <w:rPr>
          <w:rFonts w:hint="eastAsia" w:ascii="宋体" w:hAnsi="宋体" w:cs="宋体"/>
          <w:szCs w:val="21"/>
        </w:rPr>
      </w:pPr>
      <w:r>
        <w:rPr>
          <w:rFonts w:hint="eastAsia" w:ascii="宋体" w:hAnsi="宋体" w:cs="宋体"/>
          <w:szCs w:val="21"/>
        </w:rPr>
        <w:t>1.7.4 在包装箱外应标明需方的订货号、发货号。</w:t>
      </w:r>
    </w:p>
    <w:p>
      <w:pPr>
        <w:pStyle w:val="10"/>
        <w:rPr>
          <w:rFonts w:hint="eastAsia" w:ascii="宋体" w:hAnsi="宋体" w:cs="宋体"/>
          <w:szCs w:val="21"/>
        </w:rPr>
      </w:pPr>
      <w:r>
        <w:rPr>
          <w:rFonts w:hint="eastAsia" w:ascii="宋体" w:hAnsi="宋体" w:cs="宋体"/>
          <w:szCs w:val="21"/>
        </w:rPr>
        <w:t>1.7.5 各种包装应能确保零部件在运输过程中，不遭到损坏、丢失、变形、受潮和腐蚀。</w:t>
      </w:r>
    </w:p>
    <w:p>
      <w:pPr>
        <w:pStyle w:val="10"/>
        <w:rPr>
          <w:rFonts w:hint="eastAsia" w:ascii="宋体" w:hAnsi="宋体" w:cs="宋体"/>
          <w:szCs w:val="21"/>
        </w:rPr>
      </w:pPr>
      <w:r>
        <w:rPr>
          <w:rFonts w:hint="eastAsia" w:ascii="宋体" w:hAnsi="宋体" w:cs="宋体"/>
          <w:szCs w:val="21"/>
        </w:rPr>
        <w:t>1.7.6 整体产品或分别运输的部件都要适合运输和装载的要求。</w:t>
      </w:r>
    </w:p>
    <w:p>
      <w:pPr>
        <w:pStyle w:val="10"/>
        <w:rPr>
          <w:rFonts w:hint="eastAsia" w:ascii="宋体" w:hAnsi="宋体" w:cs="宋体"/>
          <w:szCs w:val="21"/>
        </w:rPr>
      </w:pPr>
      <w:r>
        <w:rPr>
          <w:rFonts w:hint="eastAsia" w:ascii="宋体" w:hAnsi="宋体" w:cs="宋体"/>
          <w:szCs w:val="21"/>
        </w:rPr>
        <w:t>1.7.7 随产品提供的技术资料应完整无缺，提供的文件包括但不限于以下：</w:t>
      </w:r>
    </w:p>
    <w:p>
      <w:pPr>
        <w:pStyle w:val="10"/>
        <w:ind w:left="420" w:leftChars="200"/>
        <w:rPr>
          <w:rFonts w:hint="eastAsia" w:ascii="宋体" w:hAnsi="宋体" w:cs="宋体"/>
          <w:szCs w:val="21"/>
        </w:rPr>
      </w:pPr>
      <w:r>
        <w:rPr>
          <w:rFonts w:hint="eastAsia" w:ascii="宋体" w:hAnsi="宋体" w:cs="宋体"/>
          <w:szCs w:val="21"/>
        </w:rPr>
        <w:t>装箱单</w:t>
      </w:r>
    </w:p>
    <w:p>
      <w:pPr>
        <w:pStyle w:val="10"/>
        <w:ind w:left="420" w:leftChars="200"/>
        <w:rPr>
          <w:rFonts w:hint="eastAsia" w:ascii="宋体" w:hAnsi="宋体" w:cs="宋体"/>
          <w:szCs w:val="21"/>
        </w:rPr>
      </w:pPr>
      <w:r>
        <w:rPr>
          <w:rFonts w:hint="eastAsia" w:ascii="宋体" w:hAnsi="宋体" w:cs="宋体"/>
          <w:szCs w:val="21"/>
        </w:rPr>
        <w:t>产品说明书</w:t>
      </w:r>
    </w:p>
    <w:p>
      <w:pPr>
        <w:pStyle w:val="10"/>
        <w:ind w:left="420" w:leftChars="200"/>
        <w:rPr>
          <w:rFonts w:hint="eastAsia" w:ascii="宋体" w:hAnsi="宋体" w:cs="宋体"/>
          <w:szCs w:val="21"/>
        </w:rPr>
      </w:pPr>
      <w:r>
        <w:rPr>
          <w:rFonts w:hint="eastAsia" w:ascii="宋体" w:hAnsi="宋体" w:cs="宋体"/>
          <w:szCs w:val="21"/>
        </w:rPr>
        <w:t>产品检验合格证书</w:t>
      </w:r>
    </w:p>
    <w:p>
      <w:pPr>
        <w:pStyle w:val="10"/>
        <w:ind w:left="420" w:leftChars="200"/>
        <w:rPr>
          <w:rFonts w:hint="eastAsia" w:ascii="宋体" w:hAnsi="宋体" w:cs="宋体"/>
          <w:szCs w:val="21"/>
        </w:rPr>
      </w:pPr>
      <w:r>
        <w:rPr>
          <w:rFonts w:hint="eastAsia" w:ascii="宋体" w:hAnsi="宋体" w:cs="宋体"/>
          <w:szCs w:val="21"/>
        </w:rPr>
        <w:t>安装指示图</w:t>
      </w:r>
    </w:p>
    <w:p>
      <w:pPr>
        <w:pStyle w:val="10"/>
        <w:rPr>
          <w:rFonts w:hint="eastAsia" w:ascii="宋体" w:hAnsi="宋体" w:cs="宋体"/>
          <w:szCs w:val="21"/>
        </w:rPr>
      </w:pPr>
      <w:r>
        <w:rPr>
          <w:rFonts w:hint="eastAsia" w:ascii="宋体" w:hAnsi="宋体" w:cs="宋体"/>
          <w:szCs w:val="21"/>
        </w:rPr>
        <w:t>1.7.8 同批电缆和附件应统一编号运输。</w:t>
      </w:r>
    </w:p>
    <w:p>
      <w:pPr>
        <w:pStyle w:val="10"/>
        <w:rPr>
          <w:rFonts w:hint="eastAsia" w:ascii="宋体" w:hAnsi="宋体" w:cs="宋体"/>
          <w:szCs w:val="21"/>
        </w:rPr>
      </w:pPr>
      <w:r>
        <w:rPr>
          <w:rFonts w:hint="eastAsia" w:ascii="宋体" w:hAnsi="宋体" w:cs="宋体"/>
          <w:szCs w:val="21"/>
        </w:rPr>
        <w:t>1.8 卖方应提供以下资料：</w:t>
      </w:r>
    </w:p>
    <w:p>
      <w:pPr>
        <w:pStyle w:val="10"/>
        <w:ind w:left="420" w:leftChars="200"/>
        <w:rPr>
          <w:rFonts w:hint="eastAsia" w:ascii="宋体" w:hAnsi="宋体" w:cs="宋体"/>
          <w:szCs w:val="21"/>
        </w:rPr>
      </w:pPr>
      <w:r>
        <w:rPr>
          <w:rFonts w:hint="eastAsia" w:ascii="宋体" w:hAnsi="宋体" w:cs="宋体"/>
          <w:szCs w:val="21"/>
        </w:rPr>
        <w:t>导体材料型号及生产厂家；</w:t>
      </w:r>
    </w:p>
    <w:p>
      <w:pPr>
        <w:pStyle w:val="10"/>
        <w:ind w:left="420" w:leftChars="200"/>
        <w:rPr>
          <w:rFonts w:hint="eastAsia" w:ascii="宋体" w:hAnsi="宋体" w:cs="宋体"/>
          <w:szCs w:val="21"/>
        </w:rPr>
      </w:pPr>
      <w:r>
        <w:rPr>
          <w:rFonts w:hint="eastAsia" w:ascii="宋体" w:hAnsi="宋体" w:cs="宋体"/>
          <w:szCs w:val="21"/>
        </w:rPr>
        <w:t>绝缘材料的型号、平均厚度、最薄处厚度及生产厂家；</w:t>
      </w:r>
    </w:p>
    <w:p>
      <w:pPr>
        <w:pStyle w:val="10"/>
        <w:ind w:left="420" w:leftChars="200"/>
        <w:rPr>
          <w:rFonts w:hint="eastAsia" w:ascii="宋体" w:hAnsi="宋体" w:cs="宋体"/>
          <w:szCs w:val="21"/>
        </w:rPr>
      </w:pPr>
      <w:r>
        <w:rPr>
          <w:rFonts w:hint="eastAsia" w:ascii="宋体" w:hAnsi="宋体" w:cs="宋体"/>
          <w:szCs w:val="21"/>
        </w:rPr>
        <w:t>外护套材料的型号、平均厚度、最薄处厚度及生产厂家；</w:t>
      </w:r>
    </w:p>
    <w:p>
      <w:pPr>
        <w:pStyle w:val="10"/>
        <w:ind w:left="420" w:leftChars="200"/>
        <w:rPr>
          <w:rFonts w:hint="eastAsia" w:ascii="宋体" w:hAnsi="宋体" w:cs="宋体"/>
          <w:szCs w:val="21"/>
        </w:rPr>
      </w:pPr>
      <w:r>
        <w:rPr>
          <w:rFonts w:hint="eastAsia" w:ascii="宋体" w:hAnsi="宋体" w:cs="宋体"/>
          <w:szCs w:val="21"/>
        </w:rPr>
        <w:t>各种规格电缆导体的电阻；</w:t>
      </w:r>
    </w:p>
    <w:p>
      <w:pPr>
        <w:pStyle w:val="10"/>
        <w:ind w:left="420" w:leftChars="200"/>
        <w:rPr>
          <w:rFonts w:hint="eastAsia" w:ascii="宋体" w:hAnsi="宋体" w:cs="宋体"/>
          <w:szCs w:val="21"/>
        </w:rPr>
      </w:pPr>
      <w:r>
        <w:rPr>
          <w:rFonts w:hint="eastAsia" w:ascii="宋体" w:hAnsi="宋体" w:cs="宋体"/>
          <w:szCs w:val="21"/>
        </w:rPr>
        <w:t>绝缘层和外护套的耐受电压；</w:t>
      </w:r>
    </w:p>
    <w:p>
      <w:pPr>
        <w:pStyle w:val="10"/>
        <w:ind w:left="420" w:leftChars="200"/>
        <w:rPr>
          <w:rFonts w:hint="eastAsia" w:ascii="宋体" w:hAnsi="宋体" w:cs="宋体"/>
          <w:szCs w:val="21"/>
        </w:rPr>
      </w:pPr>
      <w:r>
        <w:rPr>
          <w:rFonts w:hint="eastAsia" w:ascii="宋体" w:hAnsi="宋体" w:cs="宋体"/>
          <w:szCs w:val="21"/>
        </w:rPr>
        <w:t>非可燃之充填材料生产厂家、材质；</w:t>
      </w:r>
    </w:p>
    <w:p>
      <w:pPr>
        <w:pStyle w:val="10"/>
        <w:ind w:left="420" w:leftChars="200"/>
        <w:rPr>
          <w:rFonts w:hint="eastAsia" w:ascii="宋体" w:hAnsi="宋体" w:cs="宋体"/>
          <w:szCs w:val="21"/>
        </w:rPr>
      </w:pPr>
      <w:r>
        <w:rPr>
          <w:rFonts w:hint="eastAsia" w:ascii="宋体" w:hAnsi="宋体" w:cs="宋体"/>
          <w:szCs w:val="21"/>
        </w:rPr>
        <w:t>阻燃材料型号及生产厂家；</w:t>
      </w:r>
    </w:p>
    <w:p>
      <w:pPr>
        <w:pStyle w:val="10"/>
        <w:ind w:left="420" w:leftChars="200"/>
        <w:rPr>
          <w:rFonts w:hint="eastAsia" w:ascii="宋体" w:hAnsi="宋体" w:cs="宋体"/>
          <w:szCs w:val="21"/>
        </w:rPr>
      </w:pPr>
      <w:r>
        <w:rPr>
          <w:rFonts w:hint="eastAsia" w:ascii="宋体" w:hAnsi="宋体" w:cs="宋体"/>
          <w:szCs w:val="21"/>
        </w:rPr>
        <w:t>主要机械物理性能。</w:t>
      </w:r>
    </w:p>
    <w:p>
      <w:pPr>
        <w:pStyle w:val="10"/>
        <w:rPr>
          <w:rFonts w:hint="eastAsia" w:ascii="宋体" w:hAnsi="宋体" w:cs="宋体"/>
          <w:szCs w:val="21"/>
        </w:rPr>
      </w:pPr>
      <w:r>
        <w:rPr>
          <w:rFonts w:hint="eastAsia" w:ascii="宋体" w:hAnsi="宋体" w:cs="宋体"/>
          <w:b/>
          <w:bCs/>
          <w:szCs w:val="21"/>
        </w:rPr>
        <w:t>2、性能试验和保证</w:t>
      </w:r>
    </w:p>
    <w:p>
      <w:pPr>
        <w:pStyle w:val="10"/>
        <w:ind w:firstLine="420" w:firstLineChars="200"/>
        <w:rPr>
          <w:rFonts w:hint="eastAsia" w:ascii="宋体" w:hAnsi="宋体" w:cs="宋体"/>
          <w:szCs w:val="21"/>
        </w:rPr>
      </w:pPr>
      <w:r>
        <w:rPr>
          <w:rFonts w:hint="eastAsia" w:ascii="宋体" w:hAnsi="宋体" w:cs="宋体"/>
          <w:szCs w:val="21"/>
        </w:rPr>
        <w:t>对于试验项目不合格的产品、试验证书无效或不被接受，买方有权退货，且由卖方包赔由此产生的全部经济损失（至少包括试验费、延误工期和施工安装费用）。</w:t>
      </w:r>
    </w:p>
    <w:p>
      <w:pPr>
        <w:pStyle w:val="10"/>
        <w:rPr>
          <w:rFonts w:hint="eastAsia" w:ascii="宋体" w:hAnsi="宋体" w:cs="宋体"/>
          <w:szCs w:val="21"/>
        </w:rPr>
      </w:pPr>
      <w:r>
        <w:rPr>
          <w:rFonts w:hint="eastAsia" w:ascii="宋体" w:hAnsi="宋体" w:cs="宋体"/>
          <w:szCs w:val="21"/>
        </w:rPr>
        <w:t>2.1 性能试验</w:t>
      </w:r>
    </w:p>
    <w:p>
      <w:pPr>
        <w:pStyle w:val="10"/>
        <w:ind w:firstLine="420" w:firstLineChars="200"/>
        <w:rPr>
          <w:rFonts w:hint="eastAsia" w:ascii="宋体" w:hAnsi="宋体" w:cs="宋体"/>
          <w:szCs w:val="21"/>
        </w:rPr>
      </w:pPr>
      <w:r>
        <w:rPr>
          <w:rFonts w:hint="eastAsia" w:ascii="宋体" w:hAnsi="宋体" w:cs="宋体"/>
          <w:szCs w:val="21"/>
        </w:rPr>
        <w:t>性能试验应满足现行最新版本的国家标准GB/T12706.2《额定电压1kV（Um=1.2kV）到35kV（Um=40.5kV）挤包绝缘电力电缆及附件 第2部分：额定电压6kV（Um=7.2kV）到30kV（Um=36kV）电缆》的要求。卖方应在技术协议中提供下列型式试验报告。</w:t>
      </w:r>
    </w:p>
    <w:p>
      <w:pPr>
        <w:pStyle w:val="10"/>
        <w:rPr>
          <w:rFonts w:hint="eastAsia" w:ascii="宋体" w:hAnsi="宋体" w:cs="宋体"/>
          <w:szCs w:val="21"/>
        </w:rPr>
      </w:pPr>
      <w:r>
        <w:rPr>
          <w:rFonts w:hint="eastAsia" w:ascii="宋体" w:hAnsi="宋体" w:cs="宋体"/>
          <w:szCs w:val="21"/>
        </w:rPr>
        <w:t xml:space="preserve">2.1.1 型式试验 </w:t>
      </w:r>
    </w:p>
    <w:p>
      <w:pPr>
        <w:pStyle w:val="10"/>
        <w:rPr>
          <w:rFonts w:hint="eastAsia" w:ascii="宋体" w:hAnsi="宋体" w:cs="宋体"/>
          <w:szCs w:val="21"/>
        </w:rPr>
      </w:pPr>
      <w:r>
        <w:rPr>
          <w:rFonts w:hint="eastAsia" w:ascii="宋体" w:hAnsi="宋体" w:cs="宋体"/>
          <w:szCs w:val="21"/>
        </w:rPr>
        <w:t xml:space="preserve">2.1.1.1 电气型式试验 </w:t>
      </w:r>
    </w:p>
    <w:p>
      <w:pPr>
        <w:pStyle w:val="10"/>
        <w:ind w:left="420" w:leftChars="200"/>
        <w:rPr>
          <w:rFonts w:hint="eastAsia" w:ascii="宋体" w:hAnsi="宋体" w:cs="宋体"/>
          <w:szCs w:val="21"/>
        </w:rPr>
      </w:pPr>
      <w:r>
        <w:rPr>
          <w:rFonts w:hint="eastAsia" w:ascii="宋体" w:hAnsi="宋体" w:cs="宋体"/>
          <w:szCs w:val="21"/>
        </w:rPr>
        <w:t>弯曲试验</w:t>
      </w:r>
    </w:p>
    <w:p>
      <w:pPr>
        <w:pStyle w:val="10"/>
        <w:ind w:left="420" w:leftChars="200"/>
        <w:rPr>
          <w:rFonts w:hint="eastAsia" w:ascii="宋体" w:hAnsi="宋体" w:cs="宋体"/>
          <w:szCs w:val="21"/>
        </w:rPr>
      </w:pPr>
      <w:r>
        <w:rPr>
          <w:rFonts w:hint="eastAsia" w:ascii="宋体" w:hAnsi="宋体" w:cs="宋体"/>
          <w:szCs w:val="21"/>
        </w:rPr>
        <w:t>局部放电试验</w:t>
      </w:r>
    </w:p>
    <w:p>
      <w:pPr>
        <w:pStyle w:val="10"/>
        <w:ind w:left="420" w:leftChars="200"/>
        <w:rPr>
          <w:rFonts w:hint="eastAsia" w:ascii="宋体" w:hAnsi="宋体" w:cs="宋体"/>
          <w:szCs w:val="21"/>
        </w:rPr>
      </w:pPr>
      <w:r>
        <w:rPr>
          <w:rFonts w:hint="eastAsia" w:ascii="宋体" w:hAnsi="宋体" w:cs="宋体"/>
          <w:szCs w:val="21"/>
        </w:rPr>
        <w:t>tgδ测量</w:t>
      </w:r>
    </w:p>
    <w:p>
      <w:pPr>
        <w:pStyle w:val="10"/>
        <w:ind w:left="420" w:leftChars="200"/>
        <w:rPr>
          <w:rFonts w:hint="eastAsia" w:ascii="宋体" w:hAnsi="宋体" w:cs="宋体"/>
          <w:szCs w:val="21"/>
        </w:rPr>
      </w:pPr>
      <w:r>
        <w:rPr>
          <w:rFonts w:hint="eastAsia" w:ascii="宋体" w:hAnsi="宋体" w:cs="宋体"/>
          <w:szCs w:val="21"/>
        </w:rPr>
        <w:t>热循环试验</w:t>
      </w:r>
    </w:p>
    <w:p>
      <w:pPr>
        <w:pStyle w:val="10"/>
        <w:ind w:left="420" w:leftChars="200"/>
        <w:rPr>
          <w:rFonts w:hint="eastAsia" w:ascii="宋体" w:hAnsi="宋体" w:cs="宋体"/>
          <w:szCs w:val="21"/>
        </w:rPr>
      </w:pPr>
      <w:r>
        <w:rPr>
          <w:rFonts w:hint="eastAsia" w:ascii="宋体" w:hAnsi="宋体" w:cs="宋体"/>
          <w:szCs w:val="21"/>
        </w:rPr>
        <w:t>冲击电压试验</w:t>
      </w:r>
    </w:p>
    <w:p>
      <w:pPr>
        <w:pStyle w:val="10"/>
        <w:ind w:left="420" w:leftChars="200"/>
        <w:rPr>
          <w:rFonts w:hint="eastAsia" w:ascii="宋体" w:hAnsi="宋体" w:cs="宋体"/>
          <w:szCs w:val="21"/>
        </w:rPr>
      </w:pPr>
      <w:r>
        <w:rPr>
          <w:rFonts w:hint="eastAsia" w:ascii="宋体" w:hAnsi="宋体" w:cs="宋体"/>
          <w:szCs w:val="21"/>
        </w:rPr>
        <w:t>工频电压试验</w:t>
      </w:r>
    </w:p>
    <w:p>
      <w:pPr>
        <w:pStyle w:val="10"/>
        <w:ind w:left="420" w:leftChars="200"/>
        <w:rPr>
          <w:rFonts w:hint="eastAsia" w:ascii="宋体" w:hAnsi="宋体" w:cs="宋体"/>
          <w:szCs w:val="21"/>
        </w:rPr>
      </w:pPr>
      <w:r>
        <w:rPr>
          <w:rFonts w:hint="eastAsia" w:ascii="宋体" w:hAnsi="宋体" w:cs="宋体"/>
          <w:szCs w:val="21"/>
        </w:rPr>
        <w:t>4h电压试验</w:t>
      </w:r>
    </w:p>
    <w:p>
      <w:pPr>
        <w:pStyle w:val="10"/>
        <w:ind w:left="420" w:leftChars="200"/>
        <w:rPr>
          <w:rFonts w:hint="eastAsia" w:ascii="宋体" w:hAnsi="宋体" w:cs="宋体"/>
          <w:szCs w:val="21"/>
        </w:rPr>
      </w:pPr>
      <w:r>
        <w:rPr>
          <w:rFonts w:hint="eastAsia" w:ascii="宋体" w:hAnsi="宋体" w:cs="宋体"/>
          <w:szCs w:val="21"/>
        </w:rPr>
        <w:t>半导电屏蔽电阻率</w:t>
      </w:r>
    </w:p>
    <w:p>
      <w:pPr>
        <w:pStyle w:val="10"/>
        <w:ind w:left="420" w:leftChars="200"/>
        <w:rPr>
          <w:rFonts w:hint="eastAsia" w:ascii="宋体" w:hAnsi="宋体" w:cs="宋体"/>
          <w:szCs w:val="21"/>
        </w:rPr>
      </w:pPr>
      <w:r>
        <w:rPr>
          <w:rFonts w:hint="eastAsia" w:ascii="宋体" w:hAnsi="宋体" w:cs="宋体"/>
          <w:szCs w:val="21"/>
        </w:rPr>
        <w:t>环境温度下绝缘电阻测量</w:t>
      </w:r>
    </w:p>
    <w:p>
      <w:pPr>
        <w:pStyle w:val="10"/>
        <w:ind w:left="420" w:leftChars="200"/>
        <w:rPr>
          <w:rFonts w:hint="eastAsia" w:ascii="宋体" w:hAnsi="宋体" w:cs="宋体"/>
          <w:szCs w:val="21"/>
        </w:rPr>
      </w:pPr>
      <w:r>
        <w:rPr>
          <w:rFonts w:hint="eastAsia" w:ascii="宋体" w:hAnsi="宋体" w:cs="宋体"/>
          <w:szCs w:val="21"/>
        </w:rPr>
        <w:t>导体最高温度下绝缘电阻测量</w:t>
      </w:r>
    </w:p>
    <w:p>
      <w:pPr>
        <w:pStyle w:val="10"/>
        <w:rPr>
          <w:rFonts w:hint="eastAsia" w:ascii="宋体" w:hAnsi="宋体" w:cs="宋体"/>
          <w:szCs w:val="21"/>
        </w:rPr>
      </w:pPr>
      <w:r>
        <w:rPr>
          <w:rFonts w:hint="eastAsia" w:ascii="宋体" w:hAnsi="宋体" w:cs="宋体"/>
          <w:szCs w:val="21"/>
        </w:rPr>
        <w:t xml:space="preserve">2.1.1.2 非电气型式试验 </w:t>
      </w:r>
    </w:p>
    <w:p>
      <w:pPr>
        <w:pStyle w:val="10"/>
        <w:ind w:left="420" w:leftChars="200"/>
        <w:rPr>
          <w:rFonts w:hint="eastAsia" w:ascii="宋体" w:hAnsi="宋体" w:cs="宋体"/>
          <w:szCs w:val="21"/>
        </w:rPr>
      </w:pPr>
      <w:r>
        <w:rPr>
          <w:rFonts w:hint="eastAsia" w:ascii="宋体" w:hAnsi="宋体" w:cs="宋体"/>
          <w:szCs w:val="21"/>
        </w:rPr>
        <w:t>绝缘厚度测量</w:t>
      </w:r>
    </w:p>
    <w:p>
      <w:pPr>
        <w:pStyle w:val="10"/>
        <w:ind w:left="420" w:leftChars="200"/>
        <w:rPr>
          <w:rFonts w:hint="eastAsia" w:ascii="宋体" w:hAnsi="宋体" w:cs="宋体"/>
          <w:szCs w:val="21"/>
        </w:rPr>
      </w:pPr>
      <w:r>
        <w:rPr>
          <w:rFonts w:hint="eastAsia" w:ascii="宋体" w:hAnsi="宋体" w:cs="宋体"/>
          <w:szCs w:val="21"/>
        </w:rPr>
        <w:t>非金属护套厚度测量</w:t>
      </w:r>
    </w:p>
    <w:p>
      <w:pPr>
        <w:pStyle w:val="10"/>
        <w:ind w:left="420" w:leftChars="200"/>
        <w:rPr>
          <w:rFonts w:hint="eastAsia" w:ascii="宋体" w:hAnsi="宋体" w:cs="宋体"/>
          <w:szCs w:val="21"/>
        </w:rPr>
      </w:pPr>
      <w:r>
        <w:rPr>
          <w:rFonts w:hint="eastAsia" w:ascii="宋体" w:hAnsi="宋体" w:cs="宋体"/>
          <w:szCs w:val="21"/>
        </w:rPr>
        <w:t>老化前后绝缘的机械性能试验</w:t>
      </w:r>
    </w:p>
    <w:p>
      <w:pPr>
        <w:pStyle w:val="10"/>
        <w:ind w:left="420" w:leftChars="200"/>
        <w:rPr>
          <w:rFonts w:hint="eastAsia" w:ascii="宋体" w:hAnsi="宋体" w:cs="宋体"/>
          <w:szCs w:val="21"/>
        </w:rPr>
      </w:pPr>
      <w:r>
        <w:rPr>
          <w:rFonts w:hint="eastAsia" w:ascii="宋体" w:hAnsi="宋体" w:cs="宋体"/>
          <w:szCs w:val="21"/>
        </w:rPr>
        <w:t>非金属护套老化前后的机械性能试验</w:t>
      </w:r>
    </w:p>
    <w:p>
      <w:pPr>
        <w:pStyle w:val="10"/>
        <w:ind w:left="420" w:leftChars="200"/>
        <w:rPr>
          <w:rFonts w:hint="eastAsia" w:ascii="宋体" w:hAnsi="宋体" w:cs="宋体"/>
          <w:szCs w:val="21"/>
        </w:rPr>
      </w:pPr>
      <w:r>
        <w:rPr>
          <w:rFonts w:hint="eastAsia" w:ascii="宋体" w:hAnsi="宋体" w:cs="宋体"/>
          <w:szCs w:val="21"/>
        </w:rPr>
        <w:t>成品电缆段的附加老化试验</w:t>
      </w:r>
    </w:p>
    <w:p>
      <w:pPr>
        <w:pStyle w:val="10"/>
        <w:ind w:left="420" w:leftChars="200"/>
        <w:rPr>
          <w:rFonts w:hint="eastAsia" w:ascii="宋体" w:hAnsi="宋体" w:cs="宋体"/>
          <w:szCs w:val="21"/>
        </w:rPr>
      </w:pPr>
      <w:r>
        <w:rPr>
          <w:rFonts w:hint="eastAsia" w:ascii="宋体" w:hAnsi="宋体" w:cs="宋体"/>
          <w:szCs w:val="21"/>
        </w:rPr>
        <w:t>绝缘和非金属护套的高温压力试验</w:t>
      </w:r>
    </w:p>
    <w:p>
      <w:pPr>
        <w:pStyle w:val="10"/>
        <w:ind w:left="420" w:leftChars="200"/>
        <w:rPr>
          <w:rFonts w:hint="eastAsia" w:ascii="宋体" w:hAnsi="宋体" w:cs="宋体"/>
          <w:szCs w:val="21"/>
        </w:rPr>
      </w:pPr>
      <w:r>
        <w:rPr>
          <w:rFonts w:hint="eastAsia" w:ascii="宋体" w:hAnsi="宋体" w:cs="宋体"/>
          <w:szCs w:val="21"/>
        </w:rPr>
        <w:t>绝缘和弹性体护套的热延伸试验</w:t>
      </w:r>
    </w:p>
    <w:p>
      <w:pPr>
        <w:pStyle w:val="10"/>
        <w:ind w:left="420" w:leftChars="200"/>
        <w:rPr>
          <w:rFonts w:hint="eastAsia" w:ascii="宋体" w:hAnsi="宋体" w:cs="宋体"/>
          <w:szCs w:val="21"/>
        </w:rPr>
      </w:pPr>
      <w:r>
        <w:rPr>
          <w:rFonts w:hint="eastAsia" w:ascii="宋体" w:hAnsi="宋体" w:cs="宋体"/>
          <w:szCs w:val="21"/>
        </w:rPr>
        <w:t>弹性体护套的浸油试验</w:t>
      </w:r>
    </w:p>
    <w:p>
      <w:pPr>
        <w:pStyle w:val="10"/>
        <w:ind w:left="420" w:leftChars="200"/>
        <w:rPr>
          <w:rFonts w:hint="eastAsia" w:ascii="宋体" w:hAnsi="宋体" w:cs="宋体"/>
          <w:szCs w:val="21"/>
        </w:rPr>
      </w:pPr>
      <w:r>
        <w:rPr>
          <w:rFonts w:hint="eastAsia" w:ascii="宋体" w:hAnsi="宋体" w:cs="宋体"/>
          <w:szCs w:val="21"/>
        </w:rPr>
        <w:t>绝缘吸水试验</w:t>
      </w:r>
    </w:p>
    <w:p>
      <w:pPr>
        <w:pStyle w:val="10"/>
        <w:ind w:left="420" w:leftChars="200"/>
        <w:rPr>
          <w:rFonts w:hint="eastAsia" w:ascii="宋体" w:hAnsi="宋体" w:cs="宋体"/>
          <w:szCs w:val="21"/>
        </w:rPr>
      </w:pPr>
      <w:r>
        <w:rPr>
          <w:rFonts w:hint="eastAsia" w:ascii="宋体" w:hAnsi="宋体" w:cs="宋体"/>
          <w:szCs w:val="21"/>
        </w:rPr>
        <w:t>不延燃试验</w:t>
      </w:r>
    </w:p>
    <w:p>
      <w:pPr>
        <w:pStyle w:val="10"/>
        <w:ind w:left="420" w:leftChars="200"/>
        <w:rPr>
          <w:rFonts w:hint="eastAsia" w:ascii="宋体" w:hAnsi="宋体" w:cs="宋体"/>
          <w:szCs w:val="21"/>
        </w:rPr>
      </w:pPr>
      <w:r>
        <w:rPr>
          <w:rFonts w:hint="eastAsia" w:ascii="宋体" w:hAnsi="宋体" w:cs="宋体"/>
          <w:szCs w:val="21"/>
        </w:rPr>
        <w:t>绝缘收缩试验</w:t>
      </w:r>
    </w:p>
    <w:p>
      <w:pPr>
        <w:pStyle w:val="10"/>
        <w:ind w:left="420" w:leftChars="200"/>
        <w:rPr>
          <w:rFonts w:hint="eastAsia" w:ascii="宋体" w:hAnsi="宋体" w:cs="宋体"/>
          <w:szCs w:val="21"/>
        </w:rPr>
      </w:pPr>
      <w:r>
        <w:rPr>
          <w:rFonts w:hint="eastAsia" w:ascii="宋体" w:hAnsi="宋体" w:cs="宋体"/>
          <w:szCs w:val="21"/>
        </w:rPr>
        <w:t>绝缘屏蔽的可剥离性试验</w:t>
      </w:r>
    </w:p>
    <w:p>
      <w:pPr>
        <w:pStyle w:val="10"/>
        <w:ind w:left="420" w:leftChars="200"/>
        <w:rPr>
          <w:rFonts w:hint="eastAsia" w:ascii="宋体" w:hAnsi="宋体" w:cs="宋体"/>
          <w:szCs w:val="21"/>
        </w:rPr>
      </w:pPr>
      <w:r>
        <w:rPr>
          <w:rFonts w:hint="eastAsia" w:ascii="宋体" w:hAnsi="宋体" w:cs="宋体"/>
          <w:szCs w:val="21"/>
        </w:rPr>
        <w:t>透水试验</w:t>
      </w:r>
    </w:p>
    <w:p>
      <w:pPr>
        <w:pStyle w:val="10"/>
        <w:ind w:left="420" w:leftChars="200"/>
        <w:rPr>
          <w:rFonts w:hint="eastAsia" w:ascii="宋体" w:hAnsi="宋体" w:cs="宋体"/>
          <w:szCs w:val="21"/>
        </w:rPr>
      </w:pPr>
      <w:r>
        <w:rPr>
          <w:rFonts w:hint="eastAsia" w:ascii="宋体" w:hAnsi="宋体" w:cs="宋体"/>
          <w:szCs w:val="21"/>
        </w:rPr>
        <w:t>黑色聚乙烯护套碳黑含量测定</w:t>
      </w:r>
    </w:p>
    <w:p>
      <w:pPr>
        <w:pStyle w:val="10"/>
        <w:ind w:left="420" w:leftChars="200"/>
        <w:rPr>
          <w:rFonts w:hint="eastAsia" w:ascii="宋体" w:hAnsi="宋体" w:cs="宋体"/>
          <w:szCs w:val="21"/>
        </w:rPr>
      </w:pPr>
      <w:r>
        <w:rPr>
          <w:rFonts w:hint="eastAsia" w:ascii="宋体" w:hAnsi="宋体" w:cs="宋体"/>
          <w:szCs w:val="21"/>
        </w:rPr>
        <w:t>特殊弯曲试验</w:t>
      </w:r>
    </w:p>
    <w:p>
      <w:pPr>
        <w:pStyle w:val="10"/>
        <w:rPr>
          <w:rFonts w:hint="eastAsia" w:ascii="宋体" w:hAnsi="宋体" w:cs="宋体"/>
          <w:szCs w:val="21"/>
        </w:rPr>
      </w:pPr>
      <w:r>
        <w:rPr>
          <w:rFonts w:hint="eastAsia" w:ascii="宋体" w:hAnsi="宋体" w:cs="宋体"/>
          <w:szCs w:val="21"/>
        </w:rPr>
        <w:t>2.1.2 例行试验</w:t>
      </w:r>
    </w:p>
    <w:p>
      <w:pPr>
        <w:pStyle w:val="10"/>
        <w:ind w:left="420" w:leftChars="200"/>
        <w:rPr>
          <w:rFonts w:hint="eastAsia" w:ascii="宋体" w:hAnsi="宋体" w:cs="宋体"/>
          <w:szCs w:val="21"/>
        </w:rPr>
      </w:pPr>
      <w:r>
        <w:rPr>
          <w:rFonts w:hint="eastAsia" w:ascii="宋体" w:hAnsi="宋体" w:cs="宋体"/>
          <w:szCs w:val="21"/>
        </w:rPr>
        <w:t>导体直流电阻试验</w:t>
      </w:r>
    </w:p>
    <w:p>
      <w:pPr>
        <w:pStyle w:val="10"/>
        <w:ind w:left="420" w:leftChars="200"/>
        <w:rPr>
          <w:rFonts w:hint="eastAsia" w:ascii="宋体" w:hAnsi="宋体" w:cs="宋体"/>
          <w:szCs w:val="21"/>
        </w:rPr>
      </w:pPr>
      <w:r>
        <w:rPr>
          <w:rFonts w:hint="eastAsia" w:ascii="宋体" w:hAnsi="宋体" w:cs="宋体"/>
          <w:szCs w:val="21"/>
        </w:rPr>
        <w:t>局部放电试验</w:t>
      </w:r>
    </w:p>
    <w:p>
      <w:pPr>
        <w:pStyle w:val="10"/>
        <w:ind w:left="420" w:leftChars="200"/>
        <w:rPr>
          <w:rFonts w:hint="eastAsia" w:ascii="宋体" w:hAnsi="宋体" w:cs="宋体"/>
          <w:szCs w:val="21"/>
        </w:rPr>
      </w:pPr>
      <w:r>
        <w:rPr>
          <w:rFonts w:hint="eastAsia" w:ascii="宋体" w:hAnsi="宋体" w:cs="宋体"/>
          <w:szCs w:val="21"/>
        </w:rPr>
        <w:t>电压试验</w:t>
      </w:r>
    </w:p>
    <w:p>
      <w:pPr>
        <w:pStyle w:val="10"/>
        <w:ind w:left="420" w:leftChars="200"/>
        <w:rPr>
          <w:rFonts w:hint="eastAsia" w:ascii="宋体" w:hAnsi="宋体" w:cs="宋体"/>
          <w:szCs w:val="21"/>
        </w:rPr>
      </w:pPr>
      <w:r>
        <w:rPr>
          <w:rFonts w:hint="eastAsia" w:ascii="宋体" w:hAnsi="宋体" w:cs="宋体"/>
          <w:szCs w:val="21"/>
        </w:rPr>
        <w:t>阻燃性能的试验（对每一种规格阻燃电缆）</w:t>
      </w:r>
    </w:p>
    <w:p>
      <w:pPr>
        <w:pStyle w:val="10"/>
        <w:rPr>
          <w:rFonts w:hint="eastAsia" w:ascii="宋体" w:hAnsi="宋体" w:cs="宋体"/>
          <w:szCs w:val="21"/>
        </w:rPr>
      </w:pPr>
      <w:r>
        <w:rPr>
          <w:rFonts w:hint="eastAsia" w:ascii="宋体" w:hAnsi="宋体" w:cs="宋体"/>
          <w:szCs w:val="21"/>
        </w:rPr>
        <w:t>2.1.3 抽样试验</w:t>
      </w:r>
    </w:p>
    <w:p>
      <w:pPr>
        <w:pStyle w:val="10"/>
        <w:ind w:firstLine="420" w:firstLineChars="200"/>
        <w:rPr>
          <w:rFonts w:hint="eastAsia" w:ascii="宋体" w:hAnsi="宋体" w:cs="宋体"/>
          <w:szCs w:val="21"/>
        </w:rPr>
      </w:pPr>
      <w:r>
        <w:rPr>
          <w:rFonts w:hint="eastAsia" w:ascii="宋体" w:hAnsi="宋体" w:cs="宋体"/>
          <w:szCs w:val="21"/>
        </w:rPr>
        <w:t>由买方或买方授权卖方进行抽样试验，若为后者，卖方应向买方提交试验报告。</w:t>
      </w:r>
    </w:p>
    <w:p>
      <w:pPr>
        <w:pStyle w:val="10"/>
        <w:ind w:left="420" w:leftChars="200"/>
        <w:rPr>
          <w:rFonts w:hint="eastAsia" w:ascii="宋体" w:hAnsi="宋体" w:cs="宋体"/>
          <w:szCs w:val="21"/>
        </w:rPr>
      </w:pPr>
      <w:r>
        <w:rPr>
          <w:rFonts w:hint="eastAsia" w:ascii="宋体" w:hAnsi="宋体" w:cs="宋体"/>
          <w:szCs w:val="21"/>
        </w:rPr>
        <w:t>导体检查</w:t>
      </w:r>
    </w:p>
    <w:p>
      <w:pPr>
        <w:pStyle w:val="10"/>
        <w:ind w:left="420" w:leftChars="200"/>
        <w:rPr>
          <w:rFonts w:hint="eastAsia" w:ascii="宋体" w:hAnsi="宋体" w:cs="宋体"/>
          <w:szCs w:val="21"/>
        </w:rPr>
      </w:pPr>
      <w:r>
        <w:rPr>
          <w:rFonts w:hint="eastAsia" w:ascii="宋体" w:hAnsi="宋体" w:cs="宋体"/>
          <w:szCs w:val="21"/>
        </w:rPr>
        <w:t>尺寸检查</w:t>
      </w:r>
    </w:p>
    <w:p>
      <w:pPr>
        <w:pStyle w:val="10"/>
        <w:ind w:left="420" w:leftChars="200"/>
        <w:rPr>
          <w:rFonts w:hint="eastAsia" w:ascii="宋体" w:hAnsi="宋体" w:cs="宋体"/>
          <w:szCs w:val="21"/>
        </w:rPr>
      </w:pPr>
      <w:r>
        <w:rPr>
          <w:rFonts w:hint="eastAsia" w:ascii="宋体" w:hAnsi="宋体" w:cs="宋体"/>
          <w:szCs w:val="21"/>
        </w:rPr>
        <w:t>绝缘和弹性体护套的热延伸试验</w:t>
      </w:r>
    </w:p>
    <w:p>
      <w:pPr>
        <w:pStyle w:val="10"/>
        <w:ind w:left="420" w:leftChars="200"/>
        <w:rPr>
          <w:rFonts w:hint="eastAsia" w:ascii="宋体" w:hAnsi="宋体" w:cs="宋体"/>
          <w:szCs w:val="21"/>
        </w:rPr>
      </w:pPr>
      <w:r>
        <w:rPr>
          <w:rFonts w:hint="eastAsia" w:ascii="宋体" w:hAnsi="宋体" w:cs="宋体"/>
          <w:szCs w:val="21"/>
        </w:rPr>
        <w:t>绝缘和非金属护套厚度的测量</w:t>
      </w:r>
    </w:p>
    <w:p>
      <w:pPr>
        <w:pStyle w:val="10"/>
        <w:ind w:left="420" w:leftChars="200"/>
        <w:rPr>
          <w:rFonts w:hint="eastAsia" w:ascii="宋体" w:hAnsi="宋体" w:cs="宋体"/>
          <w:szCs w:val="21"/>
        </w:rPr>
      </w:pPr>
      <w:r>
        <w:rPr>
          <w:rFonts w:hint="eastAsia" w:ascii="宋体" w:hAnsi="宋体" w:cs="宋体"/>
          <w:szCs w:val="21"/>
        </w:rPr>
        <w:t>铠装金属带的测量</w:t>
      </w:r>
    </w:p>
    <w:p>
      <w:pPr>
        <w:pStyle w:val="10"/>
        <w:ind w:left="420" w:leftChars="200"/>
        <w:rPr>
          <w:rFonts w:hint="eastAsia" w:ascii="宋体" w:hAnsi="宋体" w:cs="宋体"/>
          <w:szCs w:val="21"/>
        </w:rPr>
      </w:pPr>
      <w:r>
        <w:rPr>
          <w:rFonts w:hint="eastAsia" w:ascii="宋体" w:hAnsi="宋体" w:cs="宋体"/>
          <w:szCs w:val="21"/>
        </w:rPr>
        <w:t>4h电压试验</w:t>
      </w:r>
    </w:p>
    <w:p>
      <w:pPr>
        <w:pStyle w:val="10"/>
        <w:ind w:left="420" w:leftChars="200"/>
        <w:rPr>
          <w:rFonts w:hint="eastAsia" w:ascii="宋体" w:hAnsi="宋体" w:cs="宋体"/>
          <w:szCs w:val="21"/>
        </w:rPr>
      </w:pPr>
      <w:r>
        <w:rPr>
          <w:rFonts w:hint="eastAsia" w:ascii="宋体" w:hAnsi="宋体" w:cs="宋体"/>
          <w:szCs w:val="21"/>
        </w:rPr>
        <w:t>绝缘和弹性体护套的热延伸试验</w:t>
      </w:r>
    </w:p>
    <w:p>
      <w:pPr>
        <w:pStyle w:val="10"/>
        <w:rPr>
          <w:rFonts w:hint="eastAsia" w:ascii="宋体" w:hAnsi="宋体" w:cs="宋体"/>
          <w:szCs w:val="21"/>
        </w:rPr>
      </w:pPr>
      <w:r>
        <w:rPr>
          <w:rFonts w:hint="eastAsia" w:ascii="宋体" w:hAnsi="宋体" w:cs="宋体"/>
          <w:szCs w:val="21"/>
        </w:rPr>
        <w:t>2.1.4安装后电气试验</w:t>
      </w:r>
    </w:p>
    <w:p>
      <w:pPr>
        <w:pStyle w:val="10"/>
        <w:ind w:firstLine="420" w:firstLineChars="200"/>
        <w:rPr>
          <w:rFonts w:hint="eastAsia" w:ascii="宋体" w:hAnsi="宋体" w:cs="宋体"/>
          <w:szCs w:val="21"/>
        </w:rPr>
      </w:pPr>
      <w:r>
        <w:rPr>
          <w:rFonts w:hint="eastAsia" w:ascii="宋体" w:hAnsi="宋体" w:cs="宋体"/>
          <w:szCs w:val="21"/>
        </w:rPr>
        <w:t>电缆电缆敷设前，买方有权将全部或部分供货产品送国家认可的电气设备质量测试中心进行试验。如果有不合格，所有的电缆将被退货，若影响工期，将被处以罚款。</w:t>
      </w:r>
    </w:p>
    <w:p>
      <w:pPr>
        <w:pStyle w:val="10"/>
        <w:rPr>
          <w:rFonts w:hint="eastAsia" w:ascii="宋体" w:hAnsi="宋体" w:cs="宋体"/>
          <w:szCs w:val="21"/>
        </w:rPr>
      </w:pPr>
      <w:r>
        <w:rPr>
          <w:rFonts w:hint="eastAsia" w:ascii="宋体" w:hAnsi="宋体" w:cs="宋体"/>
          <w:szCs w:val="21"/>
        </w:rPr>
        <w:t>电缆准备敷设前，应在卖方技术人员在场或指导下完成以下试验：</w:t>
      </w:r>
    </w:p>
    <w:p>
      <w:pPr>
        <w:pStyle w:val="10"/>
        <w:ind w:left="420" w:leftChars="200"/>
        <w:rPr>
          <w:rFonts w:hint="eastAsia" w:ascii="宋体" w:hAnsi="宋体" w:cs="宋体"/>
          <w:szCs w:val="21"/>
        </w:rPr>
      </w:pPr>
      <w:r>
        <w:rPr>
          <w:rFonts w:hint="eastAsia" w:ascii="宋体" w:hAnsi="宋体" w:cs="宋体"/>
          <w:szCs w:val="21"/>
        </w:rPr>
        <w:t>外护套直流耐压试验</w:t>
      </w:r>
    </w:p>
    <w:p>
      <w:pPr>
        <w:pStyle w:val="10"/>
        <w:ind w:left="420" w:leftChars="200"/>
        <w:rPr>
          <w:rFonts w:hint="eastAsia" w:ascii="宋体" w:hAnsi="宋体" w:cs="宋体"/>
          <w:szCs w:val="21"/>
        </w:rPr>
      </w:pPr>
      <w:r>
        <w:rPr>
          <w:rFonts w:hint="eastAsia" w:ascii="宋体" w:hAnsi="宋体" w:cs="宋体"/>
          <w:szCs w:val="21"/>
        </w:rPr>
        <w:t>绝缘试验</w:t>
      </w:r>
    </w:p>
    <w:p>
      <w:pPr>
        <w:pStyle w:val="10"/>
        <w:rPr>
          <w:rFonts w:hint="eastAsia" w:ascii="宋体" w:hAnsi="宋体" w:cs="宋体"/>
          <w:szCs w:val="21"/>
        </w:rPr>
      </w:pPr>
      <w:r>
        <w:rPr>
          <w:rFonts w:hint="eastAsia" w:ascii="宋体" w:hAnsi="宋体" w:cs="宋体"/>
          <w:szCs w:val="21"/>
        </w:rPr>
        <w:t>2.1.5 出厂试验</w:t>
      </w:r>
    </w:p>
    <w:p>
      <w:pPr>
        <w:pStyle w:val="10"/>
        <w:rPr>
          <w:rFonts w:hint="eastAsia" w:ascii="宋体" w:hAnsi="宋体" w:cs="宋体"/>
          <w:szCs w:val="21"/>
        </w:rPr>
      </w:pPr>
      <w:r>
        <w:rPr>
          <w:rFonts w:hint="eastAsia" w:ascii="宋体" w:hAnsi="宋体" w:cs="宋体"/>
          <w:szCs w:val="21"/>
        </w:rPr>
        <w:t>2.1.5.1 卖方应通过试验保证所提供的设备性能符合GB12706的要求。</w:t>
      </w:r>
    </w:p>
    <w:p>
      <w:pPr>
        <w:pStyle w:val="10"/>
        <w:rPr>
          <w:rFonts w:hint="eastAsia" w:ascii="宋体" w:hAnsi="宋体" w:cs="宋体"/>
          <w:szCs w:val="21"/>
        </w:rPr>
      </w:pPr>
      <w:r>
        <w:rPr>
          <w:rFonts w:hint="eastAsia" w:ascii="宋体" w:hAnsi="宋体" w:cs="宋体"/>
          <w:szCs w:val="21"/>
        </w:rPr>
        <w:t>2.1.5.2 电缆出厂时，应按现行最新版本的国家标准和规范，对每一盘电缆进行试验，试验项目至少包括以下几项：</w:t>
      </w:r>
    </w:p>
    <w:p>
      <w:pPr>
        <w:pStyle w:val="10"/>
        <w:ind w:left="420" w:leftChars="200"/>
        <w:rPr>
          <w:rFonts w:hint="eastAsia" w:ascii="宋体" w:hAnsi="宋体" w:cs="宋体"/>
          <w:szCs w:val="21"/>
        </w:rPr>
      </w:pPr>
      <w:r>
        <w:rPr>
          <w:rFonts w:hint="eastAsia" w:ascii="宋体" w:hAnsi="宋体" w:cs="宋体"/>
          <w:szCs w:val="21"/>
        </w:rPr>
        <w:t>导体直流电阻试验</w:t>
      </w:r>
    </w:p>
    <w:p>
      <w:pPr>
        <w:pStyle w:val="10"/>
        <w:ind w:left="420" w:leftChars="200"/>
        <w:rPr>
          <w:rFonts w:hint="eastAsia" w:ascii="宋体" w:hAnsi="宋体" w:cs="宋体"/>
          <w:szCs w:val="21"/>
        </w:rPr>
      </w:pPr>
      <w:r>
        <w:rPr>
          <w:rFonts w:hint="eastAsia" w:ascii="宋体" w:hAnsi="宋体" w:cs="宋体"/>
          <w:szCs w:val="21"/>
        </w:rPr>
        <w:t>耐压试验</w:t>
      </w:r>
    </w:p>
    <w:p>
      <w:pPr>
        <w:pStyle w:val="10"/>
        <w:ind w:left="420" w:leftChars="200"/>
        <w:rPr>
          <w:rFonts w:hint="eastAsia" w:ascii="宋体" w:hAnsi="宋体" w:cs="宋体"/>
          <w:szCs w:val="21"/>
        </w:rPr>
      </w:pPr>
      <w:r>
        <w:rPr>
          <w:rFonts w:hint="eastAsia" w:ascii="宋体" w:hAnsi="宋体" w:cs="宋体"/>
          <w:szCs w:val="21"/>
        </w:rPr>
        <w:t>阻燃性能的试验（对每一种规格电缆）</w:t>
      </w:r>
    </w:p>
    <w:p>
      <w:pPr>
        <w:pStyle w:val="10"/>
        <w:ind w:left="420" w:leftChars="200"/>
        <w:rPr>
          <w:rFonts w:hint="eastAsia" w:ascii="宋体" w:hAnsi="宋体" w:cs="宋体"/>
          <w:szCs w:val="21"/>
        </w:rPr>
      </w:pPr>
      <w:r>
        <w:rPr>
          <w:rFonts w:hint="eastAsia" w:ascii="宋体" w:hAnsi="宋体" w:cs="宋体"/>
          <w:szCs w:val="21"/>
        </w:rPr>
        <w:t>局部放电试验</w:t>
      </w:r>
    </w:p>
    <w:p>
      <w:pPr>
        <w:pStyle w:val="10"/>
        <w:ind w:left="420" w:leftChars="200"/>
        <w:rPr>
          <w:rFonts w:hint="eastAsia" w:ascii="宋体" w:hAnsi="宋体" w:cs="宋体"/>
          <w:szCs w:val="21"/>
        </w:rPr>
      </w:pPr>
      <w:r>
        <w:rPr>
          <w:rFonts w:hint="eastAsia" w:ascii="宋体" w:hAnsi="宋体" w:cs="宋体"/>
          <w:szCs w:val="21"/>
        </w:rPr>
        <w:t>交流电压试验</w:t>
      </w:r>
    </w:p>
    <w:p>
      <w:pPr>
        <w:pStyle w:val="10"/>
        <w:rPr>
          <w:rFonts w:hint="eastAsia" w:ascii="宋体" w:hAnsi="宋体" w:cs="宋体"/>
          <w:szCs w:val="21"/>
        </w:rPr>
      </w:pPr>
      <w:r>
        <w:rPr>
          <w:rFonts w:hint="eastAsia" w:ascii="宋体" w:hAnsi="宋体" w:cs="宋体"/>
          <w:szCs w:val="21"/>
        </w:rPr>
        <w:t>2.1.6 阻燃电缆的试验项目和标准执行现行最新版本的国家标准GB/T19666《阻燃和耐火电线电缆通则》的要求。</w:t>
      </w:r>
    </w:p>
    <w:p>
      <w:pPr>
        <w:pStyle w:val="10"/>
        <w:rPr>
          <w:rFonts w:hint="eastAsia" w:ascii="宋体" w:hAnsi="宋体" w:cs="宋体"/>
          <w:szCs w:val="21"/>
        </w:rPr>
      </w:pPr>
      <w:r>
        <w:rPr>
          <w:rFonts w:hint="eastAsia" w:ascii="宋体" w:hAnsi="宋体" w:cs="宋体"/>
          <w:szCs w:val="21"/>
        </w:rPr>
        <w:t>2.2 性能保证</w:t>
      </w:r>
    </w:p>
    <w:p>
      <w:pPr>
        <w:pStyle w:val="10"/>
        <w:rPr>
          <w:rFonts w:hint="eastAsia" w:ascii="宋体" w:hAnsi="宋体" w:cs="宋体"/>
          <w:szCs w:val="21"/>
        </w:rPr>
      </w:pPr>
      <w:r>
        <w:rPr>
          <w:rFonts w:hint="eastAsia" w:ascii="宋体" w:hAnsi="宋体" w:cs="宋体"/>
          <w:szCs w:val="21"/>
        </w:rPr>
        <w:t>2.2.1 卖方在保证产品质量的前提下，必须满足买方对供货周期的要求。</w:t>
      </w:r>
    </w:p>
    <w:p>
      <w:pPr>
        <w:pStyle w:val="10"/>
        <w:rPr>
          <w:rFonts w:hint="eastAsia" w:ascii="宋体" w:hAnsi="宋体" w:cs="宋体"/>
          <w:szCs w:val="21"/>
        </w:rPr>
      </w:pPr>
      <w:r>
        <w:rPr>
          <w:rFonts w:hint="eastAsia" w:ascii="宋体" w:hAnsi="宋体" w:cs="宋体"/>
          <w:szCs w:val="21"/>
        </w:rPr>
        <w:t>2.2.2 产品质保期定为机组经168h试运行投入生产后1年。</w:t>
      </w:r>
    </w:p>
    <w:p>
      <w:pPr>
        <w:pStyle w:val="10"/>
        <w:rPr>
          <w:rFonts w:hint="eastAsia" w:ascii="宋体" w:hAnsi="宋体" w:cs="宋体"/>
          <w:szCs w:val="21"/>
        </w:rPr>
      </w:pPr>
      <w:r>
        <w:rPr>
          <w:rFonts w:hint="eastAsia" w:ascii="宋体" w:hAnsi="宋体" w:cs="宋体"/>
          <w:szCs w:val="21"/>
        </w:rPr>
        <w:t>2.2.3 卖方在技术协议中应提供产品的最短使用寿命。</w:t>
      </w:r>
    </w:p>
    <w:p>
      <w:pPr>
        <w:pStyle w:val="10"/>
        <w:rPr>
          <w:rFonts w:hint="eastAsia" w:ascii="宋体" w:hAnsi="宋体" w:cs="宋体"/>
          <w:szCs w:val="21"/>
        </w:rPr>
      </w:pPr>
      <w:r>
        <w:rPr>
          <w:rFonts w:hint="eastAsia" w:ascii="宋体" w:hAnsi="宋体" w:cs="宋体"/>
          <w:szCs w:val="21"/>
        </w:rPr>
        <w:t>2.2.4 买方派人参加电缆原材料的检验、电缆加工及出厂试验等监造，卖方应提出监造的工序、内容及标准。无论买方是否参与电缆监造，卖方均应对电缆的质量负责。</w:t>
      </w:r>
    </w:p>
    <w:p>
      <w:pPr>
        <w:pStyle w:val="10"/>
        <w:rPr>
          <w:rFonts w:hint="eastAsia" w:ascii="宋体" w:hAnsi="宋体" w:cs="宋体"/>
          <w:b/>
          <w:bCs/>
          <w:szCs w:val="21"/>
        </w:rPr>
      </w:pPr>
      <w:r>
        <w:rPr>
          <w:rFonts w:hint="eastAsia" w:ascii="宋体" w:hAnsi="宋体" w:cs="宋体"/>
          <w:b/>
          <w:bCs/>
          <w:szCs w:val="21"/>
        </w:rPr>
        <w:t>3、 质量保证</w:t>
      </w:r>
    </w:p>
    <w:p>
      <w:pPr>
        <w:pStyle w:val="10"/>
        <w:rPr>
          <w:rFonts w:hint="eastAsia" w:ascii="宋体" w:hAnsi="宋体" w:cs="宋体"/>
          <w:szCs w:val="21"/>
        </w:rPr>
      </w:pPr>
      <w:r>
        <w:rPr>
          <w:rFonts w:hint="eastAsia" w:ascii="宋体" w:hAnsi="宋体" w:cs="宋体"/>
          <w:szCs w:val="21"/>
        </w:rPr>
        <w:t>电缆的设计和制造等方面应遵照相关的国家规范和标准。</w:t>
      </w:r>
    </w:p>
    <w:p>
      <w:pPr>
        <w:pStyle w:val="10"/>
        <w:rPr>
          <w:rFonts w:hint="eastAsia" w:ascii="宋体" w:hAnsi="宋体" w:cs="宋体"/>
          <w:szCs w:val="21"/>
        </w:rPr>
      </w:pPr>
      <w:r>
        <w:rPr>
          <w:rFonts w:hint="eastAsia" w:ascii="宋体" w:hAnsi="宋体" w:cs="宋体"/>
          <w:szCs w:val="21"/>
        </w:rPr>
        <w:t>3.1 卖方应在电缆投料制造前，向买方提供一份质量管理和质量保证文件及准备正式使用的有关标准和规定的目录清单，并提供一份制作加工进度表（包括检查和试验项目）。</w:t>
      </w:r>
    </w:p>
    <w:p>
      <w:pPr>
        <w:pStyle w:val="10"/>
        <w:rPr>
          <w:rFonts w:hint="eastAsia" w:ascii="宋体" w:hAnsi="宋体" w:cs="宋体"/>
          <w:szCs w:val="21"/>
        </w:rPr>
      </w:pPr>
      <w:r>
        <w:rPr>
          <w:rFonts w:hint="eastAsia" w:ascii="宋体" w:hAnsi="宋体" w:cs="宋体"/>
          <w:szCs w:val="21"/>
        </w:rPr>
        <w:t>3.2卖方应采取措施确保产品符合本技术协议的要求。</w:t>
      </w:r>
    </w:p>
    <w:p>
      <w:pPr>
        <w:pStyle w:val="10"/>
        <w:rPr>
          <w:rFonts w:hint="eastAsia" w:ascii="宋体" w:hAnsi="宋体" w:cs="宋体"/>
          <w:szCs w:val="21"/>
        </w:rPr>
      </w:pPr>
      <w:r>
        <w:rPr>
          <w:rFonts w:hint="eastAsia" w:ascii="宋体" w:hAnsi="宋体" w:cs="宋体"/>
          <w:szCs w:val="21"/>
        </w:rPr>
        <w:t>3.3图纸设计和材料选择应准确无误，加工工艺无任何缺陷和差错，技术文件及图纸要清晰、正确、完整，能满足安装、起停、正常运行和维护的要求。</w:t>
      </w:r>
    </w:p>
    <w:p>
      <w:pPr>
        <w:pStyle w:val="10"/>
        <w:rPr>
          <w:rFonts w:hint="eastAsia" w:ascii="宋体" w:hAnsi="宋体" w:cs="宋体"/>
          <w:szCs w:val="21"/>
        </w:rPr>
      </w:pPr>
      <w:r>
        <w:rPr>
          <w:rFonts w:hint="eastAsia" w:ascii="宋体" w:hAnsi="宋体" w:cs="宋体"/>
          <w:szCs w:val="21"/>
        </w:rPr>
        <w:t>3.4 凡与现行最新版本的国家标准和本技术协议不符之处，都必须记录在案，及时处理。</w:t>
      </w:r>
    </w:p>
    <w:p>
      <w:pPr>
        <w:pStyle w:val="10"/>
        <w:rPr>
          <w:rFonts w:hint="eastAsia" w:ascii="宋体" w:hAnsi="宋体" w:cs="宋体"/>
          <w:szCs w:val="21"/>
        </w:rPr>
      </w:pPr>
      <w:r>
        <w:rPr>
          <w:rFonts w:hint="eastAsia" w:ascii="宋体" w:hAnsi="宋体" w:cs="宋体"/>
          <w:szCs w:val="21"/>
        </w:rPr>
        <w:t>3.5 质量保证/质量控制文件应包括（但不限于）:</w:t>
      </w:r>
    </w:p>
    <w:p>
      <w:pPr>
        <w:pStyle w:val="10"/>
        <w:ind w:left="420" w:leftChars="200"/>
        <w:rPr>
          <w:rFonts w:hint="eastAsia" w:ascii="宋体" w:hAnsi="宋体" w:cs="宋体"/>
          <w:szCs w:val="21"/>
        </w:rPr>
      </w:pPr>
      <w:r>
        <w:rPr>
          <w:rFonts w:hint="eastAsia" w:ascii="宋体" w:hAnsi="宋体" w:cs="宋体"/>
          <w:szCs w:val="21"/>
        </w:rPr>
        <w:t>鉴别偏差和偏差认可的文件</w:t>
      </w:r>
    </w:p>
    <w:p>
      <w:pPr>
        <w:pStyle w:val="10"/>
        <w:ind w:left="420" w:leftChars="200"/>
        <w:rPr>
          <w:rFonts w:hint="eastAsia" w:ascii="宋体" w:hAnsi="宋体" w:cs="宋体"/>
          <w:szCs w:val="21"/>
        </w:rPr>
      </w:pPr>
      <w:r>
        <w:rPr>
          <w:rFonts w:hint="eastAsia" w:ascii="宋体" w:hAnsi="宋体" w:cs="宋体"/>
          <w:szCs w:val="21"/>
        </w:rPr>
        <w:t>性能试验报告</w:t>
      </w:r>
    </w:p>
    <w:p>
      <w:pPr>
        <w:pStyle w:val="10"/>
        <w:ind w:left="420" w:leftChars="200"/>
        <w:rPr>
          <w:rFonts w:hint="eastAsia" w:ascii="宋体" w:hAnsi="宋体" w:cs="宋体"/>
          <w:szCs w:val="21"/>
        </w:rPr>
      </w:pPr>
      <w:r>
        <w:rPr>
          <w:rFonts w:hint="eastAsia" w:ascii="宋体" w:hAnsi="宋体" w:cs="宋体"/>
          <w:szCs w:val="21"/>
        </w:rPr>
        <w:t>电气试验报告</w:t>
      </w:r>
    </w:p>
    <w:p>
      <w:pPr>
        <w:pStyle w:val="10"/>
        <w:ind w:left="420" w:leftChars="200"/>
        <w:rPr>
          <w:rFonts w:hint="eastAsia" w:ascii="宋体" w:hAnsi="宋体" w:cs="宋体"/>
          <w:szCs w:val="21"/>
        </w:rPr>
      </w:pPr>
      <w:r>
        <w:rPr>
          <w:rFonts w:hint="eastAsia" w:ascii="宋体" w:hAnsi="宋体" w:cs="宋体"/>
          <w:szCs w:val="21"/>
        </w:rPr>
        <w:t>所有采用的规定和标准要求的其他文件。</w:t>
      </w:r>
    </w:p>
    <w:p>
      <w:pPr>
        <w:rPr>
          <w:rFonts w:hint="eastAsia"/>
          <w:b/>
          <w:bCs/>
        </w:rPr>
      </w:pPr>
      <w:r>
        <w:rPr>
          <w:rFonts w:hint="eastAsia"/>
          <w:b/>
          <w:bCs/>
        </w:rPr>
        <w:t>4、技术文件</w:t>
      </w:r>
    </w:p>
    <w:p>
      <w:pPr>
        <w:rPr>
          <w:rFonts w:hint="eastAsia"/>
        </w:rPr>
      </w:pPr>
      <w:r>
        <w:rPr>
          <w:rFonts w:hint="eastAsia"/>
        </w:rPr>
        <w:t>4.1 卖方应提供的技术文件：</w:t>
      </w:r>
    </w:p>
    <w:p>
      <w:pPr>
        <w:rPr>
          <w:rFonts w:hint="eastAsia"/>
        </w:rPr>
      </w:pPr>
      <w:r>
        <w:rPr>
          <w:rFonts w:hint="eastAsia"/>
        </w:rPr>
        <w:t>工厂质量认证材料和概况、产品业绩；</w:t>
      </w:r>
    </w:p>
    <w:p>
      <w:pPr>
        <w:rPr>
          <w:rFonts w:hint="eastAsia"/>
        </w:rPr>
      </w:pPr>
      <w:r>
        <w:rPr>
          <w:rFonts w:hint="eastAsia"/>
        </w:rPr>
        <w:t>有关图纸和资料；</w:t>
      </w:r>
    </w:p>
    <w:p>
      <w:pPr>
        <w:rPr>
          <w:rFonts w:hint="eastAsia"/>
        </w:rPr>
      </w:pPr>
      <w:r>
        <w:rPr>
          <w:rFonts w:hint="eastAsia"/>
        </w:rPr>
        <w:t>曾发生的问题、解决办法及效果，拟采取的完善措施？</w:t>
      </w:r>
    </w:p>
    <w:p>
      <w:pPr>
        <w:rPr>
          <w:rFonts w:hint="eastAsia"/>
        </w:rPr>
      </w:pPr>
      <w:r>
        <w:rPr>
          <w:rFonts w:hint="eastAsia"/>
        </w:rPr>
        <w:t>国家权威机构出示的同类产品检测报告。</w:t>
      </w:r>
    </w:p>
    <w:p>
      <w:r>
        <w:rPr>
          <w:rFonts w:hint="eastAsia"/>
        </w:rPr>
        <w:t>4.2 产品生产完成后，卖方向买方提供质量证明文件（包括原材料合格证和各种检验合格证等），各3份。</w:t>
      </w:r>
    </w:p>
    <w:p>
      <w:pPr>
        <w:pStyle w:val="10"/>
        <w:spacing w:line="360" w:lineRule="auto"/>
        <w:rPr>
          <w:rFonts w:asciiTheme="minorEastAsia" w:hAnsi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DD0F"/>
    <w:multiLevelType w:val="singleLevel"/>
    <w:tmpl w:val="2909DD0F"/>
    <w:lvl w:ilvl="0" w:tentative="0">
      <w:start w:val="2"/>
      <w:numFmt w:val="chineseCounting"/>
      <w:suff w:val="nothing"/>
      <w:lvlText w:val="（%1）"/>
      <w:lvlJc w:val="left"/>
      <w:pPr>
        <w:ind w:left="0" w:firstLine="0"/>
      </w:pPr>
    </w:lvl>
  </w:abstractNum>
  <w:abstractNum w:abstractNumId="1">
    <w:nsid w:val="5DE5AF87"/>
    <w:multiLevelType w:val="singleLevel"/>
    <w:tmpl w:val="5DE5AF87"/>
    <w:lvl w:ilvl="0" w:tentative="0">
      <w:start w:val="3"/>
      <w:numFmt w:val="chineseCounting"/>
      <w:suff w:val="nothing"/>
      <w:lvlText w:val="（%1）"/>
      <w:lvlJc w:val="left"/>
      <w:pPr>
        <w:ind w:left="0" w:firstLine="0"/>
      </w:pPr>
    </w:lvl>
  </w:abstractNum>
  <w:abstractNum w:abstractNumId="2">
    <w:nsid w:val="78035BA9"/>
    <w:multiLevelType w:val="multilevel"/>
    <w:tmpl w:val="78035BA9"/>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204C0"/>
    <w:rsid w:val="00031959"/>
    <w:rsid w:val="00086226"/>
    <w:rsid w:val="000F2AEB"/>
    <w:rsid w:val="000F745E"/>
    <w:rsid w:val="00105BF5"/>
    <w:rsid w:val="00155A92"/>
    <w:rsid w:val="00192F6B"/>
    <w:rsid w:val="001C234E"/>
    <w:rsid w:val="00267CE4"/>
    <w:rsid w:val="00271BB9"/>
    <w:rsid w:val="002B1BB9"/>
    <w:rsid w:val="002C1FCF"/>
    <w:rsid w:val="002D53F4"/>
    <w:rsid w:val="00303223"/>
    <w:rsid w:val="00312D8F"/>
    <w:rsid w:val="00323C1C"/>
    <w:rsid w:val="003343B0"/>
    <w:rsid w:val="00336BE6"/>
    <w:rsid w:val="00340FDE"/>
    <w:rsid w:val="003430BA"/>
    <w:rsid w:val="003479E1"/>
    <w:rsid w:val="0035227F"/>
    <w:rsid w:val="003A320C"/>
    <w:rsid w:val="003A36BA"/>
    <w:rsid w:val="003E2319"/>
    <w:rsid w:val="003E2608"/>
    <w:rsid w:val="00465279"/>
    <w:rsid w:val="004762AD"/>
    <w:rsid w:val="00484D41"/>
    <w:rsid w:val="004B7696"/>
    <w:rsid w:val="004C2668"/>
    <w:rsid w:val="004D1129"/>
    <w:rsid w:val="005207B5"/>
    <w:rsid w:val="005A2892"/>
    <w:rsid w:val="005A4C82"/>
    <w:rsid w:val="005B6375"/>
    <w:rsid w:val="005D67E7"/>
    <w:rsid w:val="005F5E63"/>
    <w:rsid w:val="006729B1"/>
    <w:rsid w:val="006900C5"/>
    <w:rsid w:val="00733294"/>
    <w:rsid w:val="00775DC9"/>
    <w:rsid w:val="0079271D"/>
    <w:rsid w:val="007A3FB7"/>
    <w:rsid w:val="007B005B"/>
    <w:rsid w:val="007F071D"/>
    <w:rsid w:val="00801DD6"/>
    <w:rsid w:val="00816B18"/>
    <w:rsid w:val="0088743C"/>
    <w:rsid w:val="00893334"/>
    <w:rsid w:val="008A2F54"/>
    <w:rsid w:val="008F0B23"/>
    <w:rsid w:val="008F665F"/>
    <w:rsid w:val="00920AF7"/>
    <w:rsid w:val="00987243"/>
    <w:rsid w:val="009B049E"/>
    <w:rsid w:val="009C1CD3"/>
    <w:rsid w:val="00A82314"/>
    <w:rsid w:val="00A952A3"/>
    <w:rsid w:val="00AB1652"/>
    <w:rsid w:val="00AE01C4"/>
    <w:rsid w:val="00AF3F2B"/>
    <w:rsid w:val="00B02D6F"/>
    <w:rsid w:val="00B2378D"/>
    <w:rsid w:val="00B5106E"/>
    <w:rsid w:val="00B55931"/>
    <w:rsid w:val="00B75FBD"/>
    <w:rsid w:val="00BA3B3D"/>
    <w:rsid w:val="00BA7886"/>
    <w:rsid w:val="00BD1AE1"/>
    <w:rsid w:val="00BE5046"/>
    <w:rsid w:val="00C2331F"/>
    <w:rsid w:val="00C36D00"/>
    <w:rsid w:val="00C727D6"/>
    <w:rsid w:val="00C91538"/>
    <w:rsid w:val="00CB4F9B"/>
    <w:rsid w:val="00CD1BD8"/>
    <w:rsid w:val="00CE5503"/>
    <w:rsid w:val="00CF35C7"/>
    <w:rsid w:val="00D1532C"/>
    <w:rsid w:val="00D2729A"/>
    <w:rsid w:val="00D27ACD"/>
    <w:rsid w:val="00D55961"/>
    <w:rsid w:val="00DA0D75"/>
    <w:rsid w:val="00DB6397"/>
    <w:rsid w:val="00E01989"/>
    <w:rsid w:val="00E34DED"/>
    <w:rsid w:val="00E72D5B"/>
    <w:rsid w:val="00E83650"/>
    <w:rsid w:val="00E917B4"/>
    <w:rsid w:val="00EE6635"/>
    <w:rsid w:val="00F26CD2"/>
    <w:rsid w:val="00F42071"/>
    <w:rsid w:val="00F4558A"/>
    <w:rsid w:val="00F87EF6"/>
    <w:rsid w:val="00FA185D"/>
    <w:rsid w:val="00FD0A3E"/>
    <w:rsid w:val="00FF1F13"/>
    <w:rsid w:val="03671A64"/>
    <w:rsid w:val="087E7C5F"/>
    <w:rsid w:val="08B43F59"/>
    <w:rsid w:val="0C753EE2"/>
    <w:rsid w:val="0EA44140"/>
    <w:rsid w:val="1A2533F9"/>
    <w:rsid w:val="1D6F15FD"/>
    <w:rsid w:val="1DA2157C"/>
    <w:rsid w:val="1F1000A9"/>
    <w:rsid w:val="2B040837"/>
    <w:rsid w:val="2EE95B9F"/>
    <w:rsid w:val="2F9C2B79"/>
    <w:rsid w:val="37DC0392"/>
    <w:rsid w:val="382578D2"/>
    <w:rsid w:val="3C5C6573"/>
    <w:rsid w:val="3DF51FD1"/>
    <w:rsid w:val="41DA31DD"/>
    <w:rsid w:val="41F52DA0"/>
    <w:rsid w:val="45CA21FA"/>
    <w:rsid w:val="4B502514"/>
    <w:rsid w:val="4F6B09E2"/>
    <w:rsid w:val="53C87D04"/>
    <w:rsid w:val="548E6D5C"/>
    <w:rsid w:val="550053E8"/>
    <w:rsid w:val="58D2211D"/>
    <w:rsid w:val="596B186C"/>
    <w:rsid w:val="5C741CFF"/>
    <w:rsid w:val="60134187"/>
    <w:rsid w:val="6C272DF2"/>
    <w:rsid w:val="6CCD06D4"/>
    <w:rsid w:val="6CE806EC"/>
    <w:rsid w:val="710E0FEF"/>
    <w:rsid w:val="73DD384A"/>
    <w:rsid w:val="7DFF7E27"/>
    <w:rsid w:val="7E3C7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link w:val="11"/>
    <w:qFormat/>
    <w:uiPriority w:val="10"/>
    <w:pPr>
      <w:adjustRightInd w:val="0"/>
      <w:spacing w:before="240" w:after="60" w:line="360" w:lineRule="atLeast"/>
      <w:jc w:val="center"/>
      <w:outlineLvl w:val="0"/>
    </w:pPr>
    <w:rPr>
      <w:rFonts w:ascii="Arial" w:hAnsi="Arial" w:cs="Times New Roman"/>
      <w:b/>
      <w:kern w:val="0"/>
      <w:sz w:val="32"/>
      <w:szCs w:val="20"/>
      <w:lang w:val="zh-CN" w:eastAsia="zh-CN"/>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No Spacing"/>
    <w:link w:val="1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标题 Char"/>
    <w:basedOn w:val="7"/>
    <w:link w:val="6"/>
    <w:qFormat/>
    <w:uiPriority w:val="10"/>
    <w:rPr>
      <w:rFonts w:ascii="Arial" w:hAnsi="Arial" w:eastAsia="宋体" w:cs="Times New Roman"/>
      <w:b/>
      <w:kern w:val="0"/>
      <w:sz w:val="32"/>
      <w:szCs w:val="20"/>
      <w:lang w:val="zh-CN" w:eastAsia="zh-CN"/>
    </w:rPr>
  </w:style>
  <w:style w:type="character" w:customStyle="1" w:styleId="12">
    <w:name w:val="无间隔 Char"/>
    <w:link w:val="10"/>
    <w:qFormat/>
    <w:uiPriority w:val="1"/>
    <w:rPr>
      <w:rFonts w:ascii="Times New Roman" w:hAnsi="Times New Roman" w:eastAsia="宋体" w:cs="Times New Roman"/>
      <w:szCs w:val="24"/>
    </w:rPr>
  </w:style>
  <w:style w:type="character" w:customStyle="1" w:styleId="13">
    <w:name w:val="页眉 Char"/>
    <w:basedOn w:val="7"/>
    <w:link w:val="4"/>
    <w:qFormat/>
    <w:uiPriority w:val="99"/>
    <w:rPr>
      <w:rFonts w:ascii="Calibri" w:hAnsi="Calibri" w:eastAsia="宋体" w:cs="黑体"/>
      <w:sz w:val="18"/>
      <w:szCs w:val="18"/>
    </w:rPr>
  </w:style>
  <w:style w:type="character" w:customStyle="1" w:styleId="14">
    <w:name w:val="页脚 Char"/>
    <w:basedOn w:val="7"/>
    <w:link w:val="3"/>
    <w:qFormat/>
    <w:uiPriority w:val="99"/>
    <w:rPr>
      <w:rFonts w:ascii="Calibri" w:hAnsi="Calibri" w:eastAsia="宋体" w:cs="黑体"/>
      <w:sz w:val="18"/>
      <w:szCs w:val="18"/>
    </w:rPr>
  </w:style>
  <w:style w:type="paragraph" w:customStyle="1" w:styleId="15">
    <w:name w:val="无间隔1"/>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customStyle="1" w:styleId="16">
    <w:name w:val="批注框文本 Char"/>
    <w:basedOn w:val="7"/>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1481</Words>
  <Characters>8447</Characters>
  <Lines>70</Lines>
  <Paragraphs>19</Paragraphs>
  <TotalTime>0</TotalTime>
  <ScaleCrop>false</ScaleCrop>
  <LinksUpToDate>false</LinksUpToDate>
  <CharactersWithSpaces>9909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高燕妮/BFGS/CHNG</cp:lastModifiedBy>
  <dcterms:modified xsi:type="dcterms:W3CDTF">2020-02-18T08:43:55Z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