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560"/>
        <w:jc w:val="right"/>
        <w:rPr>
          <w:rFonts w:ascii="仿宋_GB2312" w:hAnsi="宋体" w:eastAsia="仿宋_GB2312"/>
          <w:szCs w:val="24"/>
        </w:rPr>
      </w:pPr>
      <w:r>
        <w:rPr>
          <w:rFonts w:hint="eastAsia" w:ascii="仿宋_GB2312" w:hAnsi="宋体" w:eastAsia="仿宋_GB2312"/>
          <w:sz w:val="28"/>
          <w:szCs w:val="28"/>
        </w:rPr>
        <w:t>项目编号:</w:t>
      </w:r>
      <w:r>
        <w:t xml:space="preserve"> </w:t>
      </w:r>
      <w:r>
        <w:rPr>
          <w:rFonts w:ascii="仿宋_GB2312" w:hAnsi="宋体" w:eastAsia="仿宋_GB2312"/>
          <w:sz w:val="28"/>
          <w:szCs w:val="28"/>
        </w:rPr>
        <w:t>POWERCHINA-</w:t>
      </w:r>
      <w:r>
        <w:rPr>
          <w:rFonts w:hint="eastAsia" w:ascii="仿宋_GB2312" w:hAnsi="宋体" w:eastAsia="仿宋_GB2312"/>
          <w:sz w:val="28"/>
          <w:szCs w:val="28"/>
        </w:rPr>
        <w:t>填写立项后自动生成编号</w:t>
      </w:r>
    </w:p>
    <w:p>
      <w:pPr>
        <w:jc w:val="center"/>
        <w:rPr>
          <w:rFonts w:ascii="宋体" w:hAnsi="宋体"/>
          <w:b/>
          <w:spacing w:val="32"/>
          <w:w w:val="90"/>
          <w:sz w:val="52"/>
          <w:szCs w:val="52"/>
        </w:rPr>
      </w:pPr>
      <w:r>
        <w:rPr>
          <w:rFonts w:hint="eastAsia" w:ascii="宋体" w:hAnsi="宋体"/>
          <w:b/>
          <w:spacing w:val="32"/>
          <w:w w:val="90"/>
          <w:sz w:val="52"/>
          <w:szCs w:val="52"/>
        </w:rPr>
        <w:t>中国电力建设股份有限公司</w:t>
      </w:r>
    </w:p>
    <w:p>
      <w:pPr>
        <w:jc w:val="center"/>
        <w:rPr>
          <w:rFonts w:ascii="宋体" w:hAnsi="宋体"/>
          <w:b/>
          <w:spacing w:val="32"/>
          <w:w w:val="90"/>
          <w:sz w:val="52"/>
          <w:szCs w:val="52"/>
        </w:rPr>
      </w:pPr>
      <w:r>
        <w:rPr>
          <w:rFonts w:hint="eastAsia" w:ascii="宋体" w:hAnsi="宋体"/>
          <w:b/>
          <w:spacing w:val="32"/>
          <w:w w:val="90"/>
          <w:sz w:val="52"/>
          <w:szCs w:val="52"/>
          <w:lang w:val="en-US" w:eastAsia="zh-CN"/>
        </w:rPr>
        <w:t>河北内丘300MW风电SVG设备</w:t>
      </w:r>
    </w:p>
    <w:p>
      <w:pPr>
        <w:jc w:val="center"/>
        <w:rPr>
          <w:rFonts w:ascii="宋体" w:hAnsi="宋体"/>
          <w:b/>
          <w:spacing w:val="32"/>
          <w:w w:val="90"/>
          <w:sz w:val="52"/>
          <w:szCs w:val="52"/>
        </w:rPr>
      </w:pPr>
      <w:r>
        <w:rPr>
          <w:rFonts w:hint="eastAsia" w:ascii="宋体" w:hAnsi="宋体"/>
          <w:b/>
          <w:spacing w:val="32"/>
          <w:w w:val="90"/>
          <w:sz w:val="52"/>
          <w:szCs w:val="52"/>
        </w:rPr>
        <w:t>采购项目</w:t>
      </w:r>
    </w:p>
    <w:p>
      <w:pPr>
        <w:snapToGrid w:val="0"/>
        <w:ind w:firstLine="510"/>
        <w:jc w:val="center"/>
        <w:rPr>
          <w:rFonts w:ascii="仿宋_GB2312" w:hAnsi="宋体" w:eastAsia="仿宋_GB2312"/>
          <w:b/>
          <w:spacing w:val="32"/>
          <w:w w:val="90"/>
          <w:szCs w:val="21"/>
        </w:rPr>
      </w:pPr>
    </w:p>
    <w:p>
      <w:pPr>
        <w:tabs>
          <w:tab w:val="center" w:pos="4411"/>
        </w:tabs>
        <w:jc w:val="center"/>
        <w:rPr>
          <w:rFonts w:ascii="宋体" w:hAnsi="宋体"/>
          <w:b/>
          <w:spacing w:val="32"/>
          <w:w w:val="90"/>
          <w:sz w:val="72"/>
          <w:szCs w:val="72"/>
        </w:rPr>
      </w:pPr>
      <w:r>
        <w:rPr>
          <w:rFonts w:hint="eastAsia" w:ascii="宋体" w:hAnsi="宋体"/>
          <w:b/>
          <w:spacing w:val="32"/>
          <w:w w:val="90"/>
          <w:sz w:val="72"/>
          <w:szCs w:val="72"/>
        </w:rPr>
        <w:t>竞争性谈判文件</w:t>
      </w:r>
    </w:p>
    <w:p>
      <w:pPr>
        <w:ind w:firstLine="674"/>
        <w:jc w:val="center"/>
        <w:rPr>
          <w:rFonts w:ascii="仿宋_GB2312" w:hAnsi="宋体" w:eastAsia="仿宋_GB2312"/>
          <w:b/>
          <w:spacing w:val="32"/>
          <w:w w:val="90"/>
          <w:sz w:val="30"/>
          <w:szCs w:val="30"/>
        </w:rPr>
      </w:pPr>
    </w:p>
    <w:p>
      <w:pPr>
        <w:ind w:firstLine="674"/>
        <w:jc w:val="center"/>
        <w:rPr>
          <w:rFonts w:hint="eastAsia" w:ascii="仿宋_GB2312" w:hAnsi="宋体" w:eastAsia="仿宋_GB2312"/>
          <w:b/>
          <w:spacing w:val="32"/>
          <w:w w:val="90"/>
          <w:sz w:val="30"/>
          <w:szCs w:val="30"/>
        </w:rPr>
      </w:pPr>
    </w:p>
    <w:p>
      <w:pPr>
        <w:snapToGrid w:val="0"/>
        <w:jc w:val="center"/>
        <w:rPr>
          <w:rFonts w:ascii="仿宋_GB2312" w:hAnsi="宋体" w:eastAsia="仿宋_GB2312"/>
          <w:b/>
          <w:spacing w:val="32"/>
          <w:w w:val="90"/>
          <w:sz w:val="48"/>
          <w:szCs w:val="48"/>
        </w:rPr>
      </w:pPr>
      <w:r>
        <w:rPr>
          <w:rFonts w:ascii="仿宋_GB2312" w:hAnsi="宋体" w:eastAsia="仿宋_GB2312"/>
          <w:b/>
          <w:spacing w:val="32"/>
          <w:w w:val="90"/>
          <w:sz w:val="48"/>
          <w:szCs w:val="48"/>
        </w:rPr>
        <w:drawing>
          <wp:inline distT="0" distB="0" distL="114300" distR="114300">
            <wp:extent cx="2372995" cy="2160905"/>
            <wp:effectExtent l="0" t="0" r="8255" b="10795"/>
            <wp:docPr id="1" name="图片 1" descr="说明: a71ea8d3fd1f41349d1d9ac7251f95cad1c85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71ea8d3fd1f41349d1d9ac7251f95cad1c85e64"/>
                    <pic:cNvPicPr>
                      <a:picLocks noChangeAspect="1"/>
                    </pic:cNvPicPr>
                  </pic:nvPicPr>
                  <pic:blipFill>
                    <a:blip r:embed="rId13"/>
                    <a:srcRect l="16910" t="8540" r="23817" b="9366"/>
                    <a:stretch>
                      <a:fillRect/>
                    </a:stretch>
                  </pic:blipFill>
                  <pic:spPr>
                    <a:xfrm>
                      <a:off x="0" y="0"/>
                      <a:ext cx="2372995" cy="2160905"/>
                    </a:xfrm>
                    <a:prstGeom prst="rect">
                      <a:avLst/>
                    </a:prstGeom>
                    <a:noFill/>
                    <a:ln w="9525">
                      <a:noFill/>
                    </a:ln>
                  </pic:spPr>
                </pic:pic>
              </a:graphicData>
            </a:graphic>
          </wp:inline>
        </w:drawing>
      </w:r>
    </w:p>
    <w:p>
      <w:pPr>
        <w:snapToGrid w:val="0"/>
        <w:jc w:val="center"/>
        <w:rPr>
          <w:rFonts w:ascii="仿宋_GB2312" w:hAnsi="宋体" w:eastAsia="仿宋_GB2312"/>
          <w:b/>
          <w:spacing w:val="32"/>
          <w:w w:val="90"/>
          <w:sz w:val="48"/>
          <w:szCs w:val="48"/>
        </w:rPr>
      </w:pPr>
    </w:p>
    <w:p>
      <w:pPr>
        <w:snapToGrid w:val="0"/>
        <w:jc w:val="center"/>
        <w:rPr>
          <w:rFonts w:hint="eastAsia" w:ascii="仿宋_GB2312" w:hAnsi="宋体" w:eastAsia="仿宋_GB2312"/>
          <w:b/>
          <w:spacing w:val="32"/>
          <w:w w:val="90"/>
          <w:sz w:val="48"/>
          <w:szCs w:val="48"/>
        </w:rPr>
      </w:pPr>
    </w:p>
    <w:p>
      <w:pPr>
        <w:ind w:firstLine="709" w:firstLineChars="219"/>
        <w:jc w:val="left"/>
        <w:rPr>
          <w:rFonts w:ascii="宋体" w:hAnsi="宋体"/>
          <w:w w:val="90"/>
          <w:sz w:val="36"/>
          <w:szCs w:val="36"/>
        </w:rPr>
      </w:pPr>
      <w:r>
        <w:rPr>
          <w:rFonts w:hint="eastAsia" w:ascii="宋体" w:hAnsi="宋体"/>
          <w:w w:val="90"/>
          <w:sz w:val="36"/>
          <w:szCs w:val="36"/>
        </w:rPr>
        <w:t>采 购 人：中国电建集团江西电力建设有限公司</w:t>
      </w:r>
    </w:p>
    <w:p>
      <w:pPr>
        <w:jc w:val="center"/>
        <w:rPr>
          <w:rFonts w:ascii="仿宋" w:hAnsi="仿宋" w:eastAsia="仿宋"/>
          <w:color w:val="000000"/>
          <w:sz w:val="28"/>
          <w:szCs w:val="28"/>
        </w:rPr>
      </w:pPr>
      <w:r>
        <w:rPr>
          <w:rFonts w:hint="eastAsia" w:ascii="宋体" w:hAnsi="宋体"/>
          <w:sz w:val="32"/>
          <w:szCs w:val="32"/>
        </w:rPr>
        <w:t>二○二</w:t>
      </w:r>
      <w:r>
        <w:rPr>
          <w:rFonts w:hint="eastAsia" w:ascii="宋体" w:hAnsi="宋体"/>
          <w:sz w:val="32"/>
          <w:szCs w:val="32"/>
          <w:lang w:val="en-US" w:eastAsia="zh-CN"/>
        </w:rPr>
        <w:t>O</w:t>
      </w:r>
      <w:r>
        <w:rPr>
          <w:rFonts w:hint="eastAsia" w:ascii="宋体" w:hAnsi="宋体"/>
          <w:sz w:val="32"/>
          <w:szCs w:val="32"/>
        </w:rPr>
        <w:t>年二月</w:t>
      </w:r>
      <w:bookmarkStart w:id="0" w:name="_Hlk17382039"/>
    </w:p>
    <w:bookmarkEnd w:id="0"/>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center"/>
        <w:rPr>
          <w:rFonts w:hint="eastAsia" w:ascii="宋体" w:hAnsi="宋体"/>
          <w:b/>
          <w:color w:val="000000"/>
          <w:sz w:val="30"/>
          <w:szCs w:val="30"/>
        </w:rPr>
      </w:pPr>
      <w:r>
        <w:rPr>
          <w:rFonts w:ascii="宋体" w:hAnsi="宋体"/>
          <w:b/>
          <w:color w:val="000000"/>
          <w:sz w:val="30"/>
          <w:szCs w:val="30"/>
        </w:rPr>
        <w:br w:type="page"/>
      </w:r>
      <w:r>
        <w:rPr>
          <w:rFonts w:hint="eastAsia" w:ascii="宋体" w:hAnsi="宋体"/>
          <w:b/>
          <w:color w:val="000000"/>
          <w:sz w:val="30"/>
          <w:szCs w:val="30"/>
        </w:rPr>
        <w:t xml:space="preserve">目 </w:t>
      </w:r>
      <w:r>
        <w:rPr>
          <w:rFonts w:ascii="宋体" w:hAnsi="宋体"/>
          <w:b/>
          <w:color w:val="000000"/>
          <w:sz w:val="30"/>
          <w:szCs w:val="30"/>
        </w:rPr>
        <w:t xml:space="preserve">   </w:t>
      </w:r>
      <w:r>
        <w:rPr>
          <w:rFonts w:hint="eastAsia" w:ascii="宋体" w:hAnsi="宋体"/>
          <w:b/>
          <w:color w:val="000000"/>
          <w:sz w:val="30"/>
          <w:szCs w:val="30"/>
        </w:rPr>
        <w:t>录</w:t>
      </w:r>
    </w:p>
    <w:p>
      <w:pPr>
        <w:pStyle w:val="16"/>
        <w:tabs>
          <w:tab w:val="right" w:leader="dot" w:pos="9060"/>
        </w:tabs>
        <w:rPr>
          <w:rFonts w:ascii="等线" w:hAnsi="等线" w:eastAsia="等线" w:cs="Times New Roman"/>
          <w:b w:val="0"/>
          <w:bCs w:val="0"/>
          <w:caps w:val="0"/>
          <w:kern w:val="2"/>
          <w:sz w:val="21"/>
          <w:szCs w:val="22"/>
        </w:rPr>
      </w:pPr>
      <w:r>
        <w:rPr>
          <w:rFonts w:ascii="Times New Roman" w:hAnsi="Times New Roman" w:eastAsia="仿宋" w:cs="Times New Roman"/>
          <w:sz w:val="24"/>
          <w:szCs w:val="24"/>
        </w:rPr>
        <w:fldChar w:fldCharType="begin"/>
      </w:r>
      <w:r>
        <w:rPr>
          <w:rFonts w:ascii="Times New Roman" w:hAnsi="Times New Roman" w:eastAsia="仿宋" w:cs="Times New Roman"/>
          <w:sz w:val="24"/>
          <w:szCs w:val="24"/>
        </w:rPr>
        <w:instrText xml:space="preserve"> TOC \o "1-3" \h \z \u </w:instrText>
      </w:r>
      <w:r>
        <w:rPr>
          <w:rFonts w:ascii="Times New Roman" w:hAnsi="Times New Roman" w:eastAsia="仿宋" w:cs="Times New Roman"/>
          <w:sz w:val="24"/>
          <w:szCs w:val="24"/>
        </w:rPr>
        <w:fldChar w:fldCharType="separate"/>
      </w:r>
      <w:r>
        <w:fldChar w:fldCharType="begin"/>
      </w:r>
      <w:r>
        <w:rPr>
          <w:rStyle w:val="24"/>
        </w:rPr>
        <w:instrText xml:space="preserve"> </w:instrText>
      </w:r>
      <w:r>
        <w:instrText xml:space="preserve">HYPERLINK \l "_Toc14856813"</w:instrText>
      </w:r>
      <w:r>
        <w:rPr>
          <w:rStyle w:val="24"/>
        </w:rPr>
        <w:instrText xml:space="preserve"> </w:instrText>
      </w:r>
      <w:r>
        <w:fldChar w:fldCharType="separate"/>
      </w:r>
      <w:r>
        <w:rPr>
          <w:rStyle w:val="24"/>
        </w:rPr>
        <w:t>第一章  竞争性谈判邀请书</w:t>
      </w:r>
      <w:r>
        <w:tab/>
      </w:r>
      <w:r>
        <w:fldChar w:fldCharType="begin"/>
      </w:r>
      <w:r>
        <w:instrText xml:space="preserve"> PAGEREF _Toc14856813 \h </w:instrText>
      </w:r>
      <w:r>
        <w:fldChar w:fldCharType="separate"/>
      </w:r>
      <w:r>
        <w:t>1</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"_Toc14856814"</w:instrText>
      </w:r>
      <w:r>
        <w:rPr>
          <w:rStyle w:val="24"/>
        </w:rPr>
        <w:instrText xml:space="preserve"> </w:instrText>
      </w:r>
      <w:r>
        <w:fldChar w:fldCharType="separate"/>
      </w:r>
      <w:r>
        <w:rPr>
          <w:rStyle w:val="24"/>
        </w:rPr>
        <w:t>1、采购项目</w:t>
      </w:r>
      <w:r>
        <w:tab/>
      </w:r>
      <w:r>
        <w:fldChar w:fldCharType="begin"/>
      </w:r>
      <w:r>
        <w:instrText xml:space="preserve"> PAGEREF _Toc14856814 \h </w:instrText>
      </w:r>
      <w:r>
        <w:fldChar w:fldCharType="separate"/>
      </w:r>
      <w:r>
        <w:t>1</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"_Toc14856815"</w:instrText>
      </w:r>
      <w:r>
        <w:rPr>
          <w:rStyle w:val="24"/>
        </w:rPr>
        <w:instrText xml:space="preserve"> </w:instrText>
      </w:r>
      <w:r>
        <w:fldChar w:fldCharType="separate"/>
      </w:r>
      <w:r>
        <w:rPr>
          <w:rStyle w:val="24"/>
        </w:rPr>
        <w:t>2、项目概况与采购范围</w:t>
      </w:r>
      <w:r>
        <w:tab/>
      </w:r>
      <w:r>
        <w:fldChar w:fldCharType="begin"/>
      </w:r>
      <w:r>
        <w:instrText xml:space="preserve"> PAGEREF _Toc14856815 \h </w:instrText>
      </w:r>
      <w:r>
        <w:fldChar w:fldCharType="separate"/>
      </w:r>
      <w:r>
        <w:t>1</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"_Toc14856816"</w:instrText>
      </w:r>
      <w:r>
        <w:rPr>
          <w:rStyle w:val="24"/>
        </w:rPr>
        <w:instrText xml:space="preserve"> </w:instrText>
      </w:r>
      <w:r>
        <w:fldChar w:fldCharType="separate"/>
      </w:r>
      <w:r>
        <w:rPr>
          <w:rStyle w:val="24"/>
        </w:rPr>
        <w:t>3、响应人资格要求</w:t>
      </w:r>
      <w:r>
        <w:tab/>
      </w:r>
      <w:r>
        <w:fldChar w:fldCharType="begin"/>
      </w:r>
      <w:r>
        <w:instrText xml:space="preserve"> PAGEREF _Toc14856816 \h </w:instrText>
      </w:r>
      <w:r>
        <w:fldChar w:fldCharType="separate"/>
      </w:r>
      <w:r>
        <w:t>1</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"_Toc14856817"</w:instrText>
      </w:r>
      <w:r>
        <w:rPr>
          <w:rStyle w:val="24"/>
        </w:rPr>
        <w:instrText xml:space="preserve"> </w:instrText>
      </w:r>
      <w:r>
        <w:fldChar w:fldCharType="separate"/>
      </w:r>
      <w:r>
        <w:rPr>
          <w:rStyle w:val="24"/>
        </w:rPr>
        <w:t>4、竞争性谈判文件的获取</w:t>
      </w:r>
      <w:r>
        <w:tab/>
      </w:r>
      <w:r>
        <w:fldChar w:fldCharType="begin"/>
      </w:r>
      <w:r>
        <w:instrText xml:space="preserve"> PAGEREF _Toc14856817 \h </w:instrText>
      </w:r>
      <w:r>
        <w:fldChar w:fldCharType="separate"/>
      </w:r>
      <w:r>
        <w:t>2</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"_Toc14856818"</w:instrText>
      </w:r>
      <w:r>
        <w:rPr>
          <w:rStyle w:val="24"/>
        </w:rPr>
        <w:instrText xml:space="preserve"> </w:instrText>
      </w:r>
      <w:r>
        <w:fldChar w:fldCharType="separate"/>
      </w:r>
      <w:r>
        <w:rPr>
          <w:rStyle w:val="24"/>
        </w:rPr>
        <w:t>5、竞争性谈判响应文件的递交</w:t>
      </w:r>
      <w:r>
        <w:tab/>
      </w:r>
      <w:r>
        <w:fldChar w:fldCharType="begin"/>
      </w:r>
      <w:r>
        <w:instrText xml:space="preserve"> PAGEREF _Toc14856818 \h </w:instrText>
      </w:r>
      <w:r>
        <w:fldChar w:fldCharType="separate"/>
      </w:r>
      <w:r>
        <w:t>2</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"_Toc14856819"</w:instrText>
      </w:r>
      <w:r>
        <w:rPr>
          <w:rStyle w:val="24"/>
        </w:rPr>
        <w:instrText xml:space="preserve"> </w:instrText>
      </w:r>
      <w:r>
        <w:fldChar w:fldCharType="separate"/>
      </w:r>
      <w:r>
        <w:rPr>
          <w:rStyle w:val="24"/>
        </w:rPr>
        <w:t>6、联系方式</w:t>
      </w:r>
      <w:r>
        <w:tab/>
      </w:r>
      <w:r>
        <w:fldChar w:fldCharType="begin"/>
      </w:r>
      <w:r>
        <w:instrText xml:space="preserve"> PAGEREF _Toc14856819 \h </w:instrText>
      </w:r>
      <w:r>
        <w:fldChar w:fldCharType="separate"/>
      </w:r>
      <w:r>
        <w:t>3</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"_Toc14856820"</w:instrText>
      </w:r>
      <w:r>
        <w:rPr>
          <w:rStyle w:val="24"/>
        </w:rPr>
        <w:instrText xml:space="preserve"> </w:instrText>
      </w:r>
      <w:r>
        <w:fldChar w:fldCharType="separate"/>
      </w:r>
      <w:r>
        <w:rPr>
          <w:rStyle w:val="24"/>
        </w:rPr>
        <w:t>7、监督机构</w:t>
      </w:r>
      <w:r>
        <w:tab/>
      </w:r>
      <w:r>
        <w:fldChar w:fldCharType="begin"/>
      </w:r>
      <w:r>
        <w:instrText xml:space="preserve"> PAGEREF _Toc14856820 \h </w:instrText>
      </w:r>
      <w:r>
        <w:fldChar w:fldCharType="separate"/>
      </w:r>
      <w:r>
        <w:t>3</w:t>
      </w:r>
      <w:r>
        <w:fldChar w:fldCharType="end"/>
      </w:r>
      <w:r>
        <w:fldChar w:fldCharType="end"/>
      </w:r>
    </w:p>
    <w:p>
      <w:pPr>
        <w:pStyle w:val="16"/>
        <w:tabs>
          <w:tab w:val="right" w:leader="dot" w:pos="9060"/>
        </w:tabs>
        <w:rPr>
          <w:rFonts w:ascii="等线" w:hAnsi="等线" w:eastAsia="等线" w:cs="Times New Roman"/>
          <w:b w:val="0"/>
          <w:bCs w:val="0"/>
          <w:caps w:val="0"/>
          <w:kern w:val="2"/>
          <w:sz w:val="21"/>
          <w:szCs w:val="22"/>
        </w:rPr>
      </w:pPr>
      <w:r>
        <w:fldChar w:fldCharType="begin"/>
      </w:r>
      <w:r>
        <w:rPr>
          <w:rStyle w:val="24"/>
        </w:rPr>
        <w:instrText xml:space="preserve"> </w:instrText>
      </w:r>
      <w:r>
        <w:instrText xml:space="preserve">HYPERLINK \l "_Toc14856821"</w:instrText>
      </w:r>
      <w:r>
        <w:rPr>
          <w:rStyle w:val="24"/>
        </w:rPr>
        <w:instrText xml:space="preserve"> </w:instrText>
      </w:r>
      <w:r>
        <w:fldChar w:fldCharType="separate"/>
      </w:r>
      <w:r>
        <w:rPr>
          <w:rStyle w:val="24"/>
        </w:rPr>
        <w:t>第二章  竞争性谈判响应人须知</w:t>
      </w:r>
      <w:r>
        <w:tab/>
      </w:r>
      <w:r>
        <w:fldChar w:fldCharType="begin"/>
      </w:r>
      <w:r>
        <w:instrText xml:space="preserve"> PAGEREF _Toc14856821 \h </w:instrText>
      </w:r>
      <w:r>
        <w:fldChar w:fldCharType="separate"/>
      </w:r>
      <w:r>
        <w:t>4</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"_Toc14856822"</w:instrText>
      </w:r>
      <w:r>
        <w:rPr>
          <w:rStyle w:val="24"/>
        </w:rPr>
        <w:instrText xml:space="preserve"> </w:instrText>
      </w:r>
      <w:r>
        <w:fldChar w:fldCharType="separate"/>
      </w:r>
      <w:r>
        <w:rPr>
          <w:rStyle w:val="24"/>
        </w:rPr>
        <w:t>1、竞争性谈判费用</w:t>
      </w:r>
      <w:r>
        <w:tab/>
      </w:r>
      <w:r>
        <w:fldChar w:fldCharType="begin"/>
      </w:r>
      <w:r>
        <w:instrText xml:space="preserve"> PAGEREF _Toc14856822 \h </w:instrText>
      </w:r>
      <w:r>
        <w:fldChar w:fldCharType="separate"/>
      </w:r>
      <w:r>
        <w:t>6</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"_Toc14856823"</w:instrText>
      </w:r>
      <w:r>
        <w:rPr>
          <w:rStyle w:val="24"/>
        </w:rPr>
        <w:instrText xml:space="preserve"> </w:instrText>
      </w:r>
      <w:r>
        <w:fldChar w:fldCharType="separate"/>
      </w:r>
      <w:r>
        <w:rPr>
          <w:rStyle w:val="24"/>
        </w:rPr>
        <w:t>2、竞争性谈判文件</w:t>
      </w:r>
      <w:r>
        <w:tab/>
      </w:r>
      <w:r>
        <w:fldChar w:fldCharType="begin"/>
      </w:r>
      <w:r>
        <w:instrText xml:space="preserve"> PAGEREF _Toc14856823 \h </w:instrText>
      </w:r>
      <w:r>
        <w:fldChar w:fldCharType="separate"/>
      </w:r>
      <w:r>
        <w:t>6</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"_Toc14856827"</w:instrText>
      </w:r>
      <w:r>
        <w:rPr>
          <w:rStyle w:val="24"/>
        </w:rPr>
        <w:instrText xml:space="preserve"> </w:instrText>
      </w:r>
      <w:r>
        <w:fldChar w:fldCharType="separate"/>
      </w:r>
      <w:r>
        <w:rPr>
          <w:rStyle w:val="24"/>
        </w:rPr>
        <w:t>3、竞争性谈判响应文件的编制</w:t>
      </w:r>
      <w:r>
        <w:tab/>
      </w:r>
      <w:r>
        <w:fldChar w:fldCharType="begin"/>
      </w:r>
      <w:r>
        <w:instrText xml:space="preserve"> PAGEREF _Toc14856827 \h </w:instrText>
      </w:r>
      <w:r>
        <w:fldChar w:fldCharType="separate"/>
      </w:r>
      <w:r>
        <w:t>6</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"_Toc14856837"</w:instrText>
      </w:r>
      <w:r>
        <w:rPr>
          <w:rStyle w:val="24"/>
        </w:rPr>
        <w:instrText xml:space="preserve"> </w:instrText>
      </w:r>
      <w:r>
        <w:fldChar w:fldCharType="separate"/>
      </w:r>
      <w:r>
        <w:rPr>
          <w:rStyle w:val="24"/>
        </w:rPr>
        <w:t>4、谈判与评审</w:t>
      </w:r>
      <w:r>
        <w:tab/>
      </w:r>
      <w:r>
        <w:fldChar w:fldCharType="begin"/>
      </w:r>
      <w:r>
        <w:instrText xml:space="preserve"> PAGEREF _Toc14856837 \h </w:instrText>
      </w:r>
      <w:r>
        <w:fldChar w:fldCharType="separate"/>
      </w:r>
      <w:r>
        <w:t>10</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"_Toc14856841"</w:instrText>
      </w:r>
      <w:r>
        <w:rPr>
          <w:rStyle w:val="24"/>
        </w:rPr>
        <w:instrText xml:space="preserve"> </w:instrText>
      </w:r>
      <w:r>
        <w:fldChar w:fldCharType="separate"/>
      </w:r>
      <w:r>
        <w:rPr>
          <w:rStyle w:val="24"/>
        </w:rPr>
        <w:t>5、合同授予</w:t>
      </w:r>
      <w:r>
        <w:tab/>
      </w:r>
      <w:r>
        <w:fldChar w:fldCharType="begin"/>
      </w:r>
      <w:r>
        <w:instrText xml:space="preserve"> PAGEREF _Toc14856841 \h </w:instrText>
      </w:r>
      <w:r>
        <w:fldChar w:fldCharType="separate"/>
      </w:r>
      <w:r>
        <w:t>11</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"_Toc14856846"</w:instrText>
      </w:r>
      <w:r>
        <w:rPr>
          <w:rStyle w:val="24"/>
        </w:rPr>
        <w:instrText xml:space="preserve"> </w:instrText>
      </w:r>
      <w:r>
        <w:fldChar w:fldCharType="separate"/>
      </w:r>
      <w:r>
        <w:rPr>
          <w:rStyle w:val="24"/>
        </w:rPr>
        <w:t>6、纪律和监督</w:t>
      </w:r>
      <w:r>
        <w:tab/>
      </w:r>
      <w:r>
        <w:fldChar w:fldCharType="begin"/>
      </w:r>
      <w:r>
        <w:instrText xml:space="preserve"> PAGEREF _Toc14856846 \h </w:instrText>
      </w:r>
      <w:r>
        <w:fldChar w:fldCharType="separate"/>
      </w:r>
      <w:r>
        <w:t>11</w:t>
      </w:r>
      <w:r>
        <w:fldChar w:fldCharType="end"/>
      </w:r>
      <w:r>
        <w:fldChar w:fldCharType="end"/>
      </w:r>
    </w:p>
    <w:p>
      <w:pPr>
        <w:pStyle w:val="16"/>
        <w:tabs>
          <w:tab w:val="right" w:leader="dot" w:pos="9060"/>
        </w:tabs>
        <w:rPr>
          <w:rFonts w:ascii="等线" w:hAnsi="等线" w:eastAsia="等线" w:cs="Times New Roman"/>
          <w:b w:val="0"/>
          <w:bCs w:val="0"/>
          <w:caps w:val="0"/>
          <w:kern w:val="2"/>
          <w:sz w:val="21"/>
          <w:szCs w:val="22"/>
        </w:rPr>
      </w:pPr>
      <w:r>
        <w:fldChar w:fldCharType="begin"/>
      </w:r>
      <w:r>
        <w:rPr>
          <w:rStyle w:val="24"/>
        </w:rPr>
        <w:instrText xml:space="preserve"> </w:instrText>
      </w:r>
      <w:r>
        <w:instrText xml:space="preserve">HYPERLINK \l "_Toc14856847"</w:instrText>
      </w:r>
      <w:r>
        <w:rPr>
          <w:rStyle w:val="24"/>
        </w:rPr>
        <w:instrText xml:space="preserve"> </w:instrText>
      </w:r>
      <w:r>
        <w:fldChar w:fldCharType="separate"/>
      </w:r>
      <w:r>
        <w:rPr>
          <w:rStyle w:val="24"/>
        </w:rPr>
        <w:t>第三章  合同条款及格式</w:t>
      </w:r>
      <w:r>
        <w:tab/>
      </w:r>
      <w:r>
        <w:fldChar w:fldCharType="begin"/>
      </w:r>
      <w:r>
        <w:instrText xml:space="preserve"> PAGEREF _Toc14856847 \h </w:instrText>
      </w:r>
      <w:r>
        <w:fldChar w:fldCharType="separate"/>
      </w:r>
      <w:r>
        <w:t>13</w:t>
      </w:r>
      <w:r>
        <w:fldChar w:fldCharType="end"/>
      </w:r>
      <w:r>
        <w:fldChar w:fldCharType="end"/>
      </w:r>
    </w:p>
    <w:p>
      <w:pPr>
        <w:pStyle w:val="18"/>
        <w:tabs>
          <w:tab w:val="right" w:leader="dot" w:pos="9060"/>
        </w:tabs>
        <w:rPr>
          <w:rStyle w:val="24"/>
        </w:rPr>
      </w:pPr>
      <w:r>
        <w:fldChar w:fldCharType="begin"/>
      </w:r>
      <w:r>
        <w:rPr>
          <w:rStyle w:val="24"/>
        </w:rPr>
        <w:instrText xml:space="preserve"> HYPERLINK \l "_Toc14856848" </w:instrText>
      </w:r>
      <w:r>
        <w:fldChar w:fldCharType="separate"/>
      </w:r>
      <w:r>
        <w:rPr>
          <w:rStyle w:val="24"/>
        </w:rPr>
        <w:t>第一节  通用合同条款</w:t>
      </w:r>
      <w:r>
        <w:rPr>
          <w:rStyle w:val="24"/>
        </w:rPr>
        <w:tab/>
      </w:r>
      <w:r>
        <w:fldChar w:fldCharType="begin"/>
      </w:r>
      <w:r>
        <w:rPr>
          <w:rStyle w:val="24"/>
        </w:rPr>
        <w:instrText xml:space="preserve"> PAGEREF _Toc14856848 \h </w:instrText>
      </w:r>
      <w:r>
        <w:fldChar w:fldCharType="separate"/>
      </w:r>
      <w:r>
        <w:rPr>
          <w:rStyle w:val="24"/>
        </w:rPr>
        <w:t>13</w:t>
      </w:r>
      <w:r>
        <w:fldChar w:fldCharType="end"/>
      </w:r>
      <w:r>
        <w:fldChar w:fldCharType="end"/>
      </w:r>
    </w:p>
    <w:p>
      <w:pPr>
        <w:pStyle w:val="18"/>
        <w:tabs>
          <w:tab w:val="right" w:leader="dot" w:pos="9060"/>
        </w:tabs>
        <w:rPr>
          <w:rStyle w:val="24"/>
        </w:rPr>
      </w:pPr>
      <w:r>
        <w:fldChar w:fldCharType="begin"/>
      </w:r>
      <w:r>
        <w:rPr>
          <w:rStyle w:val="24"/>
        </w:rPr>
        <w:instrText xml:space="preserve"> HYPERLINK \l "_Toc14856849" </w:instrText>
      </w:r>
      <w:r>
        <w:fldChar w:fldCharType="separate"/>
      </w:r>
      <w:r>
        <w:rPr>
          <w:rStyle w:val="24"/>
        </w:rPr>
        <w:t>第二节  专用合同条款</w:t>
      </w:r>
      <w:r>
        <w:rPr>
          <w:rStyle w:val="24"/>
        </w:rPr>
        <w:tab/>
      </w:r>
      <w:r>
        <w:fldChar w:fldCharType="begin"/>
      </w:r>
      <w:r>
        <w:rPr>
          <w:rStyle w:val="24"/>
        </w:rPr>
        <w:instrText xml:space="preserve"> PAGEREF _Toc14856849 \h </w:instrText>
      </w:r>
      <w:r>
        <w:fldChar w:fldCharType="separate"/>
      </w:r>
      <w:r>
        <w:rPr>
          <w:rStyle w:val="24"/>
        </w:rPr>
        <w:t>22</w:t>
      </w:r>
      <w:r>
        <w:fldChar w:fldCharType="end"/>
      </w:r>
      <w:r>
        <w:fldChar w:fldCharType="end"/>
      </w:r>
    </w:p>
    <w:p>
      <w:pPr>
        <w:pStyle w:val="18"/>
        <w:tabs>
          <w:tab w:val="right" w:leader="dot" w:pos="9060"/>
        </w:tabs>
        <w:rPr>
          <w:rStyle w:val="24"/>
        </w:rPr>
      </w:pPr>
      <w:r>
        <w:fldChar w:fldCharType="begin"/>
      </w:r>
      <w:r>
        <w:rPr>
          <w:rStyle w:val="24"/>
        </w:rPr>
        <w:instrText xml:space="preserve"> HYPERLINK \l "_Toc14856850" </w:instrText>
      </w:r>
      <w:r>
        <w:fldChar w:fldCharType="separate"/>
      </w:r>
      <w:r>
        <w:rPr>
          <w:rStyle w:val="24"/>
        </w:rPr>
        <w:t>第三节  合同附件格式</w:t>
      </w:r>
      <w:r>
        <w:rPr>
          <w:rStyle w:val="24"/>
        </w:rPr>
        <w:tab/>
      </w:r>
      <w:r>
        <w:fldChar w:fldCharType="begin"/>
      </w:r>
      <w:r>
        <w:rPr>
          <w:rStyle w:val="24"/>
        </w:rPr>
        <w:instrText xml:space="preserve"> PAGEREF _Toc14856850 \h </w:instrText>
      </w:r>
      <w:r>
        <w:fldChar w:fldCharType="separate"/>
      </w:r>
      <w:r>
        <w:rPr>
          <w:rStyle w:val="24"/>
        </w:rPr>
        <w:t>23</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"_Toc14856851"</w:instrText>
      </w:r>
      <w:r>
        <w:rPr>
          <w:rStyle w:val="24"/>
        </w:rPr>
        <w:instrText xml:space="preserve"> </w:instrText>
      </w:r>
      <w:r>
        <w:fldChar w:fldCharType="separate"/>
      </w:r>
      <w:r>
        <w:rPr>
          <w:rStyle w:val="24"/>
        </w:rPr>
        <w:t>附件一：合同协议书</w:t>
      </w:r>
      <w:r>
        <w:tab/>
      </w:r>
      <w:r>
        <w:fldChar w:fldCharType="begin"/>
      </w:r>
      <w:r>
        <w:instrText xml:space="preserve"> PAGEREF _Toc14856851 \h </w:instrText>
      </w:r>
      <w:r>
        <w:fldChar w:fldCharType="separate"/>
      </w:r>
      <w:r>
        <w:t>24</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"_Toc14856852"</w:instrText>
      </w:r>
      <w:r>
        <w:rPr>
          <w:rStyle w:val="24"/>
        </w:rPr>
        <w:instrText xml:space="preserve"> </w:instrText>
      </w:r>
      <w:r>
        <w:fldChar w:fldCharType="separate"/>
      </w:r>
      <w:r>
        <w:rPr>
          <w:rStyle w:val="24"/>
        </w:rPr>
        <w:t>附件二：履约保证金格式</w:t>
      </w:r>
      <w:r>
        <w:tab/>
      </w:r>
      <w:r>
        <w:fldChar w:fldCharType="begin"/>
      </w:r>
      <w:r>
        <w:instrText xml:space="preserve"> PAGEREF _Toc14856852 \h </w:instrText>
      </w:r>
      <w:r>
        <w:fldChar w:fldCharType="separate"/>
      </w:r>
      <w:r>
        <w:t>26</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"_Toc14856853"</w:instrText>
      </w:r>
      <w:r>
        <w:rPr>
          <w:rStyle w:val="24"/>
        </w:rPr>
        <w:instrText xml:space="preserve"> </w:instrText>
      </w:r>
      <w:r>
        <w:fldChar w:fldCharType="separate"/>
      </w:r>
      <w:r>
        <w:rPr>
          <w:rStyle w:val="24"/>
        </w:rPr>
        <w:t>附件三：廉政责任书</w:t>
      </w:r>
      <w:r>
        <w:tab/>
      </w:r>
      <w:r>
        <w:fldChar w:fldCharType="begin"/>
      </w:r>
      <w:r>
        <w:instrText xml:space="preserve"> PAGEREF _Toc14856853 \h </w:instrText>
      </w:r>
      <w:r>
        <w:fldChar w:fldCharType="separate"/>
      </w:r>
      <w:r>
        <w:t>27</w:t>
      </w:r>
      <w:r>
        <w:fldChar w:fldCharType="end"/>
      </w:r>
      <w:r>
        <w:fldChar w:fldCharType="end"/>
      </w:r>
    </w:p>
    <w:p>
      <w:pPr>
        <w:pStyle w:val="16"/>
        <w:tabs>
          <w:tab w:val="right" w:leader="dot" w:pos="9060"/>
        </w:tabs>
        <w:rPr>
          <w:rFonts w:ascii="等线" w:hAnsi="等线" w:eastAsia="等线" w:cs="Times New Roman"/>
          <w:b w:val="0"/>
          <w:bCs w:val="0"/>
          <w:caps w:val="0"/>
          <w:kern w:val="2"/>
          <w:sz w:val="21"/>
          <w:szCs w:val="22"/>
        </w:rPr>
      </w:pPr>
      <w:r>
        <w:fldChar w:fldCharType="begin"/>
      </w:r>
      <w:r>
        <w:rPr>
          <w:rStyle w:val="24"/>
        </w:rPr>
        <w:instrText xml:space="preserve"> </w:instrText>
      </w:r>
      <w:r>
        <w:instrText xml:space="preserve">HYPERLINK \l "_Toc14856854"</w:instrText>
      </w:r>
      <w:r>
        <w:rPr>
          <w:rStyle w:val="24"/>
        </w:rPr>
        <w:instrText xml:space="preserve"> </w:instrText>
      </w:r>
      <w:r>
        <w:fldChar w:fldCharType="separate"/>
      </w:r>
      <w:r>
        <w:rPr>
          <w:rStyle w:val="24"/>
        </w:rPr>
        <w:t>第四章  响应文件格式</w:t>
      </w:r>
      <w:r>
        <w:tab/>
      </w:r>
      <w:r>
        <w:fldChar w:fldCharType="begin"/>
      </w:r>
      <w:r>
        <w:instrText xml:space="preserve"> PAGEREF _Toc14856854 \h </w:instrText>
      </w:r>
      <w:r>
        <w:fldChar w:fldCharType="separate"/>
      </w:r>
      <w:r>
        <w:t>29</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"_Toc14856855"</w:instrText>
      </w:r>
      <w:r>
        <w:rPr>
          <w:rStyle w:val="24"/>
        </w:rPr>
        <w:instrText xml:space="preserve"> </w:instrText>
      </w:r>
      <w:r>
        <w:fldChar w:fldCharType="separate"/>
      </w:r>
      <w:r>
        <w:rPr>
          <w:rStyle w:val="24"/>
        </w:rPr>
        <w:t>一、竞争性谈判报价函</w:t>
      </w:r>
      <w:r>
        <w:tab/>
      </w:r>
      <w:r>
        <w:fldChar w:fldCharType="begin"/>
      </w:r>
      <w:r>
        <w:instrText xml:space="preserve"> PAGEREF _Toc14856855 \h </w:instrText>
      </w:r>
      <w:r>
        <w:fldChar w:fldCharType="separate"/>
      </w:r>
      <w:r>
        <w:t>30</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"_Toc14856856"</w:instrText>
      </w:r>
      <w:r>
        <w:rPr>
          <w:rStyle w:val="24"/>
        </w:rPr>
        <w:instrText xml:space="preserve"> </w:instrText>
      </w:r>
      <w:r>
        <w:fldChar w:fldCharType="separate"/>
      </w:r>
      <w:r>
        <w:rPr>
          <w:rStyle w:val="24"/>
        </w:rPr>
        <w:t>二、法定代表人授权委托书</w:t>
      </w:r>
      <w:r>
        <w:tab/>
      </w:r>
      <w:r>
        <w:fldChar w:fldCharType="begin"/>
      </w:r>
      <w:r>
        <w:instrText xml:space="preserve"> PAGEREF _Toc14856856 \h </w:instrText>
      </w:r>
      <w:r>
        <w:fldChar w:fldCharType="separate"/>
      </w:r>
      <w:r>
        <w:t>31</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"_Toc14856857"</w:instrText>
      </w:r>
      <w:r>
        <w:rPr>
          <w:rStyle w:val="24"/>
        </w:rPr>
        <w:instrText xml:space="preserve"> </w:instrText>
      </w:r>
      <w:r>
        <w:fldChar w:fldCharType="separate"/>
      </w:r>
      <w:r>
        <w:rPr>
          <w:rStyle w:val="24"/>
        </w:rPr>
        <w:t>三、保证金</w:t>
      </w:r>
      <w:r>
        <w:tab/>
      </w:r>
      <w:r>
        <w:fldChar w:fldCharType="begin"/>
      </w:r>
      <w:r>
        <w:instrText xml:space="preserve"> PAGEREF _Toc14856857 \h </w:instrText>
      </w:r>
      <w:r>
        <w:fldChar w:fldCharType="separate"/>
      </w:r>
      <w:r>
        <w:t>32</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"_Toc14856858"</w:instrText>
      </w:r>
      <w:r>
        <w:rPr>
          <w:rStyle w:val="24"/>
        </w:rPr>
        <w:instrText xml:space="preserve"> </w:instrText>
      </w:r>
      <w:r>
        <w:fldChar w:fldCharType="separate"/>
      </w:r>
      <w:r>
        <w:rPr>
          <w:rStyle w:val="24"/>
        </w:rPr>
        <w:t>四、报价表</w:t>
      </w:r>
      <w:r>
        <w:tab/>
      </w:r>
      <w:r>
        <w:fldChar w:fldCharType="begin"/>
      </w:r>
      <w:r>
        <w:instrText xml:space="preserve"> PAGEREF _Toc14856858 \h </w:instrText>
      </w:r>
      <w:r>
        <w:fldChar w:fldCharType="separate"/>
      </w:r>
      <w:r>
        <w:t>33</w:t>
      </w:r>
      <w:r>
        <w:fldChar w:fldCharType="end"/>
      </w:r>
      <w:r>
        <w:fldChar w:fldCharType="end"/>
      </w:r>
    </w:p>
    <w:p>
      <w:pPr>
        <w:pStyle w:val="18"/>
        <w:tabs>
          <w:tab w:val="right" w:leader="dot" w:pos="9060"/>
        </w:tabs>
        <w:rPr>
          <w:rStyle w:val="24"/>
        </w:rPr>
      </w:pPr>
      <w:r>
        <w:fldChar w:fldCharType="begin"/>
      </w:r>
      <w:r>
        <w:rPr>
          <w:rStyle w:val="24"/>
        </w:rPr>
        <w:instrText xml:space="preserve"> HYPERLINK \l "_Toc14856859" </w:instrText>
      </w:r>
      <w:r>
        <w:fldChar w:fldCharType="separate"/>
      </w:r>
      <w:r>
        <w:rPr>
          <w:rStyle w:val="24"/>
        </w:rPr>
        <w:t>五、响应人信息</w:t>
      </w:r>
      <w:r>
        <w:rPr>
          <w:rStyle w:val="24"/>
        </w:rPr>
        <w:tab/>
      </w:r>
      <w:r>
        <w:fldChar w:fldCharType="begin"/>
      </w:r>
      <w:r>
        <w:rPr>
          <w:rStyle w:val="24"/>
        </w:rPr>
        <w:instrText xml:space="preserve"> PAGEREF _Toc14856859 \h </w:instrText>
      </w:r>
      <w:r>
        <w:fldChar w:fldCharType="separate"/>
      </w:r>
      <w:r>
        <w:rPr>
          <w:rStyle w:val="24"/>
        </w:rPr>
        <w:t>35</w:t>
      </w:r>
      <w:r>
        <w:fldChar w:fldCharType="end"/>
      </w:r>
      <w:r>
        <w:fldChar w:fldCharType="end"/>
      </w:r>
    </w:p>
    <w:p>
      <w:pPr>
        <w:pStyle w:val="18"/>
        <w:tabs>
          <w:tab w:val="right" w:leader="dot" w:pos="9060"/>
        </w:tabs>
        <w:rPr>
          <w:rStyle w:val="24"/>
        </w:rPr>
      </w:pPr>
      <w:r>
        <w:fldChar w:fldCharType="begin"/>
      </w:r>
      <w:r>
        <w:rPr>
          <w:rStyle w:val="24"/>
        </w:rPr>
        <w:instrText xml:space="preserve"> HYPERLINK \l "_Toc14856860" </w:instrText>
      </w:r>
      <w:r>
        <w:fldChar w:fldCharType="separate"/>
      </w:r>
      <w:r>
        <w:rPr>
          <w:rStyle w:val="24"/>
        </w:rPr>
        <w:t>六、 类似业绩资料</w:t>
      </w:r>
      <w:r>
        <w:rPr>
          <w:rStyle w:val="24"/>
        </w:rPr>
        <w:tab/>
      </w:r>
      <w:r>
        <w:fldChar w:fldCharType="begin"/>
      </w:r>
      <w:r>
        <w:rPr>
          <w:rStyle w:val="24"/>
        </w:rPr>
        <w:instrText xml:space="preserve"> PAGEREF _Toc14856860 \h </w:instrText>
      </w:r>
      <w:r>
        <w:fldChar w:fldCharType="separate"/>
      </w:r>
      <w:r>
        <w:rPr>
          <w:rStyle w:val="24"/>
        </w:rPr>
        <w:t>37</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"_Toc14856861"</w:instrText>
      </w:r>
      <w:r>
        <w:rPr>
          <w:rStyle w:val="24"/>
        </w:rPr>
        <w:instrText xml:space="preserve"> </w:instrText>
      </w:r>
      <w:r>
        <w:fldChar w:fldCharType="separate"/>
      </w:r>
      <w:r>
        <w:rPr>
          <w:rStyle w:val="24"/>
        </w:rPr>
        <w:t>七、响应人廉政承诺书</w:t>
      </w:r>
      <w:r>
        <w:tab/>
      </w:r>
      <w:r>
        <w:fldChar w:fldCharType="begin"/>
      </w:r>
      <w:r>
        <w:instrText xml:space="preserve"> PAGEREF _Toc14856861 \h </w:instrText>
      </w:r>
      <w:r>
        <w:fldChar w:fldCharType="separate"/>
      </w:r>
      <w:r>
        <w:t>38</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"_Toc14856862"</w:instrText>
      </w:r>
      <w:r>
        <w:rPr>
          <w:rStyle w:val="24"/>
        </w:rPr>
        <w:instrText xml:space="preserve"> </w:instrText>
      </w:r>
      <w:r>
        <w:fldChar w:fldCharType="separate"/>
      </w:r>
      <w:r>
        <w:rPr>
          <w:rStyle w:val="24"/>
        </w:rPr>
        <w:t>八、商务偏差表</w:t>
      </w:r>
      <w:r>
        <w:tab/>
      </w:r>
      <w:r>
        <w:fldChar w:fldCharType="begin"/>
      </w:r>
      <w:r>
        <w:instrText xml:space="preserve"> PAGEREF _Toc14856862 \h </w:instrText>
      </w:r>
      <w:r>
        <w:fldChar w:fldCharType="separate"/>
      </w:r>
      <w:r>
        <w:t>39</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"_Toc14856863"</w:instrText>
      </w:r>
      <w:r>
        <w:rPr>
          <w:rStyle w:val="24"/>
        </w:rPr>
        <w:instrText xml:space="preserve"> </w:instrText>
      </w:r>
      <w:r>
        <w:fldChar w:fldCharType="separate"/>
      </w:r>
      <w:r>
        <w:rPr>
          <w:rStyle w:val="24"/>
        </w:rPr>
        <w:t>九、响应人应补充的其它商务资料</w:t>
      </w:r>
      <w:r>
        <w:tab/>
      </w:r>
      <w:r>
        <w:fldChar w:fldCharType="begin"/>
      </w:r>
      <w:r>
        <w:instrText xml:space="preserve"> PAGEREF _Toc14856863 \h </w:instrText>
      </w:r>
      <w:r>
        <w:fldChar w:fldCharType="separate"/>
      </w:r>
      <w:r>
        <w:t>40</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"_Toc14856864"</w:instrText>
      </w:r>
      <w:r>
        <w:rPr>
          <w:rStyle w:val="24"/>
        </w:rPr>
        <w:instrText xml:space="preserve"> </w:instrText>
      </w:r>
      <w:r>
        <w:fldChar w:fldCharType="separate"/>
      </w:r>
      <w:r>
        <w:rPr>
          <w:rStyle w:val="24"/>
        </w:rPr>
        <w:t>十、技术偏差表</w:t>
      </w:r>
      <w:r>
        <w:tab/>
      </w:r>
      <w:r>
        <w:fldChar w:fldCharType="begin"/>
      </w:r>
      <w:r>
        <w:instrText xml:space="preserve"> PAGEREF _Toc14856864 \h </w:instrText>
      </w:r>
      <w:r>
        <w:fldChar w:fldCharType="separate"/>
      </w:r>
      <w:r>
        <w:t>41</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"_Toc14856865"</w:instrText>
      </w:r>
      <w:r>
        <w:rPr>
          <w:rStyle w:val="24"/>
        </w:rPr>
        <w:instrText xml:space="preserve"> </w:instrText>
      </w:r>
      <w:r>
        <w:fldChar w:fldCharType="separate"/>
      </w:r>
      <w:r>
        <w:rPr>
          <w:rStyle w:val="24"/>
        </w:rPr>
        <w:t>十一、交货计划表</w:t>
      </w:r>
      <w:r>
        <w:tab/>
      </w:r>
      <w:r>
        <w:fldChar w:fldCharType="begin"/>
      </w:r>
      <w:r>
        <w:instrText xml:space="preserve"> PAGEREF _Toc14856865 \h </w:instrText>
      </w:r>
      <w:r>
        <w:fldChar w:fldCharType="separate"/>
      </w:r>
      <w:r>
        <w:t>42</w:t>
      </w:r>
      <w:r>
        <w:fldChar w:fldCharType="end"/>
      </w:r>
      <w:r>
        <w:fldChar w:fldCharType="end"/>
      </w:r>
    </w:p>
    <w:p>
      <w:pPr>
        <w:pStyle w:val="18"/>
        <w:tabs>
          <w:tab w:val="right" w:leader="dot" w:pos="9060"/>
        </w:tabs>
        <w:rPr>
          <w:rFonts w:ascii="等线" w:hAnsi="等线" w:eastAsia="等线" w:cs="Times New Roman"/>
          <w:smallCaps w:val="0"/>
          <w:kern w:val="2"/>
          <w:sz w:val="21"/>
          <w:szCs w:val="22"/>
        </w:rPr>
      </w:pPr>
      <w:r>
        <w:fldChar w:fldCharType="begin"/>
      </w:r>
      <w:r>
        <w:rPr>
          <w:rStyle w:val="24"/>
        </w:rPr>
        <w:instrText xml:space="preserve"> </w:instrText>
      </w:r>
      <w:r>
        <w:instrText xml:space="preserve">HYPERLINK \l "_Toc14856866"</w:instrText>
      </w:r>
      <w:r>
        <w:rPr>
          <w:rStyle w:val="24"/>
        </w:rPr>
        <w:instrText xml:space="preserve"> </w:instrText>
      </w:r>
      <w:r>
        <w:fldChar w:fldCharType="separate"/>
      </w:r>
      <w:r>
        <w:rPr>
          <w:rStyle w:val="24"/>
        </w:rPr>
        <w:t>十二、竞争性谈判响应文件说明书与技术资料</w:t>
      </w:r>
      <w:r>
        <w:tab/>
      </w:r>
      <w:r>
        <w:fldChar w:fldCharType="begin"/>
      </w:r>
      <w:r>
        <w:instrText xml:space="preserve"> PAGEREF _Toc14856866 \h </w:instrText>
      </w:r>
      <w:r>
        <w:fldChar w:fldCharType="separate"/>
      </w:r>
      <w:r>
        <w:t>43</w:t>
      </w:r>
      <w:r>
        <w:fldChar w:fldCharType="end"/>
      </w:r>
      <w:r>
        <w:fldChar w:fldCharType="end"/>
      </w:r>
    </w:p>
    <w:p>
      <w:pPr>
        <w:pStyle w:val="16"/>
        <w:tabs>
          <w:tab w:val="right" w:leader="dot" w:pos="9060"/>
        </w:tabs>
        <w:rPr>
          <w:rFonts w:hint="eastAsia" w:ascii="Times New Roman" w:hAnsi="Times New Roman"/>
          <w:szCs w:val="24"/>
        </w:rPr>
      </w:pPr>
      <w:r>
        <w:rPr>
          <w:rFonts w:ascii="Times New Roman" w:hAnsi="Times New Roman" w:eastAsia="仿宋"/>
          <w:sz w:val="24"/>
          <w:szCs w:val="24"/>
        </w:rPr>
        <w:fldChar w:fldCharType="end"/>
      </w:r>
    </w:p>
    <w:p>
      <w:pPr>
        <w:pStyle w:val="2"/>
        <w:rPr>
          <w:rFonts w:ascii="Times New Roman" w:hAnsi="Times New Roman"/>
          <w:szCs w:val="24"/>
        </w:rPr>
        <w:sectPr>
          <w:headerReference r:id="rId3" w:type="default"/>
          <w:footerReference r:id="rId4" w:type="default"/>
          <w:pgSz w:w="11906" w:h="16838"/>
          <w:pgMar w:top="1418" w:right="1418" w:bottom="1418" w:left="1418" w:header="851" w:footer="964" w:gutter="0"/>
          <w:pgNumType w:start="1"/>
          <w:cols w:space="720" w:num="1"/>
          <w:docGrid w:type="lines" w:linePitch="326" w:charSpace="0"/>
        </w:sectPr>
      </w:pPr>
    </w:p>
    <w:p>
      <w:pPr>
        <w:pStyle w:val="2"/>
        <w:rPr>
          <w:rFonts w:hint="eastAsia"/>
        </w:rPr>
      </w:pPr>
      <w:bookmarkStart w:id="1" w:name="第一章"/>
      <w:bookmarkEnd w:id="1"/>
      <w:bookmarkStart w:id="2" w:name="_Toc14856813"/>
      <w:r>
        <w:rPr>
          <w:rFonts w:hint="eastAsia"/>
        </w:rPr>
        <w:t>第一章  竞争性谈判邀请书</w:t>
      </w:r>
      <w:bookmarkEnd w:id="2"/>
    </w:p>
    <w:p>
      <w:pPr>
        <w:rPr>
          <w:rFonts w:hint="eastAsia"/>
        </w:rPr>
      </w:pPr>
      <w:r>
        <w:rPr>
          <w:rFonts w:hint="eastAsia" w:ascii="仿宋" w:hAnsi="仿宋" w:eastAsia="仿宋"/>
          <w:b/>
          <w:bCs/>
          <w:color w:val="000000"/>
          <w:sz w:val="30"/>
          <w:szCs w:val="30"/>
          <w:u w:val="single"/>
        </w:rPr>
        <w:t xml:space="preserve">                         </w:t>
      </w:r>
      <w:r>
        <w:rPr>
          <w:rFonts w:hint="eastAsia" w:ascii="仿宋" w:hAnsi="仿宋" w:eastAsia="仿宋"/>
          <w:b/>
          <w:bCs/>
          <w:color w:val="000000"/>
          <w:sz w:val="30"/>
          <w:szCs w:val="30"/>
        </w:rPr>
        <w:t>（被邀请单位名称）：</w:t>
      </w:r>
    </w:p>
    <w:p>
      <w:pPr>
        <w:pStyle w:val="3"/>
        <w:rPr>
          <w:rFonts w:hint="eastAsia"/>
        </w:rPr>
      </w:pPr>
      <w:bookmarkStart w:id="3" w:name="_Toc337797822"/>
      <w:bookmarkStart w:id="4" w:name="_Toc246996909"/>
      <w:bookmarkStart w:id="5" w:name="_Toc179632536"/>
      <w:bookmarkStart w:id="6" w:name="_Toc246996166"/>
      <w:bookmarkStart w:id="7" w:name="_Toc152042295"/>
      <w:bookmarkStart w:id="8" w:name="_Toc152045519"/>
      <w:bookmarkStart w:id="9" w:name="_Toc247085680"/>
      <w:bookmarkStart w:id="10" w:name="_Toc144974487"/>
      <w:bookmarkStart w:id="11" w:name="_Toc14856814"/>
      <w:bookmarkStart w:id="12" w:name="招标条件"/>
      <w:bookmarkStart w:id="13" w:name="_Toc144974488"/>
      <w:bookmarkStart w:id="14" w:name="_Toc152042296"/>
      <w:bookmarkStart w:id="15" w:name="_Toc246996167"/>
      <w:bookmarkStart w:id="16" w:name="_Toc337797823"/>
      <w:bookmarkStart w:id="17" w:name="_Toc246996910"/>
      <w:bookmarkStart w:id="18" w:name="_Toc152045520"/>
      <w:bookmarkStart w:id="19" w:name="_Toc179632537"/>
      <w:bookmarkStart w:id="20" w:name="_Toc247085681"/>
      <w:r>
        <w:t>1、采购</w:t>
      </w:r>
      <w:bookmarkEnd w:id="3"/>
      <w:bookmarkEnd w:id="4"/>
      <w:bookmarkEnd w:id="5"/>
      <w:bookmarkEnd w:id="6"/>
      <w:bookmarkEnd w:id="7"/>
      <w:bookmarkEnd w:id="8"/>
      <w:bookmarkEnd w:id="9"/>
      <w:bookmarkEnd w:id="10"/>
      <w:r>
        <w:rPr>
          <w:rFonts w:hint="eastAsia"/>
        </w:rPr>
        <w:t>项目</w:t>
      </w:r>
      <w:bookmarkEnd w:id="11"/>
    </w:p>
    <w:bookmarkEnd w:id="12"/>
    <w:p>
      <w:pPr>
        <w:spacing w:line="360" w:lineRule="auto"/>
        <w:ind w:firstLine="480" w:firstLineChars="200"/>
        <w:rPr>
          <w:rFonts w:hint="eastAsia" w:ascii="仿宋" w:hAnsi="仿宋" w:eastAsia="仿宋"/>
          <w:sz w:val="24"/>
        </w:rPr>
      </w:pPr>
      <w:r>
        <w:rPr>
          <w:rFonts w:hint="eastAsia" w:ascii="仿宋" w:hAnsi="仿宋" w:eastAsia="仿宋" w:cs="Arial"/>
          <w:color w:val="000000"/>
          <w:kern w:val="0"/>
          <w:sz w:val="24"/>
        </w:rPr>
        <w:t>受</w:t>
      </w:r>
      <w:bookmarkStart w:id="21" w:name="OLE_LINK5"/>
      <w:bookmarkStart w:id="22" w:name="OLE_LINK4"/>
      <w:r>
        <w:rPr>
          <w:rFonts w:hint="eastAsia" w:ascii="仿宋" w:hAnsi="仿宋" w:eastAsia="仿宋" w:cs="Arial"/>
          <w:color w:val="000000"/>
          <w:kern w:val="0"/>
          <w:sz w:val="24"/>
        </w:rPr>
        <w:t>河北内丘</w:t>
      </w:r>
      <w:r>
        <w:rPr>
          <w:rFonts w:hint="eastAsia" w:ascii="仿宋" w:hAnsi="仿宋" w:eastAsia="仿宋" w:cs="Arial"/>
          <w:color w:val="000000"/>
          <w:kern w:val="0"/>
          <w:sz w:val="24"/>
          <w:lang w:val="en-US" w:eastAsia="zh-CN"/>
        </w:rPr>
        <w:t>300MW光伏项目</w:t>
      </w:r>
      <w:bookmarkEnd w:id="21"/>
      <w:bookmarkEnd w:id="22"/>
      <w:r>
        <w:rPr>
          <w:rFonts w:hint="eastAsia" w:ascii="仿宋" w:hAnsi="仿宋" w:eastAsia="仿宋" w:cs="Arial"/>
          <w:color w:val="000000"/>
          <w:kern w:val="0"/>
          <w:sz w:val="24"/>
        </w:rPr>
        <w:t>委托，以竞争性谈判方式采所需的</w:t>
      </w:r>
      <w:r>
        <w:rPr>
          <w:rFonts w:hint="eastAsia" w:ascii="仿宋" w:hAnsi="仿宋" w:eastAsia="仿宋" w:cs="Arial"/>
          <w:b/>
          <w:bCs/>
          <w:color w:val="FF0000"/>
          <w:kern w:val="0"/>
          <w:sz w:val="24"/>
          <w:u w:val="single"/>
          <w:lang w:val="en-US" w:eastAsia="zh-CN"/>
        </w:rPr>
        <w:t>SVG</w:t>
      </w:r>
      <w:r>
        <w:rPr>
          <w:rFonts w:hint="eastAsia" w:ascii="仿宋" w:hAnsi="仿宋" w:eastAsia="仿宋" w:cs="Arial"/>
          <w:b/>
          <w:bCs/>
          <w:color w:val="FF0000"/>
          <w:kern w:val="0"/>
          <w:sz w:val="24"/>
          <w:u w:val="single"/>
        </w:rPr>
        <w:t>设备</w:t>
      </w:r>
      <w:r>
        <w:rPr>
          <w:rFonts w:hint="eastAsia" w:ascii="仿宋" w:hAnsi="仿宋" w:eastAsia="仿宋" w:cs="Arial"/>
          <w:color w:val="000000"/>
          <w:kern w:val="0"/>
          <w:sz w:val="24"/>
        </w:rPr>
        <w:t>，现邀请你</w:t>
      </w:r>
      <w:r>
        <w:rPr>
          <w:rFonts w:ascii="仿宋" w:hAnsi="仿宋" w:eastAsia="仿宋" w:cs="Arial"/>
          <w:color w:val="000000"/>
          <w:kern w:val="0"/>
          <w:sz w:val="24"/>
        </w:rPr>
        <w:t>单位参加</w:t>
      </w:r>
      <w:r>
        <w:rPr>
          <w:rFonts w:hint="eastAsia" w:ascii="仿宋" w:hAnsi="仿宋" w:eastAsia="仿宋" w:cs="Arial"/>
          <w:color w:val="000000"/>
          <w:kern w:val="0"/>
          <w:sz w:val="24"/>
        </w:rPr>
        <w:t>本项目</w:t>
      </w:r>
      <w:r>
        <w:rPr>
          <w:rFonts w:ascii="仿宋" w:hAnsi="仿宋" w:eastAsia="仿宋" w:cs="Arial"/>
          <w:color w:val="000000"/>
          <w:kern w:val="0"/>
          <w:sz w:val="24"/>
        </w:rPr>
        <w:t>报价及谈判。</w:t>
      </w:r>
    </w:p>
    <w:p>
      <w:pPr>
        <w:pStyle w:val="3"/>
      </w:pPr>
      <w:bookmarkStart w:id="23" w:name="_Toc14856815"/>
      <w:r>
        <w:rPr>
          <w:rFonts w:hint="eastAsia"/>
        </w:rPr>
        <w:t>2</w:t>
      </w:r>
      <w:r>
        <w:t>、</w:t>
      </w:r>
      <w:bookmarkStart w:id="24" w:name="工程概况与招标范围"/>
      <w:r>
        <w:rPr>
          <w:rFonts w:hint="eastAsia"/>
        </w:rPr>
        <w:t>项目</w:t>
      </w:r>
      <w:r>
        <w:t>概况与采购范围</w:t>
      </w:r>
      <w:bookmarkEnd w:id="13"/>
      <w:bookmarkEnd w:id="14"/>
      <w:bookmarkEnd w:id="15"/>
      <w:bookmarkEnd w:id="16"/>
      <w:bookmarkEnd w:id="17"/>
      <w:bookmarkEnd w:id="18"/>
      <w:bookmarkEnd w:id="19"/>
      <w:bookmarkEnd w:id="20"/>
      <w:bookmarkEnd w:id="23"/>
      <w:bookmarkEnd w:id="24"/>
    </w:p>
    <w:p>
      <w:pPr>
        <w:spacing w:line="440" w:lineRule="exact"/>
        <w:ind w:firstLine="480" w:firstLineChars="200"/>
        <w:rPr>
          <w:rFonts w:hint="eastAsia" w:ascii="仿宋" w:hAnsi="仿宋" w:eastAsia="仿宋"/>
          <w:bCs/>
          <w:sz w:val="24"/>
        </w:rPr>
      </w:pPr>
      <w:r>
        <w:rPr>
          <w:rFonts w:ascii="仿宋" w:hAnsi="仿宋" w:eastAsia="仿宋"/>
          <w:bCs/>
          <w:sz w:val="24"/>
        </w:rPr>
        <w:t>（1）</w:t>
      </w:r>
      <w:r>
        <w:rPr>
          <w:rFonts w:hint="eastAsia" w:ascii="仿宋" w:hAnsi="仿宋" w:eastAsia="仿宋"/>
          <w:bCs/>
          <w:sz w:val="24"/>
        </w:rPr>
        <w:t>项目</w:t>
      </w:r>
      <w:r>
        <w:rPr>
          <w:rFonts w:ascii="仿宋" w:hAnsi="仿宋" w:eastAsia="仿宋"/>
          <w:bCs/>
          <w:sz w:val="24"/>
        </w:rPr>
        <w:t>名称：</w:t>
      </w:r>
      <w:r>
        <w:rPr>
          <w:rFonts w:hint="eastAsia" w:ascii="仿宋" w:hAnsi="仿宋" w:eastAsia="仿宋" w:cs="Arial"/>
          <w:color w:val="000000"/>
          <w:kern w:val="0"/>
          <w:sz w:val="24"/>
        </w:rPr>
        <w:t>河北内丘</w:t>
      </w:r>
      <w:r>
        <w:rPr>
          <w:rFonts w:hint="eastAsia" w:ascii="仿宋" w:hAnsi="仿宋" w:eastAsia="仿宋" w:cs="Arial"/>
          <w:color w:val="000000"/>
          <w:kern w:val="0"/>
          <w:sz w:val="24"/>
          <w:lang w:val="en-US" w:eastAsia="zh-CN"/>
        </w:rPr>
        <w:t>300MW光伏项目</w:t>
      </w:r>
    </w:p>
    <w:p>
      <w:pPr>
        <w:spacing w:line="440" w:lineRule="exact"/>
        <w:ind w:firstLine="480" w:firstLineChars="200"/>
        <w:rPr>
          <w:rFonts w:hint="eastAsia" w:ascii="仿宋" w:hAnsi="仿宋" w:eastAsia="仿宋"/>
          <w:bCs/>
          <w:sz w:val="24"/>
        </w:rPr>
      </w:pPr>
      <w:r>
        <w:rPr>
          <w:rFonts w:ascii="仿宋" w:hAnsi="仿宋" w:eastAsia="仿宋"/>
          <w:bCs/>
          <w:sz w:val="24"/>
        </w:rPr>
        <w:t>（2）</w:t>
      </w:r>
      <w:r>
        <w:rPr>
          <w:rFonts w:hint="eastAsia" w:ascii="仿宋" w:hAnsi="仿宋" w:eastAsia="仿宋"/>
          <w:bCs/>
          <w:sz w:val="24"/>
        </w:rPr>
        <w:t>项目概况</w:t>
      </w:r>
      <w:r>
        <w:rPr>
          <w:rFonts w:ascii="仿宋" w:hAnsi="仿宋" w:eastAsia="仿宋"/>
          <w:bCs/>
          <w:sz w:val="24"/>
        </w:rPr>
        <w:t>：</w:t>
      </w:r>
      <w:r>
        <w:rPr>
          <w:rFonts w:hint="eastAsia" w:ascii="仿宋" w:hAnsi="仿宋" w:eastAsia="仿宋"/>
          <w:bCs/>
          <w:sz w:val="24"/>
          <w:lang w:val="en-US" w:eastAsia="zh-CN"/>
        </w:rPr>
        <w:t>300MW</w:t>
      </w:r>
    </w:p>
    <w:p>
      <w:pPr>
        <w:spacing w:line="440" w:lineRule="exact"/>
        <w:ind w:firstLine="480" w:firstLineChars="200"/>
        <w:rPr>
          <w:rFonts w:ascii="仿宋" w:hAnsi="仿宋" w:eastAsia="仿宋"/>
          <w:bCs/>
          <w:sz w:val="24"/>
        </w:rPr>
      </w:pPr>
      <w:r>
        <w:rPr>
          <w:rFonts w:hint="eastAsia" w:ascii="仿宋" w:hAnsi="仿宋" w:eastAsia="仿宋"/>
          <w:bCs/>
          <w:sz w:val="24"/>
        </w:rPr>
        <w:t>（</w:t>
      </w:r>
      <w:r>
        <w:rPr>
          <w:rFonts w:ascii="仿宋" w:hAnsi="仿宋" w:eastAsia="仿宋"/>
          <w:bCs/>
          <w:sz w:val="24"/>
        </w:rPr>
        <w:t>3</w:t>
      </w:r>
      <w:r>
        <w:rPr>
          <w:rFonts w:hint="eastAsia" w:ascii="仿宋" w:hAnsi="仿宋" w:eastAsia="仿宋"/>
          <w:bCs/>
          <w:sz w:val="24"/>
        </w:rPr>
        <w:t>）</w:t>
      </w:r>
      <w:r>
        <w:rPr>
          <w:rFonts w:ascii="仿宋" w:hAnsi="仿宋" w:eastAsia="仿宋"/>
          <w:bCs/>
          <w:sz w:val="24"/>
        </w:rPr>
        <w:t>采购范围：</w:t>
      </w:r>
      <w:bookmarkStart w:id="25" w:name="_Toc246996168"/>
      <w:bookmarkStart w:id="26" w:name="_Toc152042297"/>
      <w:bookmarkStart w:id="27" w:name="_Toc144974489"/>
      <w:bookmarkStart w:id="28" w:name="_Toc246996911"/>
      <w:bookmarkStart w:id="29" w:name="_Toc179632538"/>
      <w:bookmarkStart w:id="30" w:name="_Toc152045521"/>
      <w:bookmarkStart w:id="31" w:name="_Toc247085682"/>
      <w:r>
        <w:rPr>
          <w:rFonts w:hint="eastAsia" w:ascii="仿宋" w:hAnsi="仿宋" w:eastAsia="仿宋"/>
          <w:bCs/>
          <w:sz w:val="24"/>
          <w:lang w:val="en-US" w:eastAsia="zh-CN"/>
        </w:rPr>
        <w:t>(</w:t>
      </w:r>
      <w:bookmarkStart w:id="32" w:name="OLE_LINK7"/>
      <w:r>
        <w:rPr>
          <w:rFonts w:hint="eastAsia" w:ascii="仿宋" w:hAnsi="仿宋" w:eastAsia="仿宋"/>
          <w:bCs/>
          <w:sz w:val="24"/>
          <w:lang w:val="en-US" w:eastAsia="zh-CN"/>
        </w:rPr>
        <w:t>详见技术规范</w:t>
      </w:r>
      <w:bookmarkEnd w:id="32"/>
      <w:r>
        <w:rPr>
          <w:rFonts w:hint="eastAsia" w:ascii="仿宋" w:hAnsi="仿宋" w:eastAsia="仿宋"/>
          <w:bCs/>
          <w:sz w:val="24"/>
          <w:lang w:val="en-US" w:eastAsia="zh-CN"/>
        </w:rPr>
        <w:t>)</w:t>
      </w:r>
    </w:p>
    <w:p>
      <w:pPr>
        <w:spacing w:line="440" w:lineRule="exact"/>
        <w:ind w:firstLine="480" w:firstLineChars="200"/>
        <w:rPr>
          <w:rFonts w:ascii="仿宋" w:hAnsi="仿宋" w:eastAsia="仿宋"/>
          <w:bCs/>
          <w:sz w:val="24"/>
        </w:rPr>
      </w:pPr>
      <w:r>
        <w:rPr>
          <w:rFonts w:hint="eastAsia" w:ascii="仿宋" w:hAnsi="仿宋" w:eastAsia="仿宋"/>
          <w:bCs/>
          <w:sz w:val="24"/>
        </w:rPr>
        <w:t>（</w:t>
      </w:r>
      <w:r>
        <w:rPr>
          <w:rFonts w:ascii="仿宋" w:hAnsi="仿宋" w:eastAsia="仿宋"/>
          <w:bCs/>
          <w:sz w:val="24"/>
        </w:rPr>
        <w:t>4</w:t>
      </w:r>
      <w:r>
        <w:rPr>
          <w:rFonts w:hint="eastAsia" w:ascii="仿宋" w:hAnsi="仿宋" w:eastAsia="仿宋"/>
          <w:bCs/>
          <w:sz w:val="24"/>
        </w:rPr>
        <w:t>）交货时间：</w:t>
      </w:r>
      <w:r>
        <w:rPr>
          <w:rFonts w:hint="eastAsia" w:ascii="仿宋" w:hAnsi="仿宋" w:eastAsia="仿宋"/>
          <w:bCs/>
          <w:sz w:val="24"/>
          <w:lang w:val="en-US" w:eastAsia="zh-CN"/>
        </w:rPr>
        <w:t>2020-05-30</w:t>
      </w:r>
    </w:p>
    <w:p>
      <w:pPr>
        <w:spacing w:line="440" w:lineRule="exact"/>
        <w:ind w:firstLine="480" w:firstLineChars="200"/>
        <w:rPr>
          <w:rFonts w:ascii="仿宋" w:hAnsi="仿宋" w:eastAsia="仿宋"/>
          <w:bCs/>
          <w:sz w:val="24"/>
        </w:rPr>
      </w:pPr>
      <w:r>
        <w:rPr>
          <w:rFonts w:hint="eastAsia" w:ascii="仿宋" w:hAnsi="仿宋" w:eastAsia="仿宋"/>
          <w:bCs/>
          <w:sz w:val="24"/>
        </w:rPr>
        <w:t>（</w:t>
      </w:r>
      <w:r>
        <w:rPr>
          <w:rFonts w:ascii="仿宋" w:hAnsi="仿宋" w:eastAsia="仿宋"/>
          <w:bCs/>
          <w:sz w:val="24"/>
        </w:rPr>
        <w:t>5）交货地</w:t>
      </w:r>
      <w:r>
        <w:rPr>
          <w:rFonts w:hint="eastAsia" w:ascii="仿宋" w:hAnsi="仿宋" w:eastAsia="仿宋"/>
          <w:bCs/>
          <w:sz w:val="24"/>
        </w:rPr>
        <w:t>点</w:t>
      </w:r>
      <w:r>
        <w:rPr>
          <w:rFonts w:ascii="仿宋" w:hAnsi="仿宋" w:eastAsia="仿宋"/>
          <w:bCs/>
          <w:sz w:val="24"/>
        </w:rPr>
        <w:t>：</w:t>
      </w:r>
      <w:r>
        <w:rPr>
          <w:rFonts w:hint="eastAsia" w:ascii="仿宋" w:hAnsi="仿宋" w:eastAsia="仿宋" w:cs="Arial"/>
          <w:color w:val="000000"/>
          <w:kern w:val="0"/>
          <w:sz w:val="24"/>
        </w:rPr>
        <w:t>河北内丘县</w:t>
      </w:r>
      <w:r>
        <w:rPr>
          <w:rFonts w:hint="eastAsia" w:ascii="仿宋" w:hAnsi="仿宋" w:eastAsia="仿宋" w:cs="Arial"/>
          <w:color w:val="000000"/>
          <w:kern w:val="0"/>
          <w:sz w:val="24"/>
          <w:lang w:val="en-US" w:eastAsia="zh-CN"/>
        </w:rPr>
        <w:t>300MW光伏项目现场.</w:t>
      </w:r>
    </w:p>
    <w:p>
      <w:pPr>
        <w:spacing w:line="440" w:lineRule="exact"/>
        <w:ind w:firstLine="480" w:firstLineChars="200"/>
        <w:rPr>
          <w:rFonts w:hint="eastAsia" w:ascii="仿宋" w:hAnsi="仿宋" w:eastAsia="仿宋"/>
          <w:bCs/>
          <w:sz w:val="24"/>
        </w:rPr>
      </w:pPr>
      <w:r>
        <w:rPr>
          <w:rFonts w:hint="eastAsia" w:ascii="仿宋" w:hAnsi="仿宋" w:eastAsia="仿宋"/>
          <w:bCs/>
          <w:sz w:val="24"/>
        </w:rPr>
        <w:t>（6</w:t>
      </w:r>
      <w:r>
        <w:rPr>
          <w:rFonts w:ascii="仿宋" w:hAnsi="仿宋" w:eastAsia="仿宋"/>
          <w:bCs/>
          <w:sz w:val="24"/>
        </w:rPr>
        <w:t>）</w:t>
      </w:r>
      <w:r>
        <w:rPr>
          <w:rFonts w:hint="eastAsia" w:ascii="仿宋" w:hAnsi="仿宋" w:eastAsia="仿宋"/>
          <w:bCs/>
          <w:sz w:val="24"/>
        </w:rPr>
        <w:t>质量</w:t>
      </w:r>
      <w:r>
        <w:rPr>
          <w:rFonts w:ascii="仿宋" w:hAnsi="仿宋" w:eastAsia="仿宋"/>
          <w:bCs/>
          <w:sz w:val="24"/>
        </w:rPr>
        <w:t>要求：</w:t>
      </w:r>
      <w:r>
        <w:rPr>
          <w:rFonts w:hint="eastAsia" w:ascii="仿宋" w:hAnsi="仿宋" w:eastAsia="仿宋"/>
          <w:bCs/>
          <w:sz w:val="24"/>
          <w:lang w:val="en-US" w:eastAsia="zh-CN"/>
        </w:rPr>
        <w:t>详见技术规范</w:t>
      </w:r>
    </w:p>
    <w:p>
      <w:pPr>
        <w:pStyle w:val="3"/>
        <w:rPr>
          <w:rFonts w:hint="eastAsia"/>
        </w:rPr>
      </w:pPr>
      <w:bookmarkStart w:id="33" w:name="_Toc14856816"/>
      <w:bookmarkStart w:id="34" w:name="_Toc361405196"/>
      <w:bookmarkStart w:id="35" w:name="_Toc431150198"/>
      <w:bookmarkStart w:id="36" w:name="_Toc434479598"/>
      <w:bookmarkStart w:id="37" w:name="竞争性谈判文件的获取"/>
      <w:bookmarkStart w:id="38" w:name="_Toc407910006"/>
      <w:bookmarkStart w:id="39" w:name="_Toc361696746"/>
      <w:bookmarkStart w:id="40" w:name="_Toc391385896"/>
      <w:bookmarkStart w:id="41" w:name="_Toc361404515"/>
      <w:bookmarkStart w:id="42" w:name="_Toc387826427"/>
      <w:r>
        <w:rPr>
          <w:rFonts w:hint="eastAsia"/>
        </w:rPr>
        <w:t>3、响应人资格要求</w:t>
      </w:r>
      <w:bookmarkEnd w:id="33"/>
    </w:p>
    <w:p>
      <w:pPr>
        <w:spacing w:line="360" w:lineRule="auto"/>
        <w:ind w:firstLine="482"/>
        <w:rPr>
          <w:rFonts w:ascii="仿宋" w:hAnsi="仿宋" w:eastAsia="仿宋"/>
          <w:sz w:val="24"/>
        </w:rPr>
      </w:pPr>
      <w:r>
        <w:rPr>
          <w:rFonts w:ascii="仿宋" w:hAnsi="仿宋" w:eastAsia="仿宋"/>
          <w:sz w:val="24"/>
        </w:rPr>
        <w:t>本次</w:t>
      </w:r>
      <w:r>
        <w:rPr>
          <w:rFonts w:hint="eastAsia" w:ascii="仿宋" w:hAnsi="仿宋" w:eastAsia="仿宋"/>
          <w:sz w:val="24"/>
        </w:rPr>
        <w:t>竞争性谈判</w:t>
      </w:r>
      <w:r>
        <w:rPr>
          <w:rFonts w:ascii="仿宋" w:hAnsi="仿宋" w:eastAsia="仿宋"/>
          <w:sz w:val="24"/>
        </w:rPr>
        <w:t>要求</w:t>
      </w:r>
      <w:r>
        <w:rPr>
          <w:rFonts w:hint="eastAsia" w:ascii="仿宋" w:hAnsi="仿宋" w:eastAsia="仿宋"/>
          <w:sz w:val="24"/>
        </w:rPr>
        <w:t>响应人</w:t>
      </w:r>
      <w:r>
        <w:rPr>
          <w:rFonts w:ascii="仿宋" w:hAnsi="仿宋" w:eastAsia="仿宋"/>
          <w:sz w:val="24"/>
        </w:rPr>
        <w:t>具备以下条件：</w:t>
      </w:r>
    </w:p>
    <w:p>
      <w:pPr>
        <w:spacing w:line="400" w:lineRule="exact"/>
        <w:ind w:firstLine="480" w:firstLineChars="200"/>
        <w:rPr>
          <w:rFonts w:ascii="仿宋" w:hAnsi="仿宋" w:eastAsia="仿宋"/>
          <w:sz w:val="24"/>
        </w:rPr>
      </w:pPr>
      <w:r>
        <w:rPr>
          <w:rFonts w:hint="eastAsia" w:ascii="仿宋" w:hAnsi="仿宋" w:eastAsia="仿宋"/>
          <w:color w:val="000000"/>
          <w:sz w:val="24"/>
        </w:rPr>
        <w:t>1、</w:t>
      </w:r>
      <w:r>
        <w:rPr>
          <w:rFonts w:hint="eastAsia" w:ascii="仿宋" w:hAnsi="仿宋" w:eastAsia="仿宋"/>
          <w:b/>
          <w:color w:val="000000"/>
          <w:sz w:val="24"/>
        </w:rPr>
        <w:t>响应人</w:t>
      </w:r>
      <w:r>
        <w:rPr>
          <w:rFonts w:ascii="仿宋" w:hAnsi="仿宋" w:eastAsia="仿宋"/>
          <w:b/>
          <w:color w:val="000000"/>
          <w:sz w:val="24"/>
        </w:rPr>
        <w:t>为生产厂家的，</w:t>
      </w:r>
      <w:r>
        <w:rPr>
          <w:rFonts w:ascii="仿宋" w:hAnsi="仿宋" w:eastAsia="仿宋"/>
          <w:color w:val="000000"/>
          <w:sz w:val="24"/>
        </w:rPr>
        <w:t>必须是</w:t>
      </w:r>
      <w:r>
        <w:rPr>
          <w:rFonts w:hint="eastAsia" w:ascii="仿宋" w:hAnsi="仿宋" w:eastAsia="仿宋"/>
          <w:color w:val="000000"/>
          <w:sz w:val="24"/>
        </w:rPr>
        <w:t>在中国境内/外注册的企业法人，企业注册资本金</w:t>
      </w:r>
      <w:r>
        <w:rPr>
          <w:rFonts w:hint="eastAsia" w:ascii="仿宋" w:hAnsi="仿宋" w:eastAsia="仿宋"/>
          <w:color w:val="000000"/>
          <w:sz w:val="24"/>
          <w:lang w:val="en-US" w:eastAsia="zh-CN"/>
        </w:rPr>
        <w:t>5000</w:t>
      </w:r>
      <w:r>
        <w:rPr>
          <w:rFonts w:hint="eastAsia" w:ascii="仿宋" w:hAnsi="仿宋" w:eastAsia="仿宋" w:cs="Arial"/>
          <w:color w:val="000000"/>
          <w:kern w:val="0"/>
          <w:sz w:val="24"/>
        </w:rPr>
        <w:t>万元</w:t>
      </w:r>
      <w:r>
        <w:rPr>
          <w:rFonts w:ascii="仿宋" w:hAnsi="仿宋" w:eastAsia="仿宋" w:cs="Arial"/>
          <w:color w:val="000000"/>
          <w:kern w:val="0"/>
          <w:sz w:val="24"/>
        </w:rPr>
        <w:t>人民币及以上</w:t>
      </w:r>
      <w:r>
        <w:rPr>
          <w:rFonts w:hint="eastAsia" w:ascii="仿宋" w:hAnsi="仿宋" w:eastAsia="仿宋"/>
          <w:color w:val="000000"/>
          <w:sz w:val="24"/>
        </w:rPr>
        <w:t>，具有</w:t>
      </w:r>
      <w:r>
        <w:rPr>
          <w:rFonts w:hint="eastAsia" w:ascii="仿宋" w:hAnsi="仿宋" w:eastAsia="仿宋" w:cs="Arial"/>
          <w:color w:val="000000"/>
          <w:kern w:val="0"/>
          <w:sz w:val="24"/>
        </w:rPr>
        <w:t>有效期内的ISO9001质量管理体系认证证书。</w:t>
      </w:r>
    </w:p>
    <w:p>
      <w:pPr>
        <w:spacing w:line="400" w:lineRule="exact"/>
        <w:ind w:firstLine="480" w:firstLineChars="200"/>
        <w:rPr>
          <w:rFonts w:ascii="仿宋" w:hAnsi="仿宋" w:eastAsia="仿宋"/>
          <w:color w:val="000000"/>
          <w:sz w:val="24"/>
        </w:rPr>
      </w:pPr>
      <w:r>
        <w:rPr>
          <w:rFonts w:ascii="仿宋" w:hAnsi="仿宋" w:eastAsia="仿宋"/>
          <w:color w:val="000000"/>
          <w:sz w:val="24"/>
        </w:rPr>
        <w:t>2</w:t>
      </w:r>
      <w:r>
        <w:rPr>
          <w:rFonts w:hint="eastAsia" w:ascii="仿宋" w:hAnsi="仿宋" w:eastAsia="仿宋"/>
          <w:color w:val="000000"/>
          <w:sz w:val="24"/>
        </w:rPr>
        <w:t>、</w:t>
      </w:r>
      <w:r>
        <w:rPr>
          <w:rFonts w:hint="eastAsia" w:ascii="仿宋" w:hAnsi="仿宋" w:eastAsia="仿宋"/>
          <w:b/>
          <w:color w:val="000000"/>
          <w:sz w:val="24"/>
        </w:rPr>
        <w:t>响应人</w:t>
      </w:r>
      <w:r>
        <w:rPr>
          <w:rFonts w:ascii="仿宋" w:hAnsi="仿宋" w:eastAsia="仿宋"/>
          <w:b/>
          <w:color w:val="000000"/>
          <w:sz w:val="24"/>
        </w:rPr>
        <w:t>为</w:t>
      </w:r>
      <w:r>
        <w:rPr>
          <w:rFonts w:hint="eastAsia" w:ascii="仿宋" w:hAnsi="仿宋" w:eastAsia="仿宋"/>
          <w:b/>
          <w:color w:val="000000"/>
          <w:sz w:val="24"/>
        </w:rPr>
        <w:t>代理商的</w:t>
      </w:r>
      <w:r>
        <w:rPr>
          <w:rFonts w:ascii="仿宋" w:hAnsi="仿宋" w:eastAsia="仿宋"/>
          <w:b/>
          <w:color w:val="000000"/>
          <w:sz w:val="24"/>
        </w:rPr>
        <w:t>，</w:t>
      </w:r>
      <w:r>
        <w:rPr>
          <w:rFonts w:ascii="仿宋" w:hAnsi="仿宋" w:eastAsia="仿宋"/>
          <w:color w:val="000000"/>
          <w:sz w:val="24"/>
        </w:rPr>
        <w:t>必须是</w:t>
      </w:r>
      <w:r>
        <w:rPr>
          <w:rFonts w:hint="eastAsia" w:ascii="仿宋" w:hAnsi="仿宋" w:eastAsia="仿宋"/>
          <w:color w:val="000000"/>
          <w:sz w:val="24"/>
        </w:rPr>
        <w:t>在中国境内/外注册的企业法人，</w:t>
      </w:r>
      <w:r>
        <w:rPr>
          <w:rFonts w:hint="eastAsia" w:ascii="仿宋" w:hAnsi="仿宋" w:eastAsia="仿宋"/>
          <w:sz w:val="24"/>
        </w:rPr>
        <w:t>企业注册资本金</w:t>
      </w:r>
      <w:r>
        <w:rPr>
          <w:rFonts w:hint="eastAsia" w:ascii="仿宋" w:hAnsi="仿宋" w:eastAsia="仿宋"/>
          <w:sz w:val="24"/>
          <w:lang w:val="en-US" w:eastAsia="zh-CN"/>
        </w:rPr>
        <w:t>1000</w:t>
      </w:r>
      <w:r>
        <w:rPr>
          <w:rFonts w:hint="eastAsia" w:ascii="仿宋" w:hAnsi="仿宋" w:eastAsia="仿宋"/>
          <w:sz w:val="24"/>
        </w:rPr>
        <w:t>万元人民币及以上</w:t>
      </w:r>
      <w:r>
        <w:rPr>
          <w:rFonts w:ascii="仿宋" w:hAnsi="仿宋" w:eastAsia="仿宋"/>
          <w:color w:val="000000"/>
          <w:sz w:val="24"/>
        </w:rPr>
        <w:t>，</w:t>
      </w:r>
      <w:r>
        <w:rPr>
          <w:rFonts w:hint="eastAsia" w:ascii="仿宋" w:hAnsi="仿宋" w:eastAsia="仿宋"/>
          <w:color w:val="000000"/>
          <w:sz w:val="24"/>
        </w:rPr>
        <w:t>且其代理的生产厂家须满足第1条生产厂家资格条件的要求（提供相关证明材料）。</w:t>
      </w:r>
    </w:p>
    <w:p>
      <w:pPr>
        <w:spacing w:line="400" w:lineRule="exact"/>
        <w:ind w:firstLine="480" w:firstLineChars="200"/>
        <w:rPr>
          <w:rFonts w:ascii="仿宋" w:hAnsi="仿宋" w:eastAsia="仿宋"/>
          <w:color w:val="000000"/>
          <w:sz w:val="24"/>
        </w:rPr>
      </w:pPr>
      <w:r>
        <w:rPr>
          <w:rFonts w:ascii="仿宋" w:hAnsi="仿宋" w:eastAsia="仿宋"/>
          <w:color w:val="000000"/>
          <w:sz w:val="24"/>
        </w:rPr>
        <w:t>3</w:t>
      </w:r>
      <w:r>
        <w:rPr>
          <w:rFonts w:hint="eastAsia" w:ascii="仿宋" w:hAnsi="仿宋" w:eastAsia="仿宋"/>
          <w:color w:val="000000"/>
          <w:sz w:val="24"/>
        </w:rPr>
        <w:t>、响应人应具有类似工程</w:t>
      </w:r>
      <w:r>
        <w:rPr>
          <w:rFonts w:ascii="仿宋" w:hAnsi="仿宋" w:eastAsia="仿宋"/>
          <w:color w:val="000000"/>
          <w:sz w:val="24"/>
        </w:rPr>
        <w:t>的供货业绩</w:t>
      </w:r>
      <w:r>
        <w:rPr>
          <w:rFonts w:hint="eastAsia" w:ascii="仿宋" w:hAnsi="仿宋" w:eastAsia="仿宋"/>
          <w:color w:val="000000"/>
          <w:sz w:val="24"/>
        </w:rPr>
        <w:t>（或</w:t>
      </w:r>
      <w:r>
        <w:rPr>
          <w:rFonts w:ascii="仿宋" w:hAnsi="仿宋" w:eastAsia="仿宋"/>
          <w:color w:val="000000"/>
          <w:sz w:val="24"/>
        </w:rPr>
        <w:t>注明工程类别）</w:t>
      </w:r>
      <w:r>
        <w:rPr>
          <w:rFonts w:hint="eastAsia" w:ascii="仿宋" w:hAnsi="仿宋" w:eastAsia="仿宋"/>
          <w:color w:val="000000"/>
          <w:sz w:val="24"/>
        </w:rPr>
        <w:t>，在近</w:t>
      </w:r>
      <w:r>
        <w:rPr>
          <w:rFonts w:hint="eastAsia" w:ascii="仿宋" w:hAnsi="仿宋" w:eastAsia="仿宋"/>
          <w:color w:val="000000"/>
          <w:sz w:val="24"/>
          <w:lang w:val="en-US" w:eastAsia="zh-CN"/>
        </w:rPr>
        <w:t>3</w:t>
      </w:r>
      <w:r>
        <w:rPr>
          <w:rFonts w:hint="eastAsia" w:ascii="仿宋" w:hAnsi="仿宋" w:eastAsia="仿宋"/>
          <w:color w:val="000000"/>
          <w:sz w:val="24"/>
        </w:rPr>
        <w:t>年内的供货合同不少于</w:t>
      </w:r>
      <w:r>
        <w:rPr>
          <w:rFonts w:hint="eastAsia" w:ascii="仿宋" w:hAnsi="仿宋" w:eastAsia="仿宋"/>
          <w:color w:val="000000"/>
          <w:sz w:val="24"/>
          <w:lang w:val="en-US" w:eastAsia="zh-CN"/>
        </w:rPr>
        <w:t>2</w:t>
      </w:r>
      <w:r>
        <w:rPr>
          <w:rFonts w:hint="eastAsia" w:ascii="仿宋" w:hAnsi="仿宋" w:eastAsia="仿宋"/>
          <w:color w:val="000000"/>
          <w:sz w:val="24"/>
        </w:rPr>
        <w:t>个，且签订单项合同金额均在</w:t>
      </w:r>
      <w:r>
        <w:rPr>
          <w:rFonts w:hint="eastAsia" w:ascii="仿宋" w:hAnsi="仿宋" w:eastAsia="仿宋"/>
          <w:color w:val="000000"/>
          <w:sz w:val="24"/>
          <w:lang w:val="en-US" w:eastAsia="zh-CN"/>
        </w:rPr>
        <w:t>100</w:t>
      </w:r>
      <w:r>
        <w:rPr>
          <w:rFonts w:hint="eastAsia" w:ascii="仿宋" w:hAnsi="仿宋" w:eastAsia="仿宋"/>
          <w:color w:val="000000"/>
          <w:sz w:val="24"/>
        </w:rPr>
        <w:t>万元以上（附合同扫描件或中标</w:t>
      </w:r>
      <w:r>
        <w:rPr>
          <w:rFonts w:ascii="仿宋" w:hAnsi="仿宋" w:eastAsia="仿宋"/>
          <w:color w:val="000000"/>
          <w:sz w:val="24"/>
        </w:rPr>
        <w:t>通知书</w:t>
      </w:r>
      <w:r>
        <w:rPr>
          <w:rFonts w:hint="eastAsia" w:ascii="仿宋" w:hAnsi="仿宋" w:eastAsia="仿宋"/>
          <w:color w:val="000000"/>
          <w:sz w:val="24"/>
        </w:rPr>
        <w:t>）</w:t>
      </w:r>
      <w:r>
        <w:rPr>
          <w:rFonts w:ascii="仿宋" w:hAnsi="仿宋" w:eastAsia="仿宋"/>
          <w:color w:val="000000"/>
          <w:sz w:val="24"/>
        </w:rPr>
        <w:t>。</w:t>
      </w:r>
    </w:p>
    <w:p>
      <w:pPr>
        <w:spacing w:line="400" w:lineRule="exact"/>
        <w:ind w:firstLine="480" w:firstLineChars="200"/>
        <w:rPr>
          <w:rFonts w:ascii="仿宋" w:hAnsi="仿宋" w:eastAsia="仿宋" w:cs="Arial"/>
          <w:color w:val="000000"/>
          <w:kern w:val="0"/>
          <w:sz w:val="24"/>
        </w:rPr>
      </w:pPr>
      <w:r>
        <w:rPr>
          <w:rFonts w:ascii="仿宋" w:hAnsi="仿宋" w:eastAsia="仿宋"/>
          <w:color w:val="000000"/>
          <w:sz w:val="24"/>
        </w:rPr>
        <w:t>4</w:t>
      </w:r>
      <w:r>
        <w:rPr>
          <w:rFonts w:hint="eastAsia" w:ascii="仿宋" w:hAnsi="仿宋" w:eastAsia="仿宋"/>
          <w:color w:val="000000"/>
          <w:sz w:val="24"/>
        </w:rPr>
        <w:t>、</w:t>
      </w:r>
      <w:r>
        <w:rPr>
          <w:rFonts w:hint="eastAsia" w:ascii="仿宋" w:hAnsi="仿宋" w:eastAsia="仿宋"/>
          <w:sz w:val="24"/>
        </w:rPr>
        <w:t>响应人具有良好的商业信誉，没有处于被责令停业，财产被接管、冻结、破产状态。</w:t>
      </w:r>
    </w:p>
    <w:p>
      <w:pPr>
        <w:spacing w:line="400" w:lineRule="exact"/>
        <w:ind w:firstLine="480" w:firstLineChars="200"/>
        <w:rPr>
          <w:rFonts w:ascii="仿宋" w:hAnsi="仿宋" w:eastAsia="仿宋"/>
          <w:color w:val="000000"/>
          <w:sz w:val="24"/>
        </w:rPr>
      </w:pPr>
      <w:r>
        <w:rPr>
          <w:rFonts w:ascii="仿宋" w:hAnsi="仿宋" w:eastAsia="仿宋" w:cs="Arial"/>
          <w:color w:val="000000"/>
          <w:kern w:val="0"/>
          <w:sz w:val="24"/>
        </w:rPr>
        <w:t>5</w:t>
      </w:r>
      <w:r>
        <w:rPr>
          <w:rFonts w:hint="eastAsia" w:ascii="仿宋" w:hAnsi="仿宋" w:eastAsia="仿宋" w:cs="Arial"/>
          <w:color w:val="000000"/>
          <w:kern w:val="0"/>
          <w:sz w:val="24"/>
        </w:rPr>
        <w:t>、其它要求（若有</w:t>
      </w:r>
      <w:r>
        <w:rPr>
          <w:rFonts w:ascii="仿宋" w:hAnsi="仿宋" w:eastAsia="仿宋" w:cs="Arial"/>
          <w:color w:val="000000"/>
          <w:kern w:val="0"/>
          <w:sz w:val="24"/>
        </w:rPr>
        <w:t>）</w:t>
      </w:r>
      <w:r>
        <w:rPr>
          <w:rFonts w:hint="eastAsia" w:ascii="仿宋" w:hAnsi="仿宋" w:eastAsia="仿宋"/>
          <w:color w:val="000000"/>
          <w:sz w:val="24"/>
        </w:rPr>
        <w:t>。</w:t>
      </w:r>
    </w:p>
    <w:p>
      <w:pPr>
        <w:spacing w:line="400" w:lineRule="exact"/>
        <w:ind w:firstLine="480" w:firstLineChars="200"/>
        <w:rPr>
          <w:rFonts w:ascii="仿宋" w:hAnsi="仿宋" w:eastAsia="仿宋"/>
          <w:color w:val="000000"/>
          <w:sz w:val="24"/>
        </w:rPr>
      </w:pPr>
      <w:r>
        <w:rPr>
          <w:rFonts w:hint="eastAsia" w:ascii="仿宋" w:hAnsi="仿宋" w:eastAsia="仿宋"/>
          <w:color w:val="000000"/>
          <w:sz w:val="24"/>
        </w:rPr>
        <w:t>6、</w:t>
      </w:r>
      <w:r>
        <w:rPr>
          <w:rFonts w:hint="eastAsia" w:ascii="仿宋" w:hAnsi="仿宋" w:eastAsia="仿宋"/>
          <w:b/>
          <w:bCs/>
          <w:color w:val="000000"/>
          <w:sz w:val="24"/>
        </w:rPr>
        <w:t>本次采购不接受联合体竞谈。</w:t>
      </w:r>
    </w:p>
    <w:p>
      <w:pPr>
        <w:spacing w:line="400" w:lineRule="exact"/>
        <w:ind w:firstLine="482" w:firstLineChars="200"/>
        <w:rPr>
          <w:rFonts w:ascii="仿宋" w:hAnsi="仿宋" w:eastAsia="仿宋"/>
          <w:color w:val="000000"/>
          <w:sz w:val="24"/>
        </w:rPr>
      </w:pPr>
      <w:r>
        <w:rPr>
          <w:rFonts w:ascii="仿宋" w:hAnsi="仿宋" w:eastAsia="仿宋"/>
          <w:b/>
          <w:color w:val="000000"/>
          <w:sz w:val="24"/>
        </w:rPr>
        <w:t>生产厂家及其代理商不得同时参加本次</w:t>
      </w:r>
      <w:r>
        <w:rPr>
          <w:rFonts w:hint="eastAsia" w:ascii="仿宋" w:hAnsi="仿宋" w:eastAsia="仿宋"/>
          <w:b/>
          <w:color w:val="000000"/>
          <w:sz w:val="24"/>
        </w:rPr>
        <w:t>竞谈</w:t>
      </w:r>
      <w:r>
        <w:rPr>
          <w:rFonts w:ascii="仿宋" w:hAnsi="仿宋" w:eastAsia="仿宋"/>
          <w:b/>
          <w:color w:val="000000"/>
          <w:sz w:val="24"/>
        </w:rPr>
        <w:t>，获得生产厂家授权的多家代理商可同时参加。</w:t>
      </w:r>
    </w:p>
    <w:p>
      <w:pPr>
        <w:spacing w:line="400" w:lineRule="exact"/>
        <w:ind w:firstLine="480" w:firstLineChars="200"/>
        <w:rPr>
          <w:rFonts w:ascii="仿宋" w:hAnsi="仿宋" w:eastAsia="仿宋"/>
          <w:color w:val="000000"/>
          <w:sz w:val="24"/>
        </w:rPr>
      </w:pPr>
      <w:r>
        <w:rPr>
          <w:rFonts w:ascii="仿宋" w:hAnsi="仿宋" w:eastAsia="仿宋"/>
          <w:color w:val="000000"/>
          <w:sz w:val="24"/>
        </w:rPr>
        <w:t>7</w:t>
      </w:r>
      <w:r>
        <w:rPr>
          <w:rFonts w:hint="eastAsia" w:ascii="仿宋" w:hAnsi="仿宋" w:eastAsia="仿宋"/>
          <w:color w:val="000000"/>
          <w:sz w:val="24"/>
        </w:rPr>
        <w:t>、响应人不存在《中华人民共和国招标投标法》、《中华人民共和国招标投标法实施条例》禁止投标的情形。</w:t>
      </w:r>
    </w:p>
    <w:p>
      <w:pPr>
        <w:pStyle w:val="3"/>
      </w:pPr>
      <w:bookmarkStart w:id="43" w:name="_Toc14856817"/>
      <w:r>
        <w:rPr>
          <w:rFonts w:hint="eastAsia"/>
        </w:rPr>
        <w:t>4、竞争性谈判文件的获取</w:t>
      </w:r>
      <w:bookmarkEnd w:id="34"/>
      <w:bookmarkEnd w:id="35"/>
      <w:bookmarkEnd w:id="36"/>
      <w:bookmarkEnd w:id="37"/>
      <w:bookmarkEnd w:id="38"/>
      <w:bookmarkEnd w:id="39"/>
      <w:bookmarkEnd w:id="40"/>
      <w:bookmarkEnd w:id="41"/>
      <w:bookmarkEnd w:id="42"/>
      <w:bookmarkEnd w:id="43"/>
    </w:p>
    <w:p>
      <w:pPr>
        <w:spacing w:line="360" w:lineRule="auto"/>
        <w:ind w:firstLine="480" w:firstLineChars="200"/>
        <w:rPr>
          <w:rFonts w:hint="eastAsia" w:ascii="仿宋" w:hAnsi="仿宋" w:eastAsia="仿宋"/>
          <w:sz w:val="24"/>
        </w:rPr>
      </w:pPr>
      <w:r>
        <w:rPr>
          <w:rFonts w:hint="eastAsia" w:ascii="仿宋" w:hAnsi="仿宋" w:eastAsia="仿宋"/>
          <w:sz w:val="24"/>
        </w:rPr>
        <w:t>4.1受邀请的响应人收到本邀请书后，请于</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lang w:val="en-US" w:eastAsia="zh-CN"/>
        </w:rPr>
        <w:t>2020</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u w:val="single"/>
          <w:lang w:val="en-US" w:eastAsia="zh-CN"/>
        </w:rPr>
        <w:t>03</w:t>
      </w:r>
      <w:r>
        <w:rPr>
          <w:rFonts w:hint="eastAsia"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u w:val="single"/>
          <w:lang w:val="en-US" w:eastAsia="zh-CN"/>
        </w:rPr>
        <w:t>23</w:t>
      </w:r>
      <w:r>
        <w:rPr>
          <w:rFonts w:ascii="仿宋" w:hAnsi="仿宋" w:eastAsia="仿宋"/>
          <w:sz w:val="24"/>
          <w:u w:val="single"/>
        </w:rPr>
        <w:t xml:space="preserve">  </w:t>
      </w:r>
      <w:r>
        <w:rPr>
          <w:rFonts w:hint="eastAsia" w:ascii="仿宋" w:hAnsi="仿宋" w:eastAsia="仿宋"/>
          <w:sz w:val="24"/>
        </w:rPr>
        <w:t>日17:00之前登录中国电建集设备物资集中采购平台</w:t>
      </w:r>
      <w:r>
        <w:rPr>
          <w:rFonts w:hint="eastAsia" w:ascii="仿宋" w:hAnsi="仿宋" w:eastAsia="仿宋" w:cs="Arial"/>
          <w:bCs/>
          <w:color w:val="000000"/>
          <w:kern w:val="0"/>
          <w:sz w:val="24"/>
        </w:rPr>
        <w:t>（https://</w:t>
      </w:r>
      <w:r>
        <w:rPr>
          <w:rFonts w:hint="eastAsia" w:ascii="仿宋" w:hAnsi="仿宋" w:eastAsia="仿宋" w:cs="Arial"/>
          <w:bCs/>
          <w:color w:val="000000"/>
          <w:kern w:val="0"/>
          <w:sz w:val="24"/>
          <w:lang w:val="en-US" w:eastAsia="zh-CN"/>
        </w:rPr>
        <w:t>3</w:t>
      </w:r>
      <w:r>
        <w:rPr>
          <w:rFonts w:hint="eastAsia" w:ascii="仿宋" w:hAnsi="仿宋" w:eastAsia="仿宋" w:cs="Arial"/>
          <w:bCs/>
          <w:color w:val="000000"/>
          <w:kern w:val="0"/>
          <w:sz w:val="24"/>
        </w:rPr>
        <w:t>ec.powerchina.cn，以下简称“集采平台”）</w:t>
      </w:r>
      <w:r>
        <w:rPr>
          <w:rFonts w:hint="eastAsia" w:ascii="仿宋" w:hAnsi="仿宋" w:eastAsia="仿宋"/>
          <w:sz w:val="24"/>
        </w:rPr>
        <w:t>回函</w:t>
      </w:r>
      <w:r>
        <w:rPr>
          <w:rFonts w:ascii="仿宋" w:hAnsi="仿宋" w:eastAsia="仿宋"/>
          <w:sz w:val="24"/>
        </w:rPr>
        <w:t>确认是否参与本次谈判，并</w:t>
      </w:r>
      <w:r>
        <w:rPr>
          <w:rFonts w:hint="eastAsia" w:ascii="仿宋" w:hAnsi="仿宋" w:eastAsia="仿宋"/>
          <w:sz w:val="24"/>
        </w:rPr>
        <w:t>下载电子版竞争性谈判文件。</w:t>
      </w:r>
    </w:p>
    <w:p>
      <w:pPr>
        <w:widowControl/>
        <w:spacing w:line="360" w:lineRule="auto"/>
        <w:ind w:firstLine="480" w:firstLineChars="200"/>
        <w:rPr>
          <w:rFonts w:ascii="仿宋" w:hAnsi="仿宋" w:eastAsia="仿宋" w:cs="Arial"/>
          <w:color w:val="000000"/>
          <w:kern w:val="0"/>
          <w:sz w:val="24"/>
        </w:rPr>
      </w:pPr>
      <w:bookmarkStart w:id="44" w:name="_Hlk17272490"/>
      <w:r>
        <w:rPr>
          <w:rFonts w:hint="eastAsia" w:ascii="仿宋" w:hAnsi="仿宋" w:eastAsia="仿宋" w:cs="Arial"/>
          <w:color w:val="000000"/>
          <w:kern w:val="0"/>
          <w:sz w:val="24"/>
        </w:rPr>
        <w:t>4.2</w:t>
      </w:r>
      <w:r>
        <w:rPr>
          <w:rFonts w:hint="eastAsia" w:ascii="仿宋" w:hAnsi="仿宋" w:eastAsia="仿宋"/>
          <w:color w:val="000000"/>
          <w:sz w:val="24"/>
        </w:rPr>
        <w:t>竞争性谈判文件每套工本费人民币</w:t>
      </w:r>
      <w:r>
        <w:rPr>
          <w:rFonts w:hint="eastAsia" w:ascii="仿宋" w:hAnsi="仿宋" w:eastAsia="仿宋" w:cs="Arial"/>
          <w:color w:val="000000"/>
          <w:kern w:val="0"/>
          <w:sz w:val="24"/>
        </w:rPr>
        <w:t>（大写）：</w:t>
      </w:r>
      <w:r>
        <w:rPr>
          <w:rFonts w:hint="eastAsia" w:ascii="仿宋" w:hAnsi="仿宋" w:eastAsia="仿宋" w:cs="Arial"/>
          <w:color w:val="000000"/>
          <w:kern w:val="0"/>
          <w:sz w:val="24"/>
          <w:lang w:val="en-US" w:eastAsia="zh-CN"/>
        </w:rPr>
        <w:t>00</w:t>
      </w:r>
      <w:r>
        <w:rPr>
          <w:rFonts w:hint="eastAsia" w:ascii="仿宋" w:hAnsi="仿宋" w:eastAsia="仿宋" w:cs="Arial"/>
          <w:bCs/>
          <w:color w:val="000000"/>
          <w:kern w:val="0"/>
          <w:sz w:val="24"/>
        </w:rPr>
        <w:t>元整（￥</w:t>
      </w:r>
      <w:r>
        <w:rPr>
          <w:rFonts w:hint="eastAsia" w:ascii="仿宋" w:hAnsi="仿宋" w:eastAsia="仿宋" w:cs="Arial"/>
          <w:bCs/>
          <w:color w:val="000000"/>
          <w:kern w:val="0"/>
          <w:sz w:val="24"/>
          <w:lang w:val="en-US" w:eastAsia="zh-CN"/>
        </w:rPr>
        <w:t>00</w:t>
      </w:r>
      <w:r>
        <w:rPr>
          <w:rFonts w:hint="eastAsia" w:ascii="仿宋" w:hAnsi="仿宋" w:eastAsia="仿宋" w:cs="Arial"/>
          <w:bCs/>
          <w:color w:val="000000"/>
          <w:kern w:val="0"/>
          <w:sz w:val="24"/>
        </w:rPr>
        <w:t>元）</w:t>
      </w:r>
      <w:r>
        <w:rPr>
          <w:rFonts w:hint="eastAsia" w:ascii="仿宋" w:hAnsi="仿宋" w:eastAsia="仿宋" w:cs="Arial"/>
          <w:color w:val="000000"/>
          <w:kern w:val="0"/>
          <w:sz w:val="24"/>
        </w:rPr>
        <w:t>。</w:t>
      </w:r>
      <w:r>
        <w:rPr>
          <w:rFonts w:ascii="仿宋" w:hAnsi="仿宋" w:eastAsia="仿宋" w:cs="Arial"/>
          <w:color w:val="000000"/>
          <w:kern w:val="0"/>
          <w:sz w:val="24"/>
        </w:rPr>
        <w:t>支付</w:t>
      </w:r>
      <w:r>
        <w:rPr>
          <w:rFonts w:hint="eastAsia" w:ascii="仿宋" w:hAnsi="仿宋" w:eastAsia="仿宋" w:cs="Arial"/>
          <w:color w:val="000000"/>
          <w:kern w:val="0"/>
          <w:sz w:val="24"/>
        </w:rPr>
        <w:t>可采用平台在线支付或银行汇款、现金支付等方式</w:t>
      </w:r>
      <w:r>
        <w:rPr>
          <w:rFonts w:ascii="仿宋" w:hAnsi="仿宋" w:eastAsia="仿宋" w:cs="Arial"/>
          <w:color w:val="000000"/>
          <w:kern w:val="0"/>
          <w:sz w:val="24"/>
        </w:rPr>
        <w:t>，</w:t>
      </w:r>
      <w:r>
        <w:rPr>
          <w:rFonts w:hint="eastAsia" w:ascii="仿宋" w:hAnsi="仿宋" w:eastAsia="仿宋"/>
          <w:color w:val="000000"/>
          <w:sz w:val="24"/>
        </w:rPr>
        <w:t>售后不退，</w:t>
      </w:r>
      <w:r>
        <w:rPr>
          <w:rFonts w:ascii="仿宋" w:hAnsi="仿宋" w:eastAsia="仿宋" w:cs="Arial"/>
          <w:color w:val="000000"/>
          <w:kern w:val="0"/>
          <w:sz w:val="24"/>
        </w:rPr>
        <w:t>汇款备注中注明</w:t>
      </w:r>
      <w:r>
        <w:rPr>
          <w:rFonts w:hint="eastAsia" w:ascii="仿宋" w:hAnsi="仿宋" w:eastAsia="仿宋" w:cs="Arial"/>
          <w:color w:val="000000"/>
          <w:kern w:val="0"/>
          <w:sz w:val="24"/>
        </w:rPr>
        <w:t>竞谈</w:t>
      </w:r>
      <w:r>
        <w:rPr>
          <w:rFonts w:ascii="仿宋" w:hAnsi="仿宋" w:eastAsia="仿宋" w:cs="Arial"/>
          <w:color w:val="000000"/>
          <w:kern w:val="0"/>
          <w:sz w:val="24"/>
        </w:rPr>
        <w:t>项目名称。收款单位信息如下：</w:t>
      </w:r>
    </w:p>
    <w:bookmarkEnd w:id="44"/>
    <w:p>
      <w:pPr>
        <w:widowControl/>
        <w:spacing w:line="360" w:lineRule="auto"/>
        <w:ind w:firstLine="480" w:firstLineChars="200"/>
        <w:rPr>
          <w:rFonts w:ascii="仿宋" w:hAnsi="仿宋" w:eastAsia="仿宋" w:cs="Arial"/>
          <w:color w:val="000000"/>
          <w:kern w:val="0"/>
          <w:sz w:val="24"/>
        </w:rPr>
      </w:pPr>
      <w:r>
        <w:rPr>
          <w:rFonts w:hint="eastAsia" w:ascii="仿宋" w:hAnsi="仿宋" w:eastAsia="仿宋" w:cs="Arial"/>
          <w:color w:val="000000"/>
          <w:kern w:val="0"/>
          <w:sz w:val="24"/>
        </w:rPr>
        <w:t>收款单位户名：</w:t>
      </w:r>
      <w:r>
        <w:rPr>
          <w:rFonts w:ascii="仿宋" w:hAnsi="仿宋" w:eastAsia="仿宋" w:cs="Arial"/>
          <w:color w:val="000000"/>
          <w:kern w:val="0"/>
          <w:sz w:val="24"/>
        </w:rPr>
        <w:t xml:space="preserve"> </w:t>
      </w:r>
    </w:p>
    <w:p>
      <w:pPr>
        <w:widowControl/>
        <w:spacing w:line="360" w:lineRule="auto"/>
        <w:ind w:firstLine="480" w:firstLineChars="200"/>
        <w:rPr>
          <w:rFonts w:ascii="仿宋" w:hAnsi="仿宋" w:eastAsia="仿宋" w:cs="Arial"/>
          <w:color w:val="000000"/>
          <w:kern w:val="0"/>
          <w:sz w:val="24"/>
        </w:rPr>
      </w:pPr>
      <w:r>
        <w:rPr>
          <w:rFonts w:hint="eastAsia" w:ascii="仿宋" w:hAnsi="仿宋" w:eastAsia="仿宋" w:cs="Arial"/>
          <w:color w:val="000000"/>
          <w:kern w:val="0"/>
          <w:sz w:val="24"/>
        </w:rPr>
        <w:t>收款单位</w:t>
      </w:r>
      <w:r>
        <w:rPr>
          <w:rFonts w:ascii="仿宋" w:hAnsi="仿宋" w:eastAsia="仿宋" w:cs="Arial"/>
          <w:color w:val="000000"/>
          <w:kern w:val="0"/>
          <w:sz w:val="24"/>
        </w:rPr>
        <w:t>账号：</w:t>
      </w:r>
    </w:p>
    <w:p>
      <w:pPr>
        <w:spacing w:line="360" w:lineRule="auto"/>
        <w:ind w:firstLine="480" w:firstLineChars="200"/>
        <w:rPr>
          <w:rFonts w:ascii="仿宋" w:hAnsi="仿宋" w:eastAsia="仿宋" w:cs="Arial"/>
          <w:color w:val="000000"/>
          <w:kern w:val="0"/>
          <w:sz w:val="24"/>
        </w:rPr>
      </w:pPr>
      <w:r>
        <w:rPr>
          <w:rFonts w:ascii="仿宋" w:hAnsi="仿宋" w:eastAsia="仿宋" w:cs="Arial"/>
          <w:color w:val="000000"/>
          <w:kern w:val="0"/>
          <w:sz w:val="24"/>
        </w:rPr>
        <w:t>开户行：</w:t>
      </w:r>
    </w:p>
    <w:p>
      <w:pPr>
        <w:widowControl/>
        <w:spacing w:line="360" w:lineRule="auto"/>
        <w:ind w:firstLine="480" w:firstLineChars="200"/>
        <w:rPr>
          <w:rFonts w:hint="eastAsia" w:ascii="仿宋" w:hAnsi="仿宋" w:eastAsia="仿宋"/>
          <w:sz w:val="24"/>
        </w:rPr>
      </w:pPr>
      <w:r>
        <w:rPr>
          <w:rFonts w:hint="eastAsia" w:ascii="仿宋" w:hAnsi="仿宋" w:eastAsia="仿宋" w:cs="Arial"/>
          <w:color w:val="000000"/>
          <w:kern w:val="0"/>
          <w:sz w:val="24"/>
        </w:rPr>
        <w:t>收款单位开户行行号：</w:t>
      </w:r>
    </w:p>
    <w:p>
      <w:pPr>
        <w:pStyle w:val="3"/>
      </w:pPr>
      <w:bookmarkStart w:id="45" w:name="_Toc14856818"/>
      <w:bookmarkStart w:id="46" w:name="竞争性谈判响应文件的递交"/>
      <w:r>
        <w:rPr>
          <w:rFonts w:hint="eastAsia"/>
        </w:rPr>
        <w:t>5、竞争性谈判响应文件的递交</w:t>
      </w:r>
      <w:bookmarkEnd w:id="45"/>
      <w:r>
        <w:rPr>
          <w:rFonts w:hint="eastAsia"/>
        </w:rPr>
        <w:t xml:space="preserve"> </w:t>
      </w:r>
      <w:bookmarkEnd w:id="46"/>
    </w:p>
    <w:p>
      <w:pPr>
        <w:spacing w:line="360" w:lineRule="auto"/>
        <w:ind w:firstLine="480" w:firstLineChars="200"/>
        <w:rPr>
          <w:rFonts w:hint="eastAsia" w:ascii="仿宋" w:hAnsi="仿宋" w:eastAsia="仿宋"/>
          <w:sz w:val="24"/>
        </w:rPr>
      </w:pPr>
      <w:r>
        <w:rPr>
          <w:rFonts w:hint="eastAsia" w:ascii="仿宋" w:hAnsi="仿宋" w:eastAsia="仿宋"/>
          <w:sz w:val="24"/>
        </w:rPr>
        <w:t>1、（A）竞争性谈判响应文件递交的截止时间（竞谈截止时间，下同）为</w:t>
      </w:r>
      <w:r>
        <w:rPr>
          <w:rFonts w:hint="eastAsia" w:ascii="仿宋" w:hAnsi="仿宋" w:eastAsia="仿宋"/>
          <w:sz w:val="24"/>
          <w:lang w:val="en-US" w:eastAsia="zh-CN"/>
        </w:rPr>
        <w:t>2020</w:t>
      </w:r>
      <w:r>
        <w:rPr>
          <w:rFonts w:hint="eastAsia" w:ascii="仿宋" w:hAnsi="仿宋" w:eastAsia="仿宋"/>
          <w:sz w:val="24"/>
        </w:rPr>
        <w:t>年</w:t>
      </w:r>
      <w:r>
        <w:rPr>
          <w:rFonts w:hint="eastAsia" w:ascii="仿宋" w:hAnsi="仿宋" w:eastAsia="仿宋"/>
          <w:sz w:val="24"/>
          <w:lang w:val="en-US" w:eastAsia="zh-CN"/>
        </w:rPr>
        <w:t>03</w:t>
      </w:r>
      <w:r>
        <w:rPr>
          <w:rFonts w:hint="eastAsia" w:ascii="仿宋" w:hAnsi="仿宋" w:eastAsia="仿宋"/>
          <w:sz w:val="24"/>
        </w:rPr>
        <w:t>月</w:t>
      </w:r>
      <w:r>
        <w:rPr>
          <w:rFonts w:hint="eastAsia" w:ascii="仿宋" w:hAnsi="仿宋" w:eastAsia="仿宋"/>
          <w:sz w:val="24"/>
          <w:lang w:val="en-US" w:eastAsia="zh-CN"/>
        </w:rPr>
        <w:t>25</w:t>
      </w:r>
      <w:r>
        <w:rPr>
          <w:rFonts w:hint="eastAsia" w:ascii="仿宋" w:hAnsi="仿宋" w:eastAsia="仿宋"/>
          <w:sz w:val="24"/>
        </w:rPr>
        <w:t>日</w:t>
      </w:r>
      <w:r>
        <w:rPr>
          <w:rFonts w:hint="eastAsia" w:ascii="仿宋" w:hAnsi="仿宋" w:eastAsia="仿宋"/>
          <w:sz w:val="24"/>
          <w:lang w:val="en-US" w:eastAsia="zh-CN"/>
        </w:rPr>
        <w:t>10</w:t>
      </w:r>
      <w:r>
        <w:rPr>
          <w:rFonts w:hint="eastAsia" w:ascii="仿宋" w:hAnsi="仿宋" w:eastAsia="仿宋"/>
          <w:sz w:val="24"/>
        </w:rPr>
        <w:t>时</w:t>
      </w:r>
      <w:r>
        <w:rPr>
          <w:rFonts w:hint="eastAsia" w:ascii="仿宋" w:hAnsi="仿宋" w:eastAsia="仿宋"/>
          <w:sz w:val="24"/>
          <w:lang w:val="en-US" w:eastAsia="zh-CN"/>
        </w:rPr>
        <w:t>00</w:t>
      </w:r>
      <w:r>
        <w:rPr>
          <w:rFonts w:hint="eastAsia" w:ascii="仿宋" w:hAnsi="仿宋" w:eastAsia="仿宋"/>
          <w:sz w:val="24"/>
        </w:rPr>
        <w:t>分（北京时间），响应文件递交</w:t>
      </w:r>
      <w:r>
        <w:rPr>
          <w:rFonts w:hint="eastAsia" w:ascii="仿宋" w:hAnsi="仿宋" w:eastAsia="仿宋"/>
          <w:sz w:val="24"/>
          <w:lang w:val="en-US" w:eastAsia="zh-CN"/>
        </w:rPr>
        <w:t>(</w:t>
      </w:r>
      <w:r>
        <w:rPr>
          <w:rFonts w:hint="eastAsia" w:ascii="仿宋" w:hAnsi="仿宋" w:eastAsia="仿宋"/>
          <w:b/>
          <w:bCs/>
          <w:color w:val="FF0000"/>
          <w:sz w:val="24"/>
          <w:lang w:val="en-US" w:eastAsia="zh-CN"/>
        </w:rPr>
        <w:t>邮寄)</w:t>
      </w:r>
      <w:r>
        <w:rPr>
          <w:rFonts w:hint="eastAsia" w:ascii="仿宋" w:hAnsi="仿宋" w:eastAsia="仿宋"/>
          <w:sz w:val="24"/>
        </w:rPr>
        <w:t>地点为</w:t>
      </w:r>
      <w:bookmarkStart w:id="47" w:name="OLE_LINK8"/>
      <w:r>
        <w:rPr>
          <w:rFonts w:hint="eastAsia" w:ascii="仿宋" w:hAnsi="仿宋" w:eastAsia="仿宋"/>
          <w:sz w:val="24"/>
        </w:rPr>
        <w:t>江西省南昌市青云谱区广州路</w:t>
      </w:r>
      <w:r>
        <w:rPr>
          <w:rFonts w:hint="eastAsia" w:ascii="仿宋" w:hAnsi="仿宋" w:eastAsia="仿宋"/>
          <w:sz w:val="24"/>
          <w:lang w:val="en-US" w:eastAsia="zh-CN"/>
        </w:rPr>
        <w:t>69号</w:t>
      </w:r>
      <w:bookmarkEnd w:id="47"/>
      <w:r>
        <w:rPr>
          <w:rFonts w:hint="eastAsia" w:ascii="仿宋" w:hAnsi="仿宋" w:eastAsia="仿宋"/>
          <w:sz w:val="24"/>
        </w:rPr>
        <w:t>。逾期送达的或者未送达指定地点的响应文件，采购人不予受理。</w:t>
      </w:r>
    </w:p>
    <w:p>
      <w:pPr>
        <w:spacing w:line="360" w:lineRule="auto"/>
        <w:ind w:firstLine="480" w:firstLineChars="200"/>
        <w:rPr>
          <w:rFonts w:hint="eastAsia" w:ascii="仿宋" w:hAnsi="仿宋" w:eastAsia="仿宋"/>
          <w:sz w:val="24"/>
        </w:rPr>
      </w:pPr>
      <w:bookmarkStart w:id="48" w:name="_Hlk17272523"/>
      <w:r>
        <w:rPr>
          <w:rFonts w:hint="eastAsia" w:ascii="仿宋" w:hAnsi="仿宋" w:eastAsia="仿宋"/>
          <w:sz w:val="24"/>
        </w:rPr>
        <w:t>1、（B）竞争性谈判响应文件递交的截止时间（竞谈截止时间，下同）为</w:t>
      </w:r>
      <w:r>
        <w:rPr>
          <w:rFonts w:hint="eastAsia" w:ascii="仿宋" w:hAnsi="仿宋" w:eastAsia="仿宋"/>
          <w:sz w:val="24"/>
          <w:lang w:val="en-US" w:eastAsia="zh-CN"/>
        </w:rPr>
        <w:t>2020</w:t>
      </w:r>
      <w:r>
        <w:rPr>
          <w:rFonts w:hint="eastAsia" w:ascii="仿宋" w:hAnsi="仿宋" w:eastAsia="仿宋"/>
          <w:sz w:val="24"/>
        </w:rPr>
        <w:t>年</w:t>
      </w:r>
      <w:r>
        <w:rPr>
          <w:rFonts w:hint="eastAsia" w:ascii="仿宋" w:hAnsi="仿宋" w:eastAsia="仿宋"/>
          <w:sz w:val="24"/>
          <w:lang w:val="en-US" w:eastAsia="zh-CN"/>
        </w:rPr>
        <w:t>03</w:t>
      </w:r>
      <w:r>
        <w:rPr>
          <w:rFonts w:hint="eastAsia" w:ascii="仿宋" w:hAnsi="仿宋" w:eastAsia="仿宋"/>
          <w:sz w:val="24"/>
        </w:rPr>
        <w:t>月</w:t>
      </w:r>
      <w:r>
        <w:rPr>
          <w:rFonts w:hint="eastAsia" w:ascii="仿宋" w:hAnsi="仿宋" w:eastAsia="仿宋"/>
          <w:sz w:val="24"/>
          <w:lang w:val="en-US" w:eastAsia="zh-CN"/>
        </w:rPr>
        <w:t>25</w:t>
      </w:r>
      <w:r>
        <w:rPr>
          <w:rFonts w:hint="eastAsia" w:ascii="仿宋" w:hAnsi="仿宋" w:eastAsia="仿宋"/>
          <w:sz w:val="24"/>
        </w:rPr>
        <w:t>日</w:t>
      </w:r>
      <w:r>
        <w:rPr>
          <w:rFonts w:hint="eastAsia" w:ascii="仿宋" w:hAnsi="仿宋" w:eastAsia="仿宋"/>
          <w:sz w:val="24"/>
          <w:lang w:val="en-US" w:eastAsia="zh-CN"/>
        </w:rPr>
        <w:t>10</w:t>
      </w:r>
      <w:r>
        <w:rPr>
          <w:rFonts w:hint="eastAsia" w:ascii="仿宋" w:hAnsi="仿宋" w:eastAsia="仿宋"/>
          <w:sz w:val="24"/>
        </w:rPr>
        <w:t>时</w:t>
      </w:r>
      <w:r>
        <w:rPr>
          <w:rFonts w:hint="eastAsia" w:ascii="仿宋" w:hAnsi="仿宋" w:eastAsia="仿宋"/>
          <w:sz w:val="24"/>
          <w:lang w:val="en-US" w:eastAsia="zh-CN"/>
        </w:rPr>
        <w:t>00</w:t>
      </w:r>
      <w:r>
        <w:rPr>
          <w:rFonts w:hint="eastAsia" w:ascii="仿宋" w:hAnsi="仿宋" w:eastAsia="仿宋"/>
          <w:sz w:val="24"/>
        </w:rPr>
        <w:t>分（北京时间），响应人应在截止时间前通过集采平台递交电子响应文件。</w:t>
      </w:r>
    </w:p>
    <w:p>
      <w:pPr>
        <w:spacing w:line="360" w:lineRule="auto"/>
        <w:ind w:firstLine="480" w:firstLineChars="200"/>
        <w:rPr>
          <w:rFonts w:hint="eastAsia" w:ascii="仿宋" w:hAnsi="仿宋" w:eastAsia="仿宋"/>
          <w:sz w:val="24"/>
        </w:rPr>
      </w:pPr>
      <w:r>
        <w:rPr>
          <w:rFonts w:hint="eastAsia" w:ascii="仿宋" w:hAnsi="仿宋" w:eastAsia="仿宋"/>
          <w:color w:val="000000"/>
          <w:sz w:val="24"/>
        </w:rPr>
        <w:t>（1）</w:t>
      </w:r>
      <w:r>
        <w:rPr>
          <w:rFonts w:hint="eastAsia" w:ascii="仿宋" w:hAnsi="仿宋" w:eastAsia="仿宋"/>
          <w:sz w:val="24"/>
        </w:rPr>
        <w:t>本次采购将通过集采平台全程在线开展，电子响应文件的加密、提交、解密及签到等流程须各响应人在线进行操作。响应人须提前办理电子钥匙用于在线竞谈，请登陆集采平台服务中心或咨询客服，了解集采平台操作和电子钥匙办理的具体事宜，并严格按照要求进行在线竞谈，因操作流程失误造成的竞谈失败将由响应人自行承担后果。</w:t>
      </w:r>
    </w:p>
    <w:p>
      <w:pPr>
        <w:spacing w:line="360" w:lineRule="auto"/>
        <w:ind w:firstLine="480" w:firstLineChars="200"/>
        <w:rPr>
          <w:rFonts w:hint="eastAsia" w:ascii="仿宋" w:hAnsi="仿宋" w:eastAsia="仿宋"/>
          <w:sz w:val="24"/>
        </w:rPr>
      </w:pPr>
      <w:r>
        <w:rPr>
          <w:rFonts w:hint="eastAsia" w:ascii="仿宋" w:hAnsi="仿宋" w:eastAsia="仿宋"/>
          <w:sz w:val="24"/>
        </w:rPr>
        <w:t>集采平台客服电话：4006274006</w:t>
      </w:r>
    </w:p>
    <w:p>
      <w:pPr>
        <w:spacing w:line="360" w:lineRule="auto"/>
        <w:ind w:firstLine="480" w:firstLineChars="200"/>
        <w:rPr>
          <w:rFonts w:hint="eastAsia" w:ascii="仿宋" w:hAnsi="仿宋" w:eastAsia="仿宋"/>
          <w:sz w:val="24"/>
        </w:rPr>
      </w:pPr>
      <w:r>
        <w:rPr>
          <w:rFonts w:hint="eastAsia" w:ascii="仿宋" w:hAnsi="仿宋" w:eastAsia="仿宋"/>
          <w:sz w:val="24"/>
        </w:rPr>
        <w:t>电子钥匙办理客服电话：010-56032365</w:t>
      </w:r>
    </w:p>
    <w:p>
      <w:pPr>
        <w:spacing w:line="360" w:lineRule="auto"/>
        <w:ind w:firstLine="480" w:firstLineChars="200"/>
        <w:rPr>
          <w:rFonts w:hint="eastAsia" w:ascii="仿宋" w:hAnsi="仿宋" w:eastAsia="仿宋"/>
          <w:sz w:val="24"/>
        </w:rPr>
      </w:pPr>
      <w:r>
        <w:rPr>
          <w:rFonts w:hint="eastAsia" w:ascii="仿宋" w:hAnsi="仿宋" w:eastAsia="仿宋"/>
          <w:sz w:val="24"/>
        </w:rPr>
        <w:t>（2）各响应人须登陆集采平台使用电子钥匙进行电子响应文件的编制、加密和在线投递，竞谈截止时间为</w:t>
      </w:r>
      <w:r>
        <w:rPr>
          <w:rFonts w:hint="eastAsia" w:ascii="仿宋" w:hAnsi="仿宋" w:eastAsia="仿宋"/>
          <w:b/>
          <w:bCs/>
          <w:color w:val="FF0000"/>
          <w:sz w:val="24"/>
          <w:u w:val="single"/>
        </w:rPr>
        <w:t>20</w:t>
      </w:r>
      <w:r>
        <w:rPr>
          <w:rFonts w:hint="eastAsia" w:ascii="仿宋" w:hAnsi="仿宋" w:eastAsia="仿宋"/>
          <w:b/>
          <w:bCs/>
          <w:color w:val="FF0000"/>
          <w:sz w:val="24"/>
          <w:u w:val="single"/>
          <w:lang w:val="en-US" w:eastAsia="zh-CN"/>
        </w:rPr>
        <w:t>20</w:t>
      </w:r>
      <w:r>
        <w:rPr>
          <w:rFonts w:hint="eastAsia" w:ascii="仿宋" w:hAnsi="仿宋" w:eastAsia="仿宋"/>
          <w:b/>
          <w:bCs/>
          <w:color w:val="FF0000"/>
          <w:sz w:val="24"/>
          <w:u w:val="single"/>
        </w:rPr>
        <w:t>年</w:t>
      </w:r>
      <w:r>
        <w:rPr>
          <w:rFonts w:hint="eastAsia" w:ascii="仿宋" w:hAnsi="仿宋" w:eastAsia="仿宋"/>
          <w:b/>
          <w:bCs/>
          <w:color w:val="FF0000"/>
          <w:sz w:val="24"/>
          <w:u w:val="single"/>
          <w:lang w:val="en-US" w:eastAsia="zh-CN"/>
        </w:rPr>
        <w:t>03</w:t>
      </w:r>
      <w:r>
        <w:rPr>
          <w:rFonts w:hint="eastAsia" w:ascii="仿宋" w:hAnsi="仿宋" w:eastAsia="仿宋"/>
          <w:b/>
          <w:bCs/>
          <w:color w:val="FF0000"/>
          <w:sz w:val="24"/>
          <w:u w:val="single"/>
        </w:rPr>
        <w:t>月</w:t>
      </w:r>
      <w:r>
        <w:rPr>
          <w:rFonts w:hint="eastAsia" w:ascii="仿宋" w:hAnsi="仿宋" w:eastAsia="仿宋"/>
          <w:b/>
          <w:bCs/>
          <w:color w:val="FF0000"/>
          <w:sz w:val="24"/>
          <w:u w:val="single"/>
          <w:lang w:val="en-US" w:eastAsia="zh-CN"/>
        </w:rPr>
        <w:t xml:space="preserve"> 25 </w:t>
      </w:r>
      <w:r>
        <w:rPr>
          <w:rFonts w:hint="eastAsia" w:ascii="仿宋" w:hAnsi="仿宋" w:eastAsia="仿宋"/>
          <w:b/>
          <w:bCs/>
          <w:color w:val="FF0000"/>
          <w:sz w:val="24"/>
          <w:u w:val="single"/>
        </w:rPr>
        <w:t>日</w:t>
      </w:r>
      <w:r>
        <w:rPr>
          <w:rFonts w:hint="eastAsia" w:ascii="仿宋" w:hAnsi="仿宋" w:eastAsia="仿宋"/>
          <w:b/>
          <w:bCs/>
          <w:color w:val="FF0000"/>
          <w:sz w:val="24"/>
          <w:u w:val="single"/>
          <w:lang w:val="en-US" w:eastAsia="zh-CN"/>
        </w:rPr>
        <w:t>10</w:t>
      </w:r>
      <w:r>
        <w:rPr>
          <w:rFonts w:hint="eastAsia" w:ascii="仿宋" w:hAnsi="仿宋" w:eastAsia="仿宋"/>
          <w:b/>
          <w:bCs/>
          <w:color w:val="FF0000"/>
          <w:sz w:val="24"/>
          <w:u w:val="single"/>
        </w:rPr>
        <w:t>时00分</w:t>
      </w:r>
      <w:r>
        <w:rPr>
          <w:rFonts w:hint="eastAsia" w:ascii="仿宋" w:hAnsi="仿宋" w:eastAsia="仿宋"/>
          <w:sz w:val="24"/>
        </w:rPr>
        <w:t>。请各响应人充分考虑文件大小、网络速度的影响并预留充足的时间，逾期将无法提交。</w:t>
      </w:r>
      <w:r>
        <w:rPr>
          <w:rFonts w:hint="eastAsia" w:ascii="仿宋" w:hAnsi="仿宋" w:eastAsia="仿宋"/>
          <w:b/>
          <w:color w:val="000000"/>
          <w:sz w:val="24"/>
          <w:u w:val="single"/>
        </w:rPr>
        <w:t>电子响应文件的在线投递建议至少提前12小时完成</w:t>
      </w:r>
      <w:r>
        <w:rPr>
          <w:rFonts w:hint="eastAsia" w:ascii="仿宋" w:hAnsi="仿宋" w:eastAsia="仿宋"/>
          <w:color w:val="000000"/>
          <w:sz w:val="24"/>
        </w:rPr>
        <w:t>）。</w:t>
      </w:r>
    </w:p>
    <w:p>
      <w:pPr>
        <w:spacing w:line="360" w:lineRule="auto"/>
        <w:ind w:firstLine="480" w:firstLineChars="200"/>
        <w:rPr>
          <w:rFonts w:hint="eastAsia" w:ascii="仿宋" w:hAnsi="仿宋" w:eastAsia="仿宋"/>
          <w:sz w:val="24"/>
        </w:rPr>
      </w:pPr>
      <w:r>
        <w:rPr>
          <w:rFonts w:hint="eastAsia" w:ascii="仿宋" w:hAnsi="仿宋" w:eastAsia="仿宋"/>
          <w:sz w:val="24"/>
        </w:rPr>
        <w:t>（3）各响应人须在响应截止时间前（当天）现场递交纸质版响应文件，纸质版响应文件的递交地点为。纸质版文件递交的截止时间同电子文件的递交截止时间。逾期送达的或未送达指定地点的纸质版响应文件将不予接收。</w:t>
      </w:r>
    </w:p>
    <w:p>
      <w:pPr>
        <w:spacing w:line="360" w:lineRule="auto"/>
        <w:ind w:firstLine="480" w:firstLineChars="200"/>
        <w:rPr>
          <w:rFonts w:hint="eastAsia" w:ascii="仿宋" w:hAnsi="仿宋" w:eastAsia="仿宋"/>
          <w:sz w:val="24"/>
        </w:rPr>
      </w:pPr>
      <w:r>
        <w:rPr>
          <w:rFonts w:hint="eastAsia" w:ascii="仿宋" w:hAnsi="仿宋" w:eastAsia="仿宋"/>
          <w:sz w:val="24"/>
        </w:rPr>
        <w:t>（4）各响应人须使用电子钥匙登录集采平台投标管家客户端进行在线签到，在线签到的截止时间同电子文件的递交截止时间，未进行在线签到的响应人将无法进行后续竞谈流程。</w:t>
      </w:r>
      <w:r>
        <w:rPr>
          <w:rFonts w:hint="eastAsia" w:ascii="仿宋" w:hAnsi="仿宋" w:eastAsia="仿宋"/>
          <w:b/>
          <w:bCs/>
          <w:color w:val="000000"/>
          <w:sz w:val="24"/>
        </w:rPr>
        <w:t>（为保证签到环节顺利完成，建议提前1小时</w:t>
      </w:r>
      <w:r>
        <w:rPr>
          <w:rFonts w:ascii="仿宋" w:hAnsi="仿宋" w:eastAsia="仿宋"/>
          <w:b/>
          <w:bCs/>
          <w:color w:val="000000"/>
          <w:sz w:val="24"/>
        </w:rPr>
        <w:t>完成在线签到</w:t>
      </w:r>
      <w:r>
        <w:rPr>
          <w:rFonts w:hint="eastAsia" w:ascii="仿宋" w:hAnsi="仿宋" w:eastAsia="仿宋"/>
          <w:b/>
          <w:bCs/>
          <w:color w:val="000000"/>
          <w:sz w:val="24"/>
        </w:rPr>
        <w:t>）。</w:t>
      </w:r>
    </w:p>
    <w:p>
      <w:pPr>
        <w:spacing w:line="360" w:lineRule="auto"/>
        <w:ind w:firstLine="480" w:firstLineChars="200"/>
        <w:rPr>
          <w:rFonts w:hint="eastAsia" w:ascii="仿宋" w:hAnsi="仿宋" w:eastAsia="仿宋"/>
          <w:sz w:val="24"/>
        </w:rPr>
      </w:pPr>
      <w:r>
        <w:rPr>
          <w:rFonts w:hint="eastAsia" w:ascii="仿宋" w:hAnsi="仿宋" w:eastAsia="仿宋"/>
          <w:sz w:val="24"/>
        </w:rPr>
        <w:t>（5）响应截止时间后，各响应人须使用电子钥匙登陆集采平台投标管家客户端对响应文件进行在线解密。</w:t>
      </w:r>
    </w:p>
    <w:p>
      <w:pPr>
        <w:spacing w:line="360" w:lineRule="auto"/>
        <w:ind w:firstLine="480" w:firstLineChars="200"/>
        <w:rPr>
          <w:rFonts w:hint="eastAsia" w:ascii="仿宋" w:hAnsi="仿宋" w:eastAsia="仿宋"/>
          <w:sz w:val="24"/>
        </w:rPr>
      </w:pPr>
      <w:r>
        <w:rPr>
          <w:rFonts w:hint="eastAsia" w:ascii="仿宋" w:hAnsi="仿宋" w:eastAsia="仿宋"/>
          <w:sz w:val="24"/>
        </w:rPr>
        <w:t>2、竞谈截止时间及递交地点如有变动，采购人将及时以书面形式通知所有已购买采购文件的响应人。</w:t>
      </w:r>
    </w:p>
    <w:bookmarkEnd w:id="48"/>
    <w:p>
      <w:pPr>
        <w:spacing w:line="360" w:lineRule="auto"/>
        <w:ind w:firstLine="480" w:firstLineChars="200"/>
        <w:rPr>
          <w:rFonts w:hint="default" w:ascii="仿宋" w:hAnsi="仿宋" w:eastAsia="仿宋"/>
          <w:sz w:val="32"/>
          <w:szCs w:val="32"/>
          <w:lang w:val="en-US"/>
        </w:rPr>
      </w:pPr>
      <w:r>
        <w:rPr>
          <w:rFonts w:hint="eastAsia" w:ascii="仿宋" w:hAnsi="仿宋" w:eastAsia="仿宋"/>
          <w:sz w:val="24"/>
        </w:rPr>
        <w:t>3、谈判时间</w:t>
      </w:r>
      <w:r>
        <w:rPr>
          <w:rFonts w:ascii="仿宋" w:hAnsi="仿宋" w:eastAsia="仿宋"/>
          <w:sz w:val="24"/>
        </w:rPr>
        <w:t>：</w:t>
      </w:r>
      <w:r>
        <w:rPr>
          <w:rFonts w:hint="eastAsia" w:ascii="仿宋" w:hAnsi="仿宋" w:eastAsia="仿宋"/>
          <w:b/>
          <w:bCs/>
          <w:color w:val="FF0000"/>
          <w:sz w:val="32"/>
          <w:szCs w:val="32"/>
          <w:lang w:val="en-US" w:eastAsia="zh-CN"/>
        </w:rPr>
        <w:t>2020-03-25-10:00</w:t>
      </w:r>
    </w:p>
    <w:p>
      <w:pPr>
        <w:spacing w:line="360" w:lineRule="auto"/>
        <w:ind w:firstLine="480" w:firstLineChars="200"/>
        <w:rPr>
          <w:rFonts w:hint="eastAsia" w:ascii="仿宋" w:hAnsi="仿宋" w:eastAsia="仿宋"/>
          <w:sz w:val="24"/>
          <w:lang w:val="en-US" w:eastAsia="zh-CN"/>
        </w:rPr>
      </w:pPr>
      <w:r>
        <w:rPr>
          <w:rFonts w:hint="eastAsia" w:ascii="仿宋" w:hAnsi="仿宋" w:eastAsia="仿宋"/>
          <w:sz w:val="24"/>
        </w:rPr>
        <w:t xml:space="preserve">   谈判</w:t>
      </w:r>
      <w:r>
        <w:rPr>
          <w:rFonts w:ascii="仿宋" w:hAnsi="仿宋" w:eastAsia="仿宋"/>
          <w:sz w:val="24"/>
        </w:rPr>
        <w:t>地点：</w:t>
      </w:r>
      <w:r>
        <w:rPr>
          <w:rFonts w:hint="eastAsia" w:ascii="仿宋" w:hAnsi="仿宋" w:eastAsia="仿宋"/>
          <w:sz w:val="24"/>
        </w:rPr>
        <w:t>江西省南昌市青云谱区广州路</w:t>
      </w:r>
      <w:r>
        <w:rPr>
          <w:rFonts w:hint="eastAsia" w:ascii="仿宋" w:hAnsi="仿宋" w:eastAsia="仿宋"/>
          <w:sz w:val="24"/>
          <w:lang w:val="en-US" w:eastAsia="zh-CN"/>
        </w:rPr>
        <w:t>69号</w:t>
      </w:r>
    </w:p>
    <w:p>
      <w:pPr>
        <w:pStyle w:val="2"/>
        <w:rPr>
          <w:rFonts w:hint="default" w:eastAsia="仿宋"/>
          <w:b/>
          <w:bCs/>
          <w:color w:val="FF0000"/>
          <w:lang w:val="en-US" w:eastAsia="zh-CN"/>
        </w:rPr>
      </w:pPr>
      <w:r>
        <w:rPr>
          <w:rFonts w:hint="eastAsia"/>
          <w:b/>
          <w:bCs/>
          <w:color w:val="FF0000"/>
          <w:lang w:val="en-US" w:eastAsia="zh-CN"/>
        </w:rPr>
        <w:t>(</w:t>
      </w:r>
      <w:r>
        <w:rPr>
          <w:rFonts w:hint="eastAsia"/>
          <w:b/>
          <w:bCs/>
          <w:color w:val="FF0000"/>
        </w:rPr>
        <w:t>注</w:t>
      </w:r>
      <w:r>
        <w:rPr>
          <w:rFonts w:hint="eastAsia"/>
          <w:b/>
          <w:bCs/>
          <w:color w:val="FF0000"/>
          <w:lang w:val="en-US" w:eastAsia="zh-CN"/>
        </w:rPr>
        <w:t>:</w:t>
      </w:r>
      <w:r>
        <w:rPr>
          <w:rFonts w:hint="eastAsia"/>
          <w:b/>
          <w:bCs/>
          <w:color w:val="FF0000"/>
        </w:rPr>
        <w:t>该设备招标不召开谈判会议</w:t>
      </w:r>
      <w:r>
        <w:rPr>
          <w:rFonts w:hint="eastAsia"/>
          <w:b/>
          <w:bCs/>
          <w:color w:val="FF0000"/>
          <w:lang w:val="en-US" w:eastAsia="zh-CN"/>
        </w:rPr>
        <w:t>,在中国电建集采平台提交报价及谈判文件)</w:t>
      </w:r>
    </w:p>
    <w:bookmarkEnd w:id="25"/>
    <w:bookmarkEnd w:id="26"/>
    <w:bookmarkEnd w:id="27"/>
    <w:bookmarkEnd w:id="28"/>
    <w:bookmarkEnd w:id="29"/>
    <w:bookmarkEnd w:id="30"/>
    <w:bookmarkEnd w:id="31"/>
    <w:p>
      <w:pPr>
        <w:pStyle w:val="3"/>
      </w:pPr>
      <w:bookmarkStart w:id="49" w:name="_Toc152045525"/>
      <w:bookmarkStart w:id="50" w:name="_Toc144974493"/>
      <w:bookmarkStart w:id="51" w:name="_Toc246996172"/>
      <w:bookmarkStart w:id="52" w:name="_Toc179632542"/>
      <w:bookmarkStart w:id="53" w:name="_Toc337797826"/>
      <w:bookmarkStart w:id="54" w:name="_Toc14856819"/>
      <w:bookmarkStart w:id="55" w:name="_Toc152042301"/>
      <w:bookmarkStart w:id="56" w:name="_Toc246996915"/>
      <w:bookmarkStart w:id="57" w:name="_Toc247085686"/>
      <w:r>
        <w:rPr>
          <w:rFonts w:hint="eastAsia"/>
        </w:rPr>
        <w:t>6、</w:t>
      </w:r>
      <w:bookmarkStart w:id="58" w:name="联系方式"/>
      <w:r>
        <w:t>联系方式</w:t>
      </w:r>
      <w:bookmarkEnd w:id="49"/>
      <w:bookmarkEnd w:id="50"/>
      <w:bookmarkEnd w:id="51"/>
      <w:bookmarkEnd w:id="52"/>
      <w:bookmarkEnd w:id="53"/>
      <w:bookmarkEnd w:id="54"/>
      <w:bookmarkEnd w:id="55"/>
      <w:bookmarkEnd w:id="56"/>
      <w:bookmarkEnd w:id="57"/>
      <w:bookmarkEnd w:id="58"/>
    </w:p>
    <w:p>
      <w:pPr>
        <w:topLinePunct/>
        <w:spacing w:line="360" w:lineRule="auto"/>
        <w:ind w:firstLine="480" w:firstLineChars="200"/>
        <w:rPr>
          <w:rFonts w:ascii="仿宋" w:hAnsi="仿宋" w:eastAsia="仿宋"/>
          <w:sz w:val="24"/>
        </w:rPr>
      </w:pPr>
      <w:r>
        <w:rPr>
          <w:rFonts w:hint="eastAsia" w:ascii="仿宋" w:hAnsi="仿宋" w:eastAsia="仿宋"/>
          <w:sz w:val="24"/>
        </w:rPr>
        <w:t>采 购</w:t>
      </w:r>
      <w:r>
        <w:rPr>
          <w:rFonts w:ascii="仿宋" w:hAnsi="仿宋" w:eastAsia="仿宋"/>
          <w:sz w:val="24"/>
        </w:rPr>
        <w:t xml:space="preserve"> 人：</w:t>
      </w:r>
      <w:r>
        <w:rPr>
          <w:rFonts w:hint="eastAsia" w:ascii="仿宋" w:hAnsi="仿宋" w:eastAsia="仿宋"/>
          <w:sz w:val="24"/>
        </w:rPr>
        <w:t>中国电建集团</w:t>
      </w:r>
      <w:bookmarkStart w:id="59" w:name="OLE_LINK9"/>
      <w:r>
        <w:rPr>
          <w:rFonts w:hint="eastAsia" w:ascii="仿宋" w:hAnsi="仿宋" w:eastAsia="仿宋"/>
          <w:sz w:val="24"/>
        </w:rPr>
        <w:t>江西省电力建设有限公司</w:t>
      </w:r>
      <w:bookmarkEnd w:id="59"/>
      <w:r>
        <w:rPr>
          <w:rFonts w:ascii="仿宋" w:hAnsi="仿宋" w:eastAsia="仿宋"/>
          <w:sz w:val="24"/>
        </w:rPr>
        <w:t xml:space="preserve"> </w:t>
      </w:r>
    </w:p>
    <w:p>
      <w:pPr>
        <w:topLinePunct/>
        <w:spacing w:line="360" w:lineRule="auto"/>
        <w:ind w:firstLine="480" w:firstLineChars="200"/>
        <w:rPr>
          <w:rFonts w:ascii="仿宋" w:hAnsi="仿宋" w:eastAsia="仿宋"/>
          <w:sz w:val="24"/>
        </w:rPr>
      </w:pPr>
      <w:r>
        <w:rPr>
          <w:rFonts w:hint="eastAsia" w:ascii="仿宋" w:hAnsi="仿宋" w:eastAsia="仿宋"/>
          <w:sz w:val="24"/>
        </w:rPr>
        <w:t>地    址：</w:t>
      </w:r>
      <w:r>
        <w:rPr>
          <w:rFonts w:ascii="仿宋" w:hAnsi="仿宋" w:eastAsia="仿宋"/>
          <w:sz w:val="24"/>
        </w:rPr>
        <w:t xml:space="preserve"> </w:t>
      </w:r>
      <w:r>
        <w:rPr>
          <w:rFonts w:hint="eastAsia" w:ascii="仿宋" w:hAnsi="仿宋" w:eastAsia="仿宋"/>
          <w:sz w:val="24"/>
        </w:rPr>
        <w:t>江西省南昌市青云谱区广州路</w:t>
      </w:r>
      <w:r>
        <w:rPr>
          <w:rFonts w:hint="eastAsia" w:ascii="仿宋" w:hAnsi="仿宋" w:eastAsia="仿宋"/>
          <w:sz w:val="24"/>
          <w:lang w:val="en-US" w:eastAsia="zh-CN"/>
        </w:rPr>
        <w:t>69号</w:t>
      </w:r>
    </w:p>
    <w:p>
      <w:pPr>
        <w:topLinePunct/>
        <w:spacing w:line="360" w:lineRule="auto"/>
        <w:ind w:firstLine="480" w:firstLineChars="200"/>
        <w:rPr>
          <w:rFonts w:ascii="仿宋" w:hAnsi="仿宋" w:eastAsia="仿宋"/>
          <w:sz w:val="24"/>
        </w:rPr>
      </w:pPr>
      <w:r>
        <w:rPr>
          <w:rFonts w:hint="eastAsia" w:ascii="仿宋" w:hAnsi="仿宋" w:eastAsia="仿宋"/>
          <w:sz w:val="24"/>
        </w:rPr>
        <w:t>邮    编：</w:t>
      </w:r>
      <w:r>
        <w:rPr>
          <w:rFonts w:hint="eastAsia" w:ascii="仿宋" w:hAnsi="仿宋" w:eastAsia="仿宋"/>
          <w:sz w:val="24"/>
          <w:lang w:val="en-US" w:eastAsia="zh-CN"/>
        </w:rPr>
        <w:t>330001</w:t>
      </w:r>
    </w:p>
    <w:p>
      <w:pPr>
        <w:topLinePunct/>
        <w:spacing w:line="360" w:lineRule="auto"/>
        <w:ind w:firstLine="480" w:firstLineChars="200"/>
        <w:rPr>
          <w:rFonts w:ascii="仿宋" w:hAnsi="仿宋" w:eastAsia="仿宋"/>
          <w:sz w:val="24"/>
        </w:rPr>
      </w:pPr>
      <w:r>
        <w:rPr>
          <w:rFonts w:hint="eastAsia" w:ascii="仿宋" w:hAnsi="仿宋" w:eastAsia="仿宋"/>
          <w:sz w:val="24"/>
        </w:rPr>
        <w:t>联 系 人：</w:t>
      </w:r>
      <w:r>
        <w:rPr>
          <w:rFonts w:ascii="仿宋" w:hAnsi="仿宋" w:eastAsia="仿宋"/>
          <w:sz w:val="24"/>
        </w:rPr>
        <w:t xml:space="preserve"> </w:t>
      </w:r>
      <w:r>
        <w:rPr>
          <w:rFonts w:hint="eastAsia" w:ascii="仿宋" w:hAnsi="仿宋" w:eastAsia="仿宋"/>
          <w:sz w:val="24"/>
        </w:rPr>
        <w:t>陈刚</w:t>
      </w:r>
    </w:p>
    <w:p>
      <w:pPr>
        <w:topLinePunct/>
        <w:spacing w:line="360" w:lineRule="auto"/>
        <w:ind w:firstLine="480" w:firstLineChars="200"/>
        <w:rPr>
          <w:rFonts w:ascii="仿宋" w:hAnsi="仿宋" w:eastAsia="仿宋"/>
          <w:sz w:val="24"/>
        </w:rPr>
      </w:pPr>
      <w:r>
        <w:rPr>
          <w:rFonts w:hint="eastAsia" w:ascii="仿宋" w:hAnsi="仿宋" w:eastAsia="仿宋"/>
          <w:sz w:val="24"/>
        </w:rPr>
        <w:t>电    话：</w:t>
      </w:r>
      <w:r>
        <w:rPr>
          <w:rFonts w:hint="eastAsia" w:ascii="仿宋" w:hAnsi="仿宋" w:eastAsia="仿宋"/>
          <w:sz w:val="24"/>
          <w:lang w:val="en-US" w:eastAsia="zh-CN"/>
        </w:rPr>
        <w:t>13970019022</w:t>
      </w:r>
    </w:p>
    <w:p>
      <w:pPr>
        <w:pStyle w:val="3"/>
        <w:rPr>
          <w:rFonts w:hint="eastAsia"/>
        </w:rPr>
      </w:pPr>
      <w:bookmarkStart w:id="60" w:name="_Toc14856820"/>
      <w:r>
        <w:rPr>
          <w:rFonts w:hint="eastAsia"/>
        </w:rPr>
        <w:t>7、</w:t>
      </w:r>
      <w:r>
        <w:t>监督机构</w:t>
      </w:r>
      <w:bookmarkEnd w:id="60"/>
    </w:p>
    <w:p>
      <w:pPr>
        <w:widowControl/>
        <w:spacing w:line="360" w:lineRule="auto"/>
        <w:ind w:firstLine="480" w:firstLineChars="200"/>
        <w:rPr>
          <w:rFonts w:ascii="仿宋" w:hAnsi="仿宋" w:eastAsia="仿宋"/>
          <w:color w:val="000000"/>
          <w:sz w:val="24"/>
        </w:rPr>
      </w:pPr>
      <w:bookmarkStart w:id="61" w:name="_Hlk16691069"/>
      <w:r>
        <w:rPr>
          <w:rFonts w:hint="eastAsia" w:ascii="仿宋" w:hAnsi="仿宋" w:eastAsia="仿宋"/>
          <w:color w:val="000000"/>
          <w:sz w:val="24"/>
        </w:rPr>
        <w:t>监督机构：</w:t>
      </w:r>
      <w:r>
        <w:rPr>
          <w:rFonts w:hint="eastAsia" w:ascii="仿宋" w:hAnsi="仿宋" w:eastAsia="仿宋"/>
          <w:sz w:val="24"/>
        </w:rPr>
        <w:t>江西省电力建设有限公司纪检监察部</w:t>
      </w:r>
    </w:p>
    <w:p>
      <w:pPr>
        <w:widowControl/>
        <w:spacing w:line="360" w:lineRule="auto"/>
        <w:ind w:firstLine="480" w:firstLineChars="200"/>
        <w:rPr>
          <w:rFonts w:ascii="仿宋" w:hAnsi="仿宋" w:eastAsia="仿宋" w:cs="Arial"/>
          <w:color w:val="000000"/>
          <w:kern w:val="0"/>
          <w:sz w:val="24"/>
        </w:rPr>
      </w:pPr>
      <w:r>
        <w:rPr>
          <w:rFonts w:hint="eastAsia" w:ascii="仿宋" w:hAnsi="仿宋" w:eastAsia="仿宋" w:cs="Arial"/>
          <w:color w:val="000000"/>
          <w:kern w:val="0"/>
          <w:sz w:val="24"/>
        </w:rPr>
        <w:t>监督电话：</w:t>
      </w:r>
      <w:r>
        <w:rPr>
          <w:rFonts w:hint="eastAsia" w:ascii="仿宋" w:hAnsi="仿宋" w:eastAsia="仿宋" w:cs="Arial"/>
          <w:color w:val="000000"/>
          <w:kern w:val="0"/>
          <w:sz w:val="24"/>
          <w:lang w:val="en-US" w:eastAsia="zh-CN"/>
        </w:rPr>
        <w:t>0791-88462811</w:t>
      </w:r>
    </w:p>
    <w:bookmarkEnd w:id="61"/>
    <w:p>
      <w:pPr>
        <w:spacing w:line="360" w:lineRule="auto"/>
        <w:ind w:firstLine="6360" w:firstLineChars="2650"/>
        <w:rPr>
          <w:rFonts w:hint="eastAsia"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2020</w:t>
      </w:r>
      <w:r>
        <w:rPr>
          <w:rFonts w:hint="eastAsia" w:ascii="仿宋" w:hAnsi="仿宋" w:eastAsia="仿宋"/>
          <w:sz w:val="24"/>
        </w:rPr>
        <w:t xml:space="preserve"> 年</w:t>
      </w:r>
      <w:r>
        <w:rPr>
          <w:rFonts w:ascii="仿宋" w:hAnsi="仿宋" w:eastAsia="仿宋"/>
          <w:sz w:val="24"/>
        </w:rPr>
        <w:t xml:space="preserve"> </w:t>
      </w:r>
      <w:r>
        <w:rPr>
          <w:rFonts w:hint="eastAsia" w:ascii="仿宋" w:hAnsi="仿宋" w:eastAsia="仿宋"/>
          <w:sz w:val="24"/>
          <w:lang w:val="en-US" w:eastAsia="zh-CN"/>
        </w:rPr>
        <w:t>02</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lang w:val="en-US" w:eastAsia="zh-CN"/>
        </w:rPr>
        <w:t>10</w:t>
      </w:r>
      <w:r>
        <w:rPr>
          <w:rFonts w:ascii="仿宋" w:hAnsi="仿宋" w:eastAsia="仿宋"/>
          <w:sz w:val="24"/>
        </w:rPr>
        <w:t xml:space="preserve"> </w:t>
      </w:r>
      <w:r>
        <w:rPr>
          <w:rFonts w:hint="eastAsia" w:ascii="仿宋" w:hAnsi="仿宋" w:eastAsia="仿宋"/>
          <w:sz w:val="24"/>
        </w:rPr>
        <w:t>日</w:t>
      </w:r>
    </w:p>
    <w:p>
      <w:pPr>
        <w:pStyle w:val="2"/>
        <w:rPr>
          <w:rFonts w:hint="eastAsia"/>
        </w:rPr>
      </w:pPr>
      <w:bookmarkStart w:id="62" w:name="_Toc426313037"/>
      <w:bookmarkStart w:id="63" w:name="_Toc434479600"/>
      <w:bookmarkStart w:id="64" w:name="_Toc426312933"/>
      <w:bookmarkStart w:id="65" w:name="_Toc27330"/>
      <w:bookmarkStart w:id="66" w:name="_Toc15244"/>
      <w:bookmarkStart w:id="67" w:name="_Toc391543278"/>
      <w:bookmarkStart w:id="68" w:name="_Toc289856476"/>
      <w:r>
        <w:br w:type="page"/>
      </w:r>
      <w:bookmarkStart w:id="69" w:name="第二章"/>
      <w:bookmarkEnd w:id="69"/>
      <w:bookmarkStart w:id="70" w:name="_Toc14856821"/>
      <w:r>
        <w:rPr>
          <w:rFonts w:hint="eastAsia"/>
        </w:rPr>
        <w:t>第二章  竞争性谈判</w:t>
      </w:r>
      <w:r>
        <w:t>响应人</w:t>
      </w:r>
      <w:r>
        <w:rPr>
          <w:rFonts w:hint="eastAsia"/>
        </w:rPr>
        <w:t>须知</w:t>
      </w:r>
      <w:bookmarkEnd w:id="70"/>
    </w:p>
    <w:p>
      <w:pPr>
        <w:spacing w:after="312" w:afterLines="100" w:line="320" w:lineRule="exact"/>
        <w:jc w:val="center"/>
        <w:rPr>
          <w:rFonts w:ascii="仿宋" w:hAnsi="仿宋" w:eastAsia="仿宋"/>
          <w:b/>
          <w:sz w:val="28"/>
          <w:szCs w:val="24"/>
        </w:rPr>
      </w:pPr>
      <w:bookmarkStart w:id="71" w:name="_Toc449101783"/>
      <w:bookmarkStart w:id="72" w:name="投标人须知前附表"/>
      <w:r>
        <w:rPr>
          <w:rFonts w:hint="eastAsia" w:ascii="仿宋" w:hAnsi="仿宋" w:eastAsia="仿宋"/>
          <w:b/>
          <w:sz w:val="28"/>
          <w:szCs w:val="24"/>
        </w:rPr>
        <w:t>竞争性</w:t>
      </w:r>
      <w:r>
        <w:rPr>
          <w:rFonts w:ascii="仿宋" w:hAnsi="仿宋" w:eastAsia="仿宋"/>
          <w:b/>
          <w:sz w:val="28"/>
          <w:szCs w:val="24"/>
        </w:rPr>
        <w:t>谈判响应</w:t>
      </w:r>
      <w:r>
        <w:rPr>
          <w:rFonts w:hint="eastAsia" w:ascii="仿宋" w:hAnsi="仿宋" w:eastAsia="仿宋"/>
          <w:b/>
          <w:sz w:val="28"/>
          <w:szCs w:val="24"/>
        </w:rPr>
        <w:t>人须知前附表</w:t>
      </w:r>
      <w:bookmarkEnd w:id="62"/>
      <w:bookmarkEnd w:id="63"/>
      <w:bookmarkEnd w:id="64"/>
      <w:bookmarkEnd w:id="65"/>
      <w:bookmarkEnd w:id="66"/>
      <w:bookmarkEnd w:id="67"/>
      <w:bookmarkEnd w:id="68"/>
      <w:bookmarkEnd w:id="71"/>
    </w:p>
    <w:bookmarkEnd w:id="72"/>
    <w:tbl>
      <w:tblPr>
        <w:tblStyle w:val="21"/>
        <w:tblW w:w="9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2382"/>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043"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条款号</w:t>
            </w:r>
          </w:p>
        </w:tc>
        <w:tc>
          <w:tcPr>
            <w:tcW w:w="2382"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条  款  名  称</w:t>
            </w:r>
          </w:p>
        </w:tc>
        <w:tc>
          <w:tcPr>
            <w:tcW w:w="6257"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2.2</w:t>
            </w:r>
          </w:p>
        </w:tc>
        <w:tc>
          <w:tcPr>
            <w:tcW w:w="2382"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lang w:val="zh-CN"/>
              </w:rPr>
              <w:t>响应人提出澄清截止时间</w:t>
            </w:r>
          </w:p>
        </w:tc>
        <w:tc>
          <w:tcPr>
            <w:tcW w:w="6257" w:type="dxa"/>
            <w:vAlign w:val="center"/>
          </w:tcPr>
          <w:p>
            <w:pPr>
              <w:spacing w:line="320" w:lineRule="exact"/>
              <w:rPr>
                <w:rFonts w:hint="eastAsia" w:ascii="仿宋" w:hAnsi="仿宋" w:eastAsia="仿宋"/>
                <w:sz w:val="24"/>
                <w:szCs w:val="24"/>
              </w:rPr>
            </w:pPr>
            <w:r>
              <w:rPr>
                <w:rFonts w:ascii="仿宋" w:hAnsi="仿宋" w:eastAsia="仿宋"/>
                <w:sz w:val="24"/>
                <w:szCs w:val="24"/>
                <w:u w:val="single"/>
                <w:lang w:val="zh-CN"/>
              </w:rPr>
              <w:t>20</w:t>
            </w:r>
            <w:r>
              <w:rPr>
                <w:rFonts w:hint="eastAsia" w:ascii="仿宋" w:hAnsi="仿宋" w:eastAsia="仿宋"/>
                <w:sz w:val="24"/>
                <w:szCs w:val="24"/>
                <w:u w:val="single"/>
                <w:lang w:val="en-US" w:eastAsia="zh-CN"/>
              </w:rPr>
              <w:t>20</w:t>
            </w:r>
            <w:r>
              <w:rPr>
                <w:rFonts w:hint="eastAsia" w:ascii="仿宋" w:hAnsi="仿宋" w:eastAsia="仿宋"/>
                <w:sz w:val="24"/>
                <w:szCs w:val="24"/>
                <w:u w:val="single"/>
                <w:lang w:val="zh-CN"/>
              </w:rPr>
              <w:t xml:space="preserve"> </w:t>
            </w:r>
            <w:r>
              <w:rPr>
                <w:rFonts w:hint="eastAsia" w:ascii="仿宋" w:hAnsi="仿宋" w:eastAsia="仿宋"/>
                <w:sz w:val="24"/>
                <w:szCs w:val="24"/>
                <w:lang w:val="zh-CN"/>
              </w:rPr>
              <w:t>年</w:t>
            </w:r>
            <w:r>
              <w:rPr>
                <w:rFonts w:ascii="仿宋" w:hAnsi="仿宋" w:eastAsia="仿宋"/>
                <w:sz w:val="24"/>
                <w:szCs w:val="24"/>
                <w:u w:val="single"/>
              </w:rPr>
              <w:t xml:space="preserve"> </w:t>
            </w:r>
            <w:r>
              <w:rPr>
                <w:rFonts w:hint="eastAsia" w:ascii="仿宋" w:hAnsi="仿宋" w:eastAsia="仿宋"/>
                <w:sz w:val="24"/>
                <w:szCs w:val="24"/>
                <w:u w:val="single"/>
                <w:lang w:val="en-US" w:eastAsia="zh-CN"/>
              </w:rPr>
              <w:t>03</w:t>
            </w:r>
            <w:r>
              <w:rPr>
                <w:rFonts w:ascii="仿宋" w:hAnsi="仿宋" w:eastAsia="仿宋"/>
                <w:sz w:val="24"/>
                <w:szCs w:val="24"/>
                <w:u w:val="single"/>
              </w:rPr>
              <w:t xml:space="preserve"> </w:t>
            </w:r>
            <w:r>
              <w:rPr>
                <w:rFonts w:hint="eastAsia" w:ascii="仿宋" w:hAnsi="仿宋" w:eastAsia="仿宋"/>
                <w:sz w:val="24"/>
                <w:szCs w:val="24"/>
                <w:lang w:val="zh-CN"/>
              </w:rPr>
              <w:t>月</w:t>
            </w:r>
            <w:r>
              <w:rPr>
                <w:rFonts w:hint="eastAsia" w:ascii="仿宋" w:hAnsi="仿宋" w:eastAsia="仿宋"/>
                <w:sz w:val="24"/>
                <w:szCs w:val="24"/>
                <w:lang w:val="en-US" w:eastAsia="zh-CN"/>
              </w:rPr>
              <w:t>23</w:t>
            </w:r>
            <w:r>
              <w:rPr>
                <w:rFonts w:ascii="仿宋" w:hAnsi="仿宋" w:eastAsia="仿宋"/>
                <w:sz w:val="24"/>
                <w:szCs w:val="24"/>
                <w:u w:val="single"/>
              </w:rPr>
              <w:t xml:space="preserve">  </w:t>
            </w:r>
            <w:r>
              <w:rPr>
                <w:rFonts w:hint="eastAsia" w:ascii="仿宋" w:hAnsi="仿宋" w:eastAsia="仿宋"/>
                <w:sz w:val="24"/>
                <w:szCs w:val="24"/>
                <w:lang w:val="zh-CN"/>
              </w:rPr>
              <w:t>日</w:t>
            </w:r>
            <w:r>
              <w:rPr>
                <w:rFonts w:ascii="仿宋" w:hAnsi="仿宋" w:eastAsia="仿宋"/>
                <w:sz w:val="24"/>
                <w:szCs w:val="24"/>
                <w:u w:val="single"/>
              </w:rPr>
              <w:t>17</w:t>
            </w:r>
            <w:r>
              <w:rPr>
                <w:rFonts w:hint="eastAsia" w:ascii="仿宋" w:hAnsi="仿宋" w:eastAsia="仿宋"/>
                <w:sz w:val="24"/>
                <w:szCs w:val="24"/>
                <w:lang w:val="zh-CN"/>
              </w:rPr>
              <w:t>时</w:t>
            </w:r>
            <w:r>
              <w:rPr>
                <w:rFonts w:hint="eastAsia" w:ascii="仿宋" w:hAnsi="仿宋" w:eastAsia="仿宋"/>
                <w:sz w:val="24"/>
                <w:szCs w:val="24"/>
                <w:u w:val="single"/>
                <w:lang w:val="zh-CN"/>
              </w:rPr>
              <w:t>00</w:t>
            </w:r>
            <w:r>
              <w:rPr>
                <w:rFonts w:hint="eastAsia" w:ascii="仿宋" w:hAnsi="仿宋" w:eastAsia="仿宋"/>
                <w:sz w:val="24"/>
                <w:szCs w:val="24"/>
                <w:lang w:val="zh-CN"/>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2.3</w:t>
            </w:r>
          </w:p>
        </w:tc>
        <w:tc>
          <w:tcPr>
            <w:tcW w:w="2382"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lang w:val="zh-CN"/>
              </w:rPr>
              <w:t>竞争性谈判文件修改截止时间</w:t>
            </w:r>
          </w:p>
        </w:tc>
        <w:tc>
          <w:tcPr>
            <w:tcW w:w="6257" w:type="dxa"/>
            <w:vAlign w:val="center"/>
          </w:tcPr>
          <w:p>
            <w:pPr>
              <w:spacing w:line="320" w:lineRule="exact"/>
              <w:rPr>
                <w:rFonts w:hint="eastAsia" w:ascii="仿宋" w:hAnsi="仿宋" w:eastAsia="仿宋"/>
                <w:sz w:val="24"/>
                <w:szCs w:val="24"/>
              </w:rPr>
            </w:pPr>
            <w:r>
              <w:rPr>
                <w:rFonts w:ascii="仿宋" w:hAnsi="仿宋" w:eastAsia="仿宋"/>
                <w:sz w:val="24"/>
                <w:szCs w:val="24"/>
                <w:u w:val="single"/>
                <w:lang w:val="zh-CN"/>
              </w:rPr>
              <w:t>20</w:t>
            </w:r>
            <w:r>
              <w:rPr>
                <w:rFonts w:hint="eastAsia" w:ascii="仿宋" w:hAnsi="仿宋" w:eastAsia="仿宋"/>
                <w:sz w:val="24"/>
                <w:szCs w:val="24"/>
                <w:u w:val="single"/>
                <w:lang w:val="en-US" w:eastAsia="zh-CN"/>
              </w:rPr>
              <w:t>20</w:t>
            </w:r>
            <w:r>
              <w:rPr>
                <w:rFonts w:hint="eastAsia" w:ascii="仿宋" w:hAnsi="仿宋" w:eastAsia="仿宋"/>
                <w:sz w:val="24"/>
                <w:szCs w:val="24"/>
                <w:u w:val="single"/>
                <w:lang w:val="zh-CN"/>
              </w:rPr>
              <w:t xml:space="preserve"> </w:t>
            </w:r>
            <w:r>
              <w:rPr>
                <w:rFonts w:hint="eastAsia" w:ascii="仿宋" w:hAnsi="仿宋" w:eastAsia="仿宋" w:cs="宋体"/>
                <w:sz w:val="24"/>
                <w:szCs w:val="24"/>
                <w:lang w:val="zh-CN"/>
              </w:rPr>
              <w:t>年</w:t>
            </w:r>
            <w:r>
              <w:rPr>
                <w:rFonts w:ascii="仿宋" w:hAnsi="仿宋" w:eastAsia="仿宋"/>
                <w:sz w:val="24"/>
                <w:szCs w:val="24"/>
                <w:u w:val="single"/>
              </w:rPr>
              <w:t xml:space="preserve"> </w:t>
            </w:r>
            <w:r>
              <w:rPr>
                <w:rFonts w:hint="eastAsia" w:ascii="仿宋" w:hAnsi="仿宋" w:eastAsia="仿宋"/>
                <w:sz w:val="24"/>
                <w:szCs w:val="24"/>
                <w:u w:val="single"/>
                <w:lang w:val="en-US" w:eastAsia="zh-CN"/>
              </w:rPr>
              <w:t>03</w:t>
            </w:r>
            <w:r>
              <w:rPr>
                <w:rFonts w:ascii="仿宋" w:hAnsi="仿宋" w:eastAsia="仿宋"/>
                <w:sz w:val="24"/>
                <w:szCs w:val="24"/>
                <w:u w:val="single"/>
              </w:rPr>
              <w:t xml:space="preserve"> </w:t>
            </w:r>
            <w:r>
              <w:rPr>
                <w:rFonts w:hint="eastAsia" w:ascii="仿宋" w:hAnsi="仿宋" w:eastAsia="仿宋" w:cs="宋体"/>
                <w:sz w:val="24"/>
                <w:szCs w:val="24"/>
                <w:lang w:val="zh-CN"/>
              </w:rPr>
              <w:t>月</w:t>
            </w:r>
            <w:r>
              <w:rPr>
                <w:rFonts w:ascii="仿宋" w:hAnsi="仿宋" w:eastAsia="仿宋"/>
                <w:sz w:val="24"/>
                <w:szCs w:val="24"/>
                <w:u w:val="single"/>
              </w:rPr>
              <w:t xml:space="preserve"> </w:t>
            </w:r>
            <w:r>
              <w:rPr>
                <w:rFonts w:hint="eastAsia" w:ascii="仿宋" w:hAnsi="仿宋" w:eastAsia="仿宋"/>
                <w:sz w:val="24"/>
                <w:szCs w:val="24"/>
                <w:u w:val="single"/>
                <w:lang w:val="en-US" w:eastAsia="zh-CN"/>
              </w:rPr>
              <w:t>23</w:t>
            </w:r>
            <w:r>
              <w:rPr>
                <w:rFonts w:ascii="仿宋" w:hAnsi="仿宋" w:eastAsia="仿宋"/>
                <w:sz w:val="24"/>
                <w:szCs w:val="24"/>
                <w:u w:val="single"/>
              </w:rPr>
              <w:t xml:space="preserve"> </w:t>
            </w:r>
            <w:r>
              <w:rPr>
                <w:rFonts w:hint="eastAsia" w:ascii="仿宋" w:hAnsi="仿宋" w:eastAsia="仿宋" w:cs="宋体"/>
                <w:sz w:val="24"/>
                <w:szCs w:val="24"/>
                <w:lang w:val="zh-CN"/>
              </w:rPr>
              <w:t>日</w:t>
            </w:r>
            <w:r>
              <w:rPr>
                <w:rFonts w:hint="eastAsia" w:ascii="仿宋" w:hAnsi="仿宋" w:eastAsia="仿宋"/>
                <w:sz w:val="24"/>
                <w:szCs w:val="24"/>
                <w:u w:val="single"/>
                <w:lang w:val="zh-CN"/>
              </w:rPr>
              <w:t>1</w:t>
            </w:r>
            <w:r>
              <w:rPr>
                <w:rFonts w:ascii="仿宋" w:hAnsi="仿宋" w:eastAsia="仿宋"/>
                <w:sz w:val="24"/>
                <w:szCs w:val="24"/>
                <w:u w:val="single"/>
                <w:lang w:val="zh-CN"/>
              </w:rPr>
              <w:t>7</w:t>
            </w:r>
            <w:r>
              <w:rPr>
                <w:rFonts w:hint="eastAsia" w:ascii="仿宋" w:hAnsi="仿宋" w:eastAsia="仿宋" w:cs="宋体"/>
                <w:sz w:val="24"/>
                <w:szCs w:val="24"/>
                <w:lang w:val="zh-CN"/>
              </w:rPr>
              <w:t>时</w:t>
            </w:r>
            <w:r>
              <w:rPr>
                <w:rFonts w:ascii="仿宋" w:hAnsi="仿宋" w:eastAsia="仿宋"/>
                <w:sz w:val="24"/>
                <w:szCs w:val="24"/>
                <w:u w:val="single"/>
                <w:lang w:val="zh-CN"/>
              </w:rPr>
              <w:t>00</w:t>
            </w:r>
            <w:r>
              <w:rPr>
                <w:rFonts w:hint="eastAsia" w:ascii="仿宋" w:hAnsi="仿宋" w:eastAsia="仿宋" w:cs="宋体"/>
                <w:sz w:val="24"/>
                <w:szCs w:val="24"/>
                <w:lang w:val="zh-CN"/>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3.3</w:t>
            </w:r>
          </w:p>
        </w:tc>
        <w:tc>
          <w:tcPr>
            <w:tcW w:w="2382"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报价</w:t>
            </w:r>
          </w:p>
        </w:tc>
        <w:tc>
          <w:tcPr>
            <w:tcW w:w="6257" w:type="dxa"/>
            <w:vAlign w:val="center"/>
          </w:tcPr>
          <w:p>
            <w:pPr>
              <w:spacing w:line="320" w:lineRule="exact"/>
              <w:rPr>
                <w:rFonts w:hint="eastAsia" w:ascii="仿宋" w:hAnsi="仿宋" w:eastAsia="仿宋"/>
                <w:sz w:val="24"/>
                <w:szCs w:val="24"/>
              </w:rPr>
            </w:pPr>
            <w:r>
              <w:rPr>
                <w:rFonts w:hint="eastAsia" w:ascii="仿宋" w:hAnsi="仿宋" w:eastAsia="仿宋"/>
                <w:sz w:val="24"/>
                <w:szCs w:val="24"/>
              </w:rPr>
              <w:t>补充详细要求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3.4.1</w:t>
            </w:r>
          </w:p>
        </w:tc>
        <w:tc>
          <w:tcPr>
            <w:tcW w:w="2382"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竞争性谈判有效期</w:t>
            </w:r>
          </w:p>
        </w:tc>
        <w:tc>
          <w:tcPr>
            <w:tcW w:w="6257" w:type="dxa"/>
            <w:vAlign w:val="center"/>
          </w:tcPr>
          <w:p>
            <w:pPr>
              <w:spacing w:line="320" w:lineRule="exact"/>
              <w:rPr>
                <w:rFonts w:hint="eastAsia" w:ascii="仿宋" w:hAnsi="仿宋" w:eastAsia="仿宋"/>
                <w:sz w:val="24"/>
                <w:szCs w:val="24"/>
                <w:lang w:val="en-US" w:eastAsia="zh-CN"/>
              </w:rPr>
            </w:pPr>
            <w:r>
              <w:rPr>
                <w:rFonts w:hint="eastAsia" w:ascii="仿宋" w:hAnsi="仿宋" w:eastAsia="仿宋"/>
                <w:sz w:val="24"/>
                <w:szCs w:val="24"/>
                <w:u w:val="singl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43"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3.5.1</w:t>
            </w:r>
          </w:p>
        </w:tc>
        <w:tc>
          <w:tcPr>
            <w:tcW w:w="2382"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竞争性谈判担保</w:t>
            </w:r>
          </w:p>
        </w:tc>
        <w:tc>
          <w:tcPr>
            <w:tcW w:w="6257" w:type="dxa"/>
            <w:vAlign w:val="center"/>
          </w:tcPr>
          <w:p>
            <w:pPr>
              <w:widowControl/>
              <w:shd w:val="clear" w:color="auto" w:fill="FFFFFF"/>
              <w:spacing w:line="360" w:lineRule="auto"/>
              <w:ind w:firstLine="480" w:firstLineChars="200"/>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1.形式：采用保函形式（参考格式见附件）</w:t>
            </w:r>
          </w:p>
          <w:p>
            <w:pPr>
              <w:widowControl/>
              <w:shd w:val="clear" w:color="auto" w:fill="FFFFFF"/>
              <w:spacing w:line="360" w:lineRule="auto"/>
              <w:ind w:firstLine="480" w:firstLineChars="200"/>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xml:space="preserve">2.金额    </w:t>
            </w:r>
            <w:r>
              <w:rPr>
                <w:rFonts w:hint="eastAsia" w:ascii="仿宋_GB2312" w:hAnsi="仿宋" w:eastAsia="仿宋_GB2312" w:cs="宋体"/>
                <w:color w:val="000000"/>
                <w:kern w:val="0"/>
                <w:sz w:val="24"/>
                <w:szCs w:val="24"/>
                <w:lang w:val="en-US" w:eastAsia="zh-CN"/>
              </w:rPr>
              <w:t>0</w:t>
            </w:r>
            <w:bookmarkStart w:id="652" w:name="_GoBack"/>
            <w:bookmarkEnd w:id="652"/>
            <w:r>
              <w:rPr>
                <w:rFonts w:hint="eastAsia" w:ascii="仿宋_GB2312" w:hAnsi="仿宋" w:eastAsia="仿宋_GB2312" w:cs="宋体"/>
                <w:color w:val="000000"/>
                <w:kern w:val="0"/>
                <w:sz w:val="24"/>
                <w:szCs w:val="24"/>
              </w:rPr>
              <w:t xml:space="preserve"> 元</w:t>
            </w:r>
          </w:p>
          <w:p>
            <w:pPr>
              <w:widowControl/>
              <w:shd w:val="clear" w:color="auto" w:fill="FFFFFF"/>
              <w:spacing w:line="360" w:lineRule="auto"/>
              <w:ind w:firstLine="480" w:firstLineChars="200"/>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3.若无法提供保函，请提供同等金额的竞争性谈判保证金，账户信息如下：</w:t>
            </w:r>
          </w:p>
          <w:p>
            <w:pPr>
              <w:widowControl/>
              <w:shd w:val="clear" w:color="auto" w:fill="FFFFFF"/>
              <w:spacing w:line="360" w:lineRule="auto"/>
              <w:ind w:firstLine="480" w:firstLineChars="200"/>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户名：</w:t>
            </w:r>
          </w:p>
          <w:p>
            <w:pPr>
              <w:widowControl/>
              <w:shd w:val="clear" w:color="auto" w:fill="FFFFFF"/>
              <w:spacing w:line="360" w:lineRule="auto"/>
              <w:ind w:firstLine="480" w:firstLineChars="200"/>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开户银行：</w:t>
            </w:r>
          </w:p>
          <w:p>
            <w:pPr>
              <w:widowControl/>
              <w:shd w:val="clear" w:color="auto" w:fill="FFFFFF"/>
              <w:spacing w:line="360" w:lineRule="auto"/>
              <w:ind w:firstLine="480" w:firstLineChars="200"/>
              <w:rPr>
                <w:rFonts w:hint="eastAsia"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xml:space="preserve">账号： </w:t>
            </w:r>
          </w:p>
          <w:p>
            <w:pPr>
              <w:widowControl/>
              <w:shd w:val="clear" w:color="auto" w:fill="FFFFFF"/>
              <w:spacing w:line="360" w:lineRule="auto"/>
              <w:ind w:firstLine="480" w:firstLineChars="200"/>
              <w:rPr>
                <w:rFonts w:ascii="仿宋_GB2312" w:hAnsi="仿宋" w:eastAsia="仿宋_GB2312" w:cs="宋体"/>
                <w:color w:val="000000"/>
                <w:kern w:val="0"/>
                <w:sz w:val="24"/>
                <w:szCs w:val="24"/>
              </w:rPr>
            </w:pPr>
            <w:r>
              <w:rPr>
                <w:rFonts w:hint="eastAsia" w:ascii="仿宋_GB2312" w:hAnsi="仿宋" w:eastAsia="仿宋_GB2312" w:cs="宋体"/>
                <w:color w:val="000000"/>
                <w:kern w:val="0"/>
                <w:sz w:val="24"/>
                <w:szCs w:val="24"/>
              </w:rPr>
              <w:t xml:space="preserve">行号：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3" w:type="dxa"/>
            <w:vMerge w:val="restart"/>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3.7</w:t>
            </w:r>
          </w:p>
        </w:tc>
        <w:tc>
          <w:tcPr>
            <w:tcW w:w="2382"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响应文件份数</w:t>
            </w:r>
          </w:p>
        </w:tc>
        <w:tc>
          <w:tcPr>
            <w:tcW w:w="6257" w:type="dxa"/>
            <w:vAlign w:val="center"/>
          </w:tcPr>
          <w:p>
            <w:pPr>
              <w:spacing w:line="320" w:lineRule="exact"/>
              <w:rPr>
                <w:rFonts w:ascii="仿宋" w:hAnsi="仿宋" w:eastAsia="仿宋"/>
                <w:sz w:val="24"/>
                <w:szCs w:val="24"/>
              </w:rPr>
            </w:pPr>
            <w:r>
              <w:rPr>
                <w:rFonts w:hint="eastAsia" w:ascii="仿宋" w:hAnsi="仿宋" w:eastAsia="仿宋"/>
                <w:b/>
                <w:kern w:val="0"/>
                <w:sz w:val="24"/>
                <w:szCs w:val="24"/>
              </w:rPr>
              <w:t>正本</w:t>
            </w:r>
            <w:r>
              <w:rPr>
                <w:rFonts w:hint="eastAsia" w:ascii="仿宋" w:hAnsi="仿宋" w:eastAsia="仿宋"/>
                <w:b/>
                <w:kern w:val="0"/>
                <w:sz w:val="24"/>
                <w:szCs w:val="24"/>
                <w:lang w:val="en-US" w:eastAsia="zh-CN"/>
              </w:rPr>
              <w:t>1</w:t>
            </w:r>
            <w:r>
              <w:rPr>
                <w:rFonts w:hint="eastAsia" w:ascii="仿宋" w:hAnsi="仿宋" w:eastAsia="仿宋"/>
                <w:b/>
                <w:bCs/>
                <w:iCs/>
                <w:kern w:val="0"/>
                <w:sz w:val="24"/>
                <w:szCs w:val="24"/>
              </w:rPr>
              <w:t xml:space="preserve">   </w:t>
            </w:r>
            <w:r>
              <w:rPr>
                <w:rFonts w:hint="eastAsia" w:ascii="仿宋" w:hAnsi="仿宋" w:eastAsia="仿宋"/>
                <w:b/>
                <w:kern w:val="0"/>
                <w:sz w:val="24"/>
                <w:szCs w:val="24"/>
              </w:rPr>
              <w:t>份副本</w:t>
            </w:r>
            <w:r>
              <w:rPr>
                <w:rFonts w:hint="eastAsia" w:ascii="仿宋" w:hAnsi="仿宋" w:eastAsia="仿宋"/>
                <w:b/>
                <w:bCs/>
                <w:iCs/>
                <w:kern w:val="0"/>
                <w:sz w:val="24"/>
                <w:szCs w:val="24"/>
              </w:rPr>
              <w:t xml:space="preserve"> </w:t>
            </w:r>
            <w:r>
              <w:rPr>
                <w:rFonts w:hint="eastAsia" w:ascii="仿宋" w:hAnsi="仿宋" w:eastAsia="仿宋"/>
                <w:b/>
                <w:bCs/>
                <w:iCs/>
                <w:kern w:val="0"/>
                <w:sz w:val="24"/>
                <w:szCs w:val="24"/>
                <w:lang w:val="en-US" w:eastAsia="zh-CN"/>
              </w:rPr>
              <w:t>1</w:t>
            </w:r>
            <w:r>
              <w:rPr>
                <w:rFonts w:hint="eastAsia" w:ascii="仿宋" w:hAnsi="仿宋" w:eastAsia="仿宋"/>
                <w:b/>
                <w:bCs/>
                <w:iCs/>
                <w:kern w:val="0"/>
                <w:sz w:val="24"/>
                <w:szCs w:val="24"/>
              </w:rPr>
              <w:t xml:space="preserve">  </w:t>
            </w:r>
            <w:r>
              <w:rPr>
                <w:rFonts w:hint="eastAsia" w:ascii="仿宋" w:hAnsi="仿宋" w:eastAsia="仿宋"/>
                <w:b/>
                <w:kern w:val="0"/>
                <w:sz w:val="24"/>
                <w:szCs w:val="24"/>
              </w:rPr>
              <w:t>份；</w:t>
            </w:r>
            <w:r>
              <w:rPr>
                <w:rFonts w:hint="eastAsia" w:ascii="仿宋" w:hAnsi="仿宋" w:eastAsia="仿宋"/>
                <w:b/>
                <w:bCs/>
                <w:iCs/>
                <w:kern w:val="0"/>
                <w:sz w:val="24"/>
                <w:szCs w:val="24"/>
              </w:rPr>
              <w:t>电子文档1份封包在正本（注明单位及项目名称），</w:t>
            </w:r>
            <w:r>
              <w:rPr>
                <w:rFonts w:ascii="仿宋" w:hAnsi="仿宋" w:eastAsia="仿宋"/>
                <w:b/>
                <w:bCs/>
                <w:iCs/>
                <w:color w:val="FF0000"/>
                <w:kern w:val="0"/>
                <w:sz w:val="32"/>
                <w:szCs w:val="32"/>
              </w:rPr>
              <w:t>须密封</w:t>
            </w:r>
            <w:r>
              <w:rPr>
                <w:rFonts w:hint="eastAsia" w:ascii="仿宋" w:hAnsi="仿宋" w:eastAsia="仿宋"/>
                <w:b/>
                <w:bCs/>
                <w:iCs/>
                <w:color w:val="FF0000"/>
                <w:kern w:val="0"/>
                <w:sz w:val="32"/>
                <w:szCs w:val="32"/>
              </w:rPr>
              <w:t>提交直接邮寄到我公司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3" w:type="dxa"/>
            <w:vMerge w:val="continue"/>
            <w:vAlign w:val="center"/>
          </w:tcPr>
          <w:p>
            <w:pPr>
              <w:spacing w:line="320" w:lineRule="exact"/>
              <w:jc w:val="center"/>
              <w:rPr>
                <w:rFonts w:hint="eastAsia" w:ascii="仿宋" w:hAnsi="仿宋" w:eastAsia="仿宋"/>
                <w:sz w:val="24"/>
                <w:szCs w:val="24"/>
              </w:rPr>
            </w:pPr>
          </w:p>
        </w:tc>
        <w:tc>
          <w:tcPr>
            <w:tcW w:w="2382" w:type="dxa"/>
            <w:vAlign w:val="center"/>
          </w:tcPr>
          <w:p>
            <w:pPr>
              <w:pStyle w:val="25"/>
              <w:spacing w:line="240" w:lineRule="atLeast"/>
              <w:jc w:val="center"/>
              <w:rPr>
                <w:rFonts w:hint="eastAsia" w:ascii="仿宋" w:hAnsi="仿宋" w:eastAsia="仿宋" w:cs="宋体"/>
                <w:lang w:val="zh-CN"/>
              </w:rPr>
            </w:pPr>
            <w:r>
              <w:rPr>
                <w:rFonts w:hint="eastAsia" w:ascii="仿宋" w:hAnsi="仿宋" w:eastAsia="仿宋" w:cs="宋体"/>
                <w:lang w:val="zh-CN"/>
              </w:rPr>
              <w:t>装订要求详见须知前附表</w:t>
            </w:r>
          </w:p>
        </w:tc>
        <w:tc>
          <w:tcPr>
            <w:tcW w:w="6257" w:type="dxa"/>
            <w:vAlign w:val="center"/>
          </w:tcPr>
          <w:p>
            <w:pPr>
              <w:pStyle w:val="25"/>
              <w:spacing w:line="240" w:lineRule="atLeast"/>
              <w:rPr>
                <w:rFonts w:ascii="仿宋" w:hAnsi="仿宋" w:eastAsia="仿宋" w:cs="宋体"/>
                <w:lang w:val="zh-CN"/>
              </w:rPr>
            </w:pPr>
            <w:bookmarkStart w:id="73" w:name="_Toc449101784"/>
            <w:r>
              <w:rPr>
                <w:rFonts w:hint="eastAsia" w:ascii="仿宋" w:hAnsi="仿宋" w:eastAsia="仿宋" w:cs="宋体"/>
                <w:lang w:val="zh-CN"/>
              </w:rPr>
              <w:t>1、响应文件按竞争性</w:t>
            </w:r>
            <w:r>
              <w:rPr>
                <w:rFonts w:ascii="仿宋" w:hAnsi="仿宋" w:eastAsia="仿宋" w:cs="宋体"/>
                <w:lang w:val="zh-CN"/>
              </w:rPr>
              <w:t>谈判</w:t>
            </w:r>
            <w:r>
              <w:rPr>
                <w:rFonts w:hint="eastAsia" w:ascii="仿宋" w:hAnsi="仿宋" w:eastAsia="仿宋" w:cs="宋体"/>
                <w:lang w:val="zh-CN"/>
              </w:rPr>
              <w:t>文件“第四章  响应文件格式及内容”要求装订，装订成一册或分册装订由响应人自行决定，不作统一要求。</w:t>
            </w:r>
            <w:bookmarkEnd w:id="73"/>
          </w:p>
          <w:p>
            <w:pPr>
              <w:pStyle w:val="25"/>
              <w:spacing w:line="240" w:lineRule="atLeast"/>
              <w:rPr>
                <w:rFonts w:ascii="仿宋" w:hAnsi="仿宋" w:eastAsia="仿宋" w:cs="宋体"/>
                <w:lang w:val="zh-CN"/>
              </w:rPr>
            </w:pPr>
            <w:bookmarkStart w:id="74" w:name="_Toc449101785"/>
            <w:r>
              <w:rPr>
                <w:rFonts w:hint="eastAsia" w:ascii="仿宋" w:hAnsi="仿宋" w:eastAsia="仿宋" w:cs="宋体"/>
                <w:lang w:val="zh-CN"/>
              </w:rPr>
              <w:t>2、若响应人将响应文件的商务部分和技术部分分开</w:t>
            </w:r>
            <w:r>
              <w:rPr>
                <w:rFonts w:ascii="仿宋" w:hAnsi="仿宋" w:eastAsia="仿宋" w:cs="宋体"/>
                <w:lang w:val="zh-CN"/>
              </w:rPr>
              <w:t>装订</w:t>
            </w:r>
            <w:r>
              <w:rPr>
                <w:rFonts w:hint="eastAsia" w:ascii="仿宋" w:hAnsi="仿宋" w:eastAsia="仿宋" w:cs="宋体"/>
                <w:lang w:val="zh-CN"/>
              </w:rPr>
              <w:t>，在响应文件封面上增加“商务部分”或“技术部分”。</w:t>
            </w:r>
            <w:bookmarkEnd w:id="74"/>
          </w:p>
          <w:p>
            <w:pPr>
              <w:pStyle w:val="25"/>
              <w:spacing w:line="240" w:lineRule="atLeast"/>
              <w:rPr>
                <w:rFonts w:ascii="仿宋" w:hAnsi="仿宋" w:eastAsia="仿宋" w:cs="宋体"/>
                <w:lang w:val="zh-CN"/>
              </w:rPr>
            </w:pPr>
            <w:bookmarkStart w:id="75" w:name="_Toc449101786"/>
            <w:r>
              <w:rPr>
                <w:rFonts w:hint="eastAsia" w:ascii="仿宋" w:hAnsi="仿宋" w:eastAsia="仿宋" w:cs="宋体"/>
                <w:lang w:val="zh-CN"/>
              </w:rPr>
              <w:t>3、响应文件必须固定胶装，不允许使用活页夹、订书钉等可能导致竞争性谈判响应文件散落或脱页的装订方式，否则文件失散引起的后果自负。</w:t>
            </w:r>
            <w:bookmarkEnd w:id="75"/>
          </w:p>
          <w:p>
            <w:pPr>
              <w:pStyle w:val="25"/>
              <w:spacing w:line="240" w:lineRule="atLeast"/>
              <w:rPr>
                <w:rFonts w:hint="eastAsia" w:ascii="仿宋" w:hAnsi="仿宋" w:eastAsia="仿宋" w:cs="宋体"/>
                <w:lang w:val="zh-CN"/>
              </w:rPr>
            </w:pPr>
            <w:r>
              <w:rPr>
                <w:rFonts w:hint="eastAsia" w:ascii="仿宋" w:hAnsi="仿宋" w:eastAsia="仿宋" w:cs="宋体"/>
                <w:lang w:val="zh-CN"/>
              </w:rPr>
              <w:t>4、提供竞争性谈判响应文件电子文件一份（</w:t>
            </w:r>
            <w:r>
              <w:rPr>
                <w:rFonts w:ascii="仿宋" w:hAnsi="仿宋" w:eastAsia="仿宋" w:cs="宋体"/>
                <w:lang w:val="zh-CN"/>
              </w:rPr>
              <w:t>U</w:t>
            </w:r>
            <w:r>
              <w:rPr>
                <w:rFonts w:hint="eastAsia" w:ascii="仿宋" w:hAnsi="仿宋" w:eastAsia="仿宋" w:cs="宋体"/>
                <w:lang w:val="zh-CN"/>
              </w:rPr>
              <w:t>盘）。电子</w:t>
            </w:r>
            <w:r>
              <w:rPr>
                <w:rFonts w:ascii="仿宋" w:hAnsi="仿宋" w:eastAsia="仿宋" w:cs="宋体"/>
                <w:lang w:val="zh-CN"/>
              </w:rPr>
              <w:t>文件应为</w:t>
            </w:r>
            <w:r>
              <w:rPr>
                <w:rFonts w:hint="eastAsia" w:ascii="仿宋" w:hAnsi="仿宋" w:eastAsia="仿宋" w:cs="宋体"/>
                <w:lang w:val="zh-CN"/>
              </w:rPr>
              <w:t>可编辑的</w:t>
            </w:r>
            <w:r>
              <w:rPr>
                <w:rFonts w:ascii="仿宋" w:hAnsi="仿宋" w:eastAsia="仿宋" w:cs="宋体"/>
                <w:lang w:val="zh-CN"/>
              </w:rPr>
              <w:t>WORD</w:t>
            </w:r>
            <w:r>
              <w:rPr>
                <w:rFonts w:hint="eastAsia" w:ascii="仿宋" w:hAnsi="仿宋" w:eastAsia="仿宋" w:cs="宋体"/>
                <w:lang w:val="zh-CN"/>
              </w:rPr>
              <w:t>和</w:t>
            </w:r>
            <w:r>
              <w:rPr>
                <w:rFonts w:ascii="仿宋" w:hAnsi="仿宋" w:eastAsia="仿宋" w:cs="宋体"/>
                <w:lang w:val="zh-CN"/>
              </w:rPr>
              <w:t>EXCEL</w:t>
            </w:r>
            <w:r>
              <w:rPr>
                <w:rFonts w:hint="eastAsia" w:ascii="仿宋" w:hAnsi="仿宋" w:eastAsia="仿宋" w:cs="宋体"/>
                <w:lang w:val="zh-CN"/>
              </w:rPr>
              <w:t>格式，为全部、完整竞争性谈判响应文件。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3" w:type="dxa"/>
            <w:vMerge w:val="continue"/>
            <w:vAlign w:val="center"/>
          </w:tcPr>
          <w:p>
            <w:pPr>
              <w:spacing w:line="320" w:lineRule="exact"/>
              <w:jc w:val="center"/>
              <w:rPr>
                <w:rFonts w:hint="eastAsia" w:ascii="仿宋" w:hAnsi="仿宋" w:eastAsia="仿宋"/>
                <w:sz w:val="24"/>
                <w:szCs w:val="24"/>
              </w:rPr>
            </w:pPr>
          </w:p>
        </w:tc>
        <w:tc>
          <w:tcPr>
            <w:tcW w:w="2382" w:type="dxa"/>
            <w:vAlign w:val="center"/>
          </w:tcPr>
          <w:p>
            <w:pPr>
              <w:spacing w:line="320" w:lineRule="exact"/>
              <w:jc w:val="center"/>
              <w:rPr>
                <w:rFonts w:hint="eastAsia" w:ascii="仿宋" w:hAnsi="仿宋" w:eastAsia="仿宋"/>
                <w:sz w:val="24"/>
                <w:szCs w:val="24"/>
              </w:rPr>
            </w:pPr>
            <w:r>
              <w:rPr>
                <w:rFonts w:hint="eastAsia" w:ascii="仿宋" w:hAnsi="仿宋" w:eastAsia="仿宋" w:cs="宋体"/>
                <w:kern w:val="0"/>
                <w:sz w:val="24"/>
              </w:rPr>
              <w:t>密封要求详见须知前附表</w:t>
            </w:r>
          </w:p>
        </w:tc>
        <w:tc>
          <w:tcPr>
            <w:tcW w:w="6257" w:type="dxa"/>
            <w:vAlign w:val="center"/>
          </w:tcPr>
          <w:p>
            <w:pPr>
              <w:pStyle w:val="25"/>
              <w:jc w:val="both"/>
              <w:rPr>
                <w:rFonts w:hint="eastAsia" w:ascii="仿宋" w:hAnsi="仿宋" w:eastAsia="仿宋"/>
                <w:b/>
                <w:kern w:val="0"/>
              </w:rPr>
            </w:pPr>
            <w:r>
              <w:rPr>
                <w:rFonts w:ascii="仿宋" w:hAnsi="仿宋" w:eastAsia="仿宋" w:cs="宋体"/>
                <w:lang w:val="zh-CN"/>
              </w:rPr>
              <w:t>响应文件应全部密封递交。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3" w:type="dxa"/>
            <w:vAlign w:val="center"/>
          </w:tcPr>
          <w:p>
            <w:pPr>
              <w:spacing w:line="320" w:lineRule="exact"/>
              <w:jc w:val="center"/>
              <w:rPr>
                <w:rFonts w:hint="eastAsia" w:ascii="仿宋" w:hAnsi="仿宋" w:eastAsia="仿宋"/>
                <w:sz w:val="24"/>
                <w:szCs w:val="24"/>
              </w:rPr>
            </w:pPr>
            <w:r>
              <w:rPr>
                <w:rFonts w:hint="eastAsia" w:ascii="仿宋" w:hAnsi="仿宋" w:eastAsia="仿宋"/>
                <w:sz w:val="24"/>
                <w:szCs w:val="24"/>
              </w:rPr>
              <w:t>4</w:t>
            </w:r>
          </w:p>
        </w:tc>
        <w:tc>
          <w:tcPr>
            <w:tcW w:w="2382" w:type="dxa"/>
            <w:vAlign w:val="center"/>
          </w:tcPr>
          <w:p>
            <w:pPr>
              <w:spacing w:line="320" w:lineRule="exact"/>
              <w:jc w:val="center"/>
              <w:rPr>
                <w:rFonts w:hint="eastAsia" w:ascii="仿宋" w:hAnsi="仿宋" w:eastAsia="仿宋"/>
                <w:b/>
                <w:sz w:val="24"/>
                <w:szCs w:val="24"/>
                <w:lang w:val="zh-CN"/>
              </w:rPr>
            </w:pPr>
            <w:r>
              <w:rPr>
                <w:rFonts w:hint="eastAsia" w:ascii="仿宋" w:hAnsi="仿宋" w:eastAsia="仿宋"/>
                <w:b/>
                <w:sz w:val="24"/>
                <w:szCs w:val="24"/>
              </w:rPr>
              <w:t>竞争性谈判人员</w:t>
            </w:r>
            <w:r>
              <w:rPr>
                <w:rFonts w:ascii="仿宋" w:hAnsi="仿宋" w:eastAsia="仿宋"/>
                <w:b/>
                <w:sz w:val="24"/>
                <w:szCs w:val="24"/>
              </w:rPr>
              <w:t>要求</w:t>
            </w:r>
          </w:p>
        </w:tc>
        <w:tc>
          <w:tcPr>
            <w:tcW w:w="6257" w:type="dxa"/>
            <w:vAlign w:val="center"/>
          </w:tcPr>
          <w:p>
            <w:pPr>
              <w:pStyle w:val="25"/>
              <w:snapToGrid w:val="0"/>
              <w:spacing w:line="240" w:lineRule="atLeast"/>
              <w:rPr>
                <w:rFonts w:ascii="仿宋" w:hAnsi="仿宋" w:eastAsia="仿宋"/>
                <w:b/>
              </w:rPr>
            </w:pPr>
            <w:r>
              <w:rPr>
                <w:rFonts w:hint="eastAsia" w:ascii="仿宋" w:hAnsi="仿宋" w:eastAsia="仿宋"/>
                <w:b/>
              </w:rPr>
              <w:t>响应人的法定代表人或委托代理人（须携带法人授权委托书原件及身份证原件，否则视为自动弃权）和相关技术人员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043"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5.4</w:t>
            </w:r>
          </w:p>
        </w:tc>
        <w:tc>
          <w:tcPr>
            <w:tcW w:w="2382" w:type="dxa"/>
            <w:vAlign w:val="center"/>
          </w:tcPr>
          <w:p>
            <w:pPr>
              <w:spacing w:line="320" w:lineRule="exact"/>
              <w:jc w:val="center"/>
              <w:rPr>
                <w:rFonts w:ascii="仿宋" w:hAnsi="仿宋" w:eastAsia="仿宋"/>
                <w:sz w:val="24"/>
                <w:szCs w:val="24"/>
              </w:rPr>
            </w:pPr>
            <w:r>
              <w:rPr>
                <w:rFonts w:hint="eastAsia" w:ascii="仿宋" w:hAnsi="仿宋" w:eastAsia="仿宋"/>
                <w:sz w:val="24"/>
                <w:szCs w:val="24"/>
              </w:rPr>
              <w:t>履约担保</w:t>
            </w:r>
          </w:p>
        </w:tc>
        <w:tc>
          <w:tcPr>
            <w:tcW w:w="6257" w:type="dxa"/>
            <w:vAlign w:val="center"/>
          </w:tcPr>
          <w:p>
            <w:pPr>
              <w:pStyle w:val="25"/>
              <w:spacing w:line="240" w:lineRule="atLeast"/>
              <w:rPr>
                <w:rFonts w:ascii="仿宋" w:hAnsi="仿宋" w:eastAsia="仿宋"/>
              </w:rPr>
            </w:pPr>
            <w:r>
              <w:rPr>
                <w:rFonts w:hint="eastAsia" w:ascii="仿宋" w:hAnsi="仿宋" w:eastAsia="仿宋" w:cs="宋体"/>
                <w:lang w:val="zh-CN"/>
              </w:rPr>
              <w:t>合同签订7天内，成交人向采购人提交无条件、不可撤销的履约保函，金额为合同总价的</w:t>
            </w:r>
            <w:r>
              <w:rPr>
                <w:rFonts w:ascii="仿宋" w:hAnsi="仿宋" w:eastAsia="仿宋"/>
                <w:lang w:val="zh-CN"/>
              </w:rPr>
              <w:t>10%</w:t>
            </w:r>
            <w:r>
              <w:rPr>
                <w:rFonts w:hint="eastAsia" w:ascii="仿宋" w:hAnsi="仿宋" w:eastAsia="仿宋" w:cs="宋体"/>
                <w:lang w:val="zh-CN"/>
              </w:rPr>
              <w:t>。</w:t>
            </w:r>
          </w:p>
        </w:tc>
      </w:tr>
    </w:tbl>
    <w:p>
      <w:pPr>
        <w:pStyle w:val="3"/>
        <w:rPr>
          <w:rFonts w:hint="eastAsia"/>
        </w:rPr>
      </w:pPr>
      <w:r>
        <w:rPr>
          <w:color w:val="FF0000"/>
          <w:sz w:val="24"/>
        </w:rPr>
        <w:br w:type="page"/>
      </w:r>
      <w:bookmarkStart w:id="76" w:name="_Toc14856822"/>
      <w:bookmarkStart w:id="77" w:name="_Toc434479601"/>
      <w:bookmarkStart w:id="78" w:name="_Toc433814078"/>
      <w:bookmarkStart w:id="79" w:name="总则"/>
      <w:r>
        <w:rPr>
          <w:rFonts w:hint="eastAsia"/>
        </w:rPr>
        <w:t>1、竞争性谈判费用</w:t>
      </w:r>
      <w:bookmarkEnd w:id="76"/>
      <w:bookmarkEnd w:id="77"/>
      <w:bookmarkEnd w:id="78"/>
    </w:p>
    <w:bookmarkEnd w:id="79"/>
    <w:p>
      <w:pPr>
        <w:autoSpaceDE w:val="0"/>
        <w:autoSpaceDN w:val="0"/>
        <w:adjustRightInd w:val="0"/>
        <w:spacing w:line="360" w:lineRule="auto"/>
        <w:ind w:firstLine="482"/>
        <w:rPr>
          <w:rFonts w:ascii="仿宋" w:hAnsi="仿宋" w:eastAsia="仿宋"/>
          <w:color w:val="000000"/>
          <w:kern w:val="0"/>
          <w:sz w:val="24"/>
        </w:rPr>
      </w:pPr>
      <w:r>
        <w:rPr>
          <w:rFonts w:hint="eastAsia" w:ascii="仿宋" w:hAnsi="仿宋" w:eastAsia="仿宋" w:cs="宋体"/>
          <w:color w:val="000000"/>
          <w:kern w:val="0"/>
          <w:sz w:val="24"/>
        </w:rPr>
        <w:t>不论竞争性</w:t>
      </w:r>
      <w:r>
        <w:rPr>
          <w:rFonts w:ascii="仿宋" w:hAnsi="仿宋" w:eastAsia="仿宋" w:cs="宋体"/>
          <w:color w:val="000000"/>
          <w:kern w:val="0"/>
          <w:sz w:val="24"/>
        </w:rPr>
        <w:t>谈</w:t>
      </w:r>
      <w:r>
        <w:rPr>
          <w:rFonts w:hint="eastAsia" w:ascii="仿宋" w:hAnsi="仿宋" w:eastAsia="仿宋" w:cs="宋体"/>
          <w:color w:val="000000"/>
          <w:kern w:val="0"/>
          <w:sz w:val="24"/>
        </w:rPr>
        <w:t>判结果如何，响应人参与本次竞争性</w:t>
      </w:r>
      <w:r>
        <w:rPr>
          <w:rFonts w:ascii="仿宋" w:hAnsi="仿宋" w:eastAsia="仿宋" w:cs="宋体"/>
          <w:color w:val="000000"/>
          <w:kern w:val="0"/>
          <w:sz w:val="24"/>
        </w:rPr>
        <w:t>谈</w:t>
      </w:r>
      <w:r>
        <w:rPr>
          <w:rFonts w:hint="eastAsia" w:ascii="仿宋" w:hAnsi="仿宋" w:eastAsia="仿宋" w:cs="宋体"/>
          <w:color w:val="000000"/>
          <w:kern w:val="0"/>
          <w:sz w:val="24"/>
        </w:rPr>
        <w:t>判，包括现场踏勘、组织编写和提交竞争性谈判响应文件及竞争性谈判过程中的一切费用均由响应人自理。</w:t>
      </w:r>
      <w:r>
        <w:rPr>
          <w:rFonts w:ascii="仿宋" w:hAnsi="仿宋" w:eastAsia="仿宋"/>
          <w:color w:val="000000"/>
          <w:kern w:val="0"/>
          <w:sz w:val="24"/>
        </w:rPr>
        <w:t xml:space="preserve"> </w:t>
      </w:r>
    </w:p>
    <w:p>
      <w:pPr>
        <w:pStyle w:val="3"/>
        <w:rPr>
          <w:rFonts w:hint="eastAsia"/>
        </w:rPr>
      </w:pPr>
      <w:bookmarkStart w:id="80" w:name="_Toc429570968"/>
      <w:bookmarkStart w:id="81" w:name="_Toc434479602"/>
      <w:bookmarkStart w:id="82" w:name="_Toc433814079"/>
      <w:bookmarkStart w:id="83" w:name="_Toc431150202"/>
      <w:bookmarkStart w:id="84" w:name="_Toc14856823"/>
      <w:r>
        <w:t>2</w:t>
      </w:r>
      <w:r>
        <w:rPr>
          <w:rFonts w:hint="eastAsia"/>
        </w:rPr>
        <w:t>、</w:t>
      </w:r>
      <w:bookmarkEnd w:id="80"/>
      <w:bookmarkStart w:id="85" w:name="竞争性谈判"/>
      <w:r>
        <w:rPr>
          <w:rFonts w:hint="eastAsia"/>
        </w:rPr>
        <w:t>竞争性谈判</w:t>
      </w:r>
      <w:bookmarkEnd w:id="81"/>
      <w:bookmarkEnd w:id="82"/>
      <w:bookmarkEnd w:id="83"/>
      <w:r>
        <w:rPr>
          <w:rFonts w:hint="eastAsia"/>
        </w:rPr>
        <w:t>文件</w:t>
      </w:r>
      <w:bookmarkEnd w:id="84"/>
      <w:r>
        <w:t xml:space="preserve"> </w:t>
      </w:r>
      <w:bookmarkEnd w:id="85"/>
    </w:p>
    <w:p>
      <w:pPr>
        <w:pStyle w:val="4"/>
      </w:pPr>
      <w:bookmarkStart w:id="86" w:name="_Toc14856824"/>
      <w:bookmarkStart w:id="87" w:name="_Toc514920888"/>
      <w:bookmarkStart w:id="88" w:name="_Toc514919738"/>
      <w:bookmarkStart w:id="89" w:name="_Toc449101789"/>
      <w:bookmarkStart w:id="90" w:name="_Toc444296335"/>
      <w:r>
        <w:rPr>
          <w:rFonts w:hint="eastAsia"/>
        </w:rPr>
        <w:t>2.1  竞争性谈判文件</w:t>
      </w:r>
      <w:bookmarkEnd w:id="86"/>
      <w:bookmarkEnd w:id="87"/>
      <w:bookmarkEnd w:id="88"/>
      <w:bookmarkEnd w:id="89"/>
      <w:bookmarkEnd w:id="90"/>
    </w:p>
    <w:p>
      <w:pPr>
        <w:autoSpaceDE w:val="0"/>
        <w:autoSpaceDN w:val="0"/>
        <w:adjustRightInd w:val="0"/>
        <w:spacing w:line="360" w:lineRule="auto"/>
        <w:ind w:firstLine="482"/>
        <w:rPr>
          <w:rFonts w:ascii="仿宋" w:hAnsi="仿宋" w:eastAsia="仿宋" w:cs="宋体"/>
          <w:color w:val="000000"/>
          <w:kern w:val="0"/>
          <w:sz w:val="24"/>
        </w:rPr>
      </w:pPr>
      <w:r>
        <w:rPr>
          <w:rFonts w:hint="eastAsia" w:ascii="仿宋" w:hAnsi="仿宋" w:eastAsia="仿宋" w:cs="宋体"/>
          <w:color w:val="000000"/>
          <w:kern w:val="0"/>
          <w:sz w:val="24"/>
        </w:rPr>
        <w:t>包括下表所列文件：</w:t>
      </w:r>
      <w:r>
        <w:rPr>
          <w:rFonts w:ascii="仿宋" w:hAnsi="仿宋" w:eastAsia="仿宋" w:cs="宋体"/>
          <w:color w:val="000000"/>
          <w:kern w:val="0"/>
          <w:sz w:val="24"/>
        </w:rPr>
        <w:t xml:space="preserve"> </w:t>
      </w:r>
    </w:p>
    <w:tbl>
      <w:tblPr>
        <w:tblStyle w:val="21"/>
        <w:tblW w:w="852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69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tcBorders>
              <w:top w:val="single" w:color="auto" w:sz="8" w:space="0"/>
            </w:tcBorders>
            <w:vAlign w:val="top"/>
          </w:tcPr>
          <w:p>
            <w:pPr>
              <w:autoSpaceDE w:val="0"/>
              <w:autoSpaceDN w:val="0"/>
              <w:adjustRightInd w:val="0"/>
              <w:spacing w:before="100" w:after="100"/>
              <w:jc w:val="center"/>
              <w:rPr>
                <w:rFonts w:ascii="仿宋" w:hAnsi="仿宋" w:eastAsia="仿宋"/>
                <w:color w:val="000000"/>
                <w:sz w:val="24"/>
                <w:szCs w:val="24"/>
              </w:rPr>
            </w:pPr>
            <w:r>
              <w:rPr>
                <w:rFonts w:hint="eastAsia" w:ascii="仿宋" w:hAnsi="仿宋" w:eastAsia="仿宋" w:cs="宋体"/>
                <w:color w:val="000000"/>
                <w:sz w:val="24"/>
                <w:szCs w:val="24"/>
              </w:rPr>
              <w:t>章号</w:t>
            </w:r>
          </w:p>
        </w:tc>
        <w:tc>
          <w:tcPr>
            <w:tcW w:w="6925" w:type="dxa"/>
            <w:tcBorders>
              <w:top w:val="single" w:color="auto" w:sz="8" w:space="0"/>
            </w:tcBorders>
            <w:vAlign w:val="top"/>
          </w:tcPr>
          <w:p>
            <w:pPr>
              <w:autoSpaceDE w:val="0"/>
              <w:autoSpaceDN w:val="0"/>
              <w:adjustRightInd w:val="0"/>
              <w:spacing w:before="100" w:after="100"/>
              <w:jc w:val="center"/>
              <w:rPr>
                <w:rFonts w:ascii="仿宋" w:hAnsi="仿宋" w:eastAsia="仿宋"/>
                <w:color w:val="000000"/>
                <w:sz w:val="24"/>
                <w:szCs w:val="24"/>
              </w:rPr>
            </w:pPr>
            <w:r>
              <w:rPr>
                <w:rFonts w:hint="eastAsia" w:ascii="仿宋" w:hAnsi="仿宋" w:eastAsia="仿宋" w:cs="宋体"/>
                <w:color w:val="000000"/>
                <w:sz w:val="24"/>
                <w:szCs w:val="24"/>
              </w:rPr>
              <w:t>名称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vAlign w:val="top"/>
          </w:tcPr>
          <w:p>
            <w:pPr>
              <w:autoSpaceDE w:val="0"/>
              <w:autoSpaceDN w:val="0"/>
              <w:adjustRightInd w:val="0"/>
              <w:spacing w:before="100" w:after="100"/>
              <w:jc w:val="center"/>
              <w:rPr>
                <w:rFonts w:ascii="仿宋" w:hAnsi="仿宋" w:eastAsia="仿宋"/>
                <w:color w:val="000000"/>
                <w:sz w:val="24"/>
                <w:szCs w:val="24"/>
              </w:rPr>
            </w:pPr>
            <w:r>
              <w:rPr>
                <w:rFonts w:hint="eastAsia" w:ascii="仿宋" w:hAnsi="仿宋" w:eastAsia="仿宋" w:cs="宋体"/>
                <w:color w:val="000000"/>
                <w:sz w:val="24"/>
                <w:szCs w:val="24"/>
              </w:rPr>
              <w:t>一</w:t>
            </w:r>
          </w:p>
        </w:tc>
        <w:tc>
          <w:tcPr>
            <w:tcW w:w="6925" w:type="dxa"/>
            <w:vAlign w:val="top"/>
          </w:tcPr>
          <w:p>
            <w:pPr>
              <w:autoSpaceDE w:val="0"/>
              <w:autoSpaceDN w:val="0"/>
              <w:adjustRightInd w:val="0"/>
              <w:spacing w:before="100" w:after="100"/>
              <w:jc w:val="center"/>
              <w:rPr>
                <w:rFonts w:ascii="仿宋" w:hAnsi="仿宋" w:eastAsia="仿宋"/>
                <w:sz w:val="24"/>
                <w:szCs w:val="24"/>
              </w:rPr>
            </w:pPr>
            <w:r>
              <w:rPr>
                <w:rFonts w:hint="eastAsia" w:ascii="仿宋" w:hAnsi="仿宋" w:eastAsia="仿宋" w:cs="宋体"/>
                <w:sz w:val="24"/>
                <w:szCs w:val="24"/>
              </w:rPr>
              <w:t>竞争性谈判</w:t>
            </w:r>
            <w:r>
              <w:rPr>
                <w:rFonts w:ascii="仿宋" w:hAnsi="仿宋" w:eastAsia="仿宋" w:cs="宋体"/>
                <w:sz w:val="24"/>
                <w:szCs w:val="24"/>
              </w:rPr>
              <w:t>邀请书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vAlign w:val="top"/>
          </w:tcPr>
          <w:p>
            <w:pPr>
              <w:autoSpaceDE w:val="0"/>
              <w:autoSpaceDN w:val="0"/>
              <w:adjustRightInd w:val="0"/>
              <w:spacing w:before="100" w:after="100"/>
              <w:jc w:val="center"/>
              <w:rPr>
                <w:rFonts w:ascii="仿宋" w:hAnsi="仿宋" w:eastAsia="仿宋"/>
                <w:color w:val="000000"/>
                <w:sz w:val="24"/>
                <w:szCs w:val="24"/>
              </w:rPr>
            </w:pPr>
            <w:r>
              <w:rPr>
                <w:rFonts w:hint="eastAsia" w:ascii="仿宋" w:hAnsi="仿宋" w:eastAsia="仿宋" w:cs="宋体"/>
                <w:color w:val="000000"/>
                <w:sz w:val="24"/>
                <w:szCs w:val="24"/>
              </w:rPr>
              <w:t>二</w:t>
            </w:r>
          </w:p>
        </w:tc>
        <w:tc>
          <w:tcPr>
            <w:tcW w:w="6925" w:type="dxa"/>
            <w:vAlign w:val="top"/>
          </w:tcPr>
          <w:p>
            <w:pPr>
              <w:autoSpaceDE w:val="0"/>
              <w:autoSpaceDN w:val="0"/>
              <w:adjustRightInd w:val="0"/>
              <w:spacing w:before="100" w:after="100"/>
              <w:jc w:val="center"/>
              <w:rPr>
                <w:rFonts w:ascii="仿宋" w:hAnsi="仿宋" w:eastAsia="仿宋"/>
                <w:sz w:val="24"/>
                <w:szCs w:val="24"/>
              </w:rPr>
            </w:pPr>
            <w:r>
              <w:rPr>
                <w:rFonts w:hint="eastAsia" w:ascii="仿宋" w:hAnsi="仿宋" w:eastAsia="仿宋" w:cs="宋体"/>
                <w:sz w:val="24"/>
                <w:szCs w:val="24"/>
              </w:rPr>
              <w:t>竞争性谈判</w:t>
            </w:r>
            <w:r>
              <w:rPr>
                <w:rFonts w:ascii="仿宋" w:hAnsi="仿宋" w:eastAsia="仿宋" w:cs="宋体"/>
                <w:sz w:val="24"/>
                <w:szCs w:val="24"/>
              </w:rPr>
              <w:t>响应人</w:t>
            </w:r>
            <w:r>
              <w:rPr>
                <w:rFonts w:hint="eastAsia" w:ascii="仿宋" w:hAnsi="仿宋" w:eastAsia="仿宋" w:cs="宋体"/>
                <w:sz w:val="24"/>
                <w:szCs w:val="24"/>
              </w:rPr>
              <w:t>须知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vAlign w:val="top"/>
          </w:tcPr>
          <w:p>
            <w:pPr>
              <w:autoSpaceDE w:val="0"/>
              <w:autoSpaceDN w:val="0"/>
              <w:adjustRightInd w:val="0"/>
              <w:spacing w:before="100" w:after="100"/>
              <w:jc w:val="center"/>
              <w:rPr>
                <w:rFonts w:ascii="仿宋" w:hAnsi="仿宋" w:eastAsia="仿宋"/>
                <w:color w:val="000000"/>
                <w:sz w:val="24"/>
                <w:szCs w:val="24"/>
              </w:rPr>
            </w:pPr>
            <w:r>
              <w:rPr>
                <w:rFonts w:hint="eastAsia" w:ascii="仿宋" w:hAnsi="仿宋" w:eastAsia="仿宋" w:cs="宋体"/>
                <w:color w:val="000000"/>
                <w:sz w:val="24"/>
                <w:szCs w:val="24"/>
              </w:rPr>
              <w:t>三</w:t>
            </w:r>
          </w:p>
        </w:tc>
        <w:tc>
          <w:tcPr>
            <w:tcW w:w="6925" w:type="dxa"/>
            <w:vAlign w:val="top"/>
          </w:tcPr>
          <w:p>
            <w:pPr>
              <w:autoSpaceDE w:val="0"/>
              <w:autoSpaceDN w:val="0"/>
              <w:adjustRightInd w:val="0"/>
              <w:spacing w:before="100" w:after="100"/>
              <w:jc w:val="center"/>
              <w:rPr>
                <w:rFonts w:ascii="仿宋" w:hAnsi="仿宋" w:eastAsia="仿宋"/>
                <w:sz w:val="24"/>
                <w:szCs w:val="24"/>
              </w:rPr>
            </w:pPr>
            <w:r>
              <w:rPr>
                <w:rFonts w:hint="eastAsia" w:ascii="仿宋" w:hAnsi="仿宋" w:eastAsia="仿宋" w:cs="宋体"/>
                <w:sz w:val="24"/>
                <w:szCs w:val="24"/>
              </w:rPr>
              <w:t>合同条款及格式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vAlign w:val="top"/>
          </w:tcPr>
          <w:p>
            <w:pPr>
              <w:autoSpaceDE w:val="0"/>
              <w:autoSpaceDN w:val="0"/>
              <w:adjustRightInd w:val="0"/>
              <w:spacing w:before="100" w:after="100"/>
              <w:jc w:val="center"/>
              <w:rPr>
                <w:rFonts w:ascii="仿宋" w:hAnsi="仿宋" w:eastAsia="仿宋"/>
                <w:sz w:val="24"/>
                <w:szCs w:val="24"/>
              </w:rPr>
            </w:pPr>
            <w:r>
              <w:rPr>
                <w:rFonts w:hint="eastAsia" w:ascii="仿宋" w:hAnsi="仿宋" w:eastAsia="仿宋" w:cs="宋体"/>
                <w:sz w:val="24"/>
                <w:szCs w:val="24"/>
              </w:rPr>
              <w:t>四</w:t>
            </w:r>
          </w:p>
        </w:tc>
        <w:tc>
          <w:tcPr>
            <w:tcW w:w="6925" w:type="dxa"/>
            <w:vAlign w:val="top"/>
          </w:tcPr>
          <w:p>
            <w:pPr>
              <w:autoSpaceDE w:val="0"/>
              <w:autoSpaceDN w:val="0"/>
              <w:adjustRightInd w:val="0"/>
              <w:spacing w:before="100" w:after="100"/>
              <w:jc w:val="center"/>
              <w:rPr>
                <w:rFonts w:ascii="仿宋" w:hAnsi="仿宋" w:eastAsia="仿宋"/>
                <w:sz w:val="24"/>
                <w:szCs w:val="24"/>
              </w:rPr>
            </w:pPr>
            <w:r>
              <w:rPr>
                <w:rFonts w:hint="eastAsia" w:ascii="仿宋" w:hAnsi="仿宋" w:eastAsia="仿宋" w:cs="宋体"/>
                <w:sz w:val="24"/>
                <w:szCs w:val="24"/>
              </w:rPr>
              <w:t>响应文件格式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597" w:type="dxa"/>
            <w:vAlign w:val="top"/>
          </w:tcPr>
          <w:p>
            <w:pPr>
              <w:autoSpaceDE w:val="0"/>
              <w:autoSpaceDN w:val="0"/>
              <w:adjustRightInd w:val="0"/>
              <w:spacing w:before="100" w:after="100"/>
              <w:jc w:val="center"/>
              <w:rPr>
                <w:rFonts w:hint="eastAsia" w:ascii="仿宋" w:hAnsi="仿宋" w:eastAsia="仿宋"/>
                <w:sz w:val="24"/>
                <w:szCs w:val="24"/>
              </w:rPr>
            </w:pPr>
            <w:r>
              <w:rPr>
                <w:rFonts w:hint="eastAsia" w:ascii="仿宋" w:hAnsi="仿宋" w:eastAsia="仿宋" w:cs="宋体"/>
                <w:sz w:val="24"/>
                <w:szCs w:val="24"/>
              </w:rPr>
              <w:t>五</w:t>
            </w:r>
          </w:p>
        </w:tc>
        <w:tc>
          <w:tcPr>
            <w:tcW w:w="6925" w:type="dxa"/>
            <w:vAlign w:val="top"/>
          </w:tcPr>
          <w:p>
            <w:pPr>
              <w:autoSpaceDE w:val="0"/>
              <w:autoSpaceDN w:val="0"/>
              <w:adjustRightInd w:val="0"/>
              <w:spacing w:before="100" w:after="100"/>
              <w:jc w:val="center"/>
              <w:rPr>
                <w:rFonts w:ascii="仿宋" w:hAnsi="仿宋" w:eastAsia="仿宋"/>
                <w:sz w:val="24"/>
                <w:szCs w:val="24"/>
              </w:rPr>
            </w:pPr>
            <w:r>
              <w:rPr>
                <w:rFonts w:hint="eastAsia" w:ascii="仿宋" w:hAnsi="仿宋" w:eastAsia="仿宋"/>
                <w:sz w:val="24"/>
                <w:szCs w:val="24"/>
              </w:rPr>
              <w:t>技术文件</w:t>
            </w:r>
          </w:p>
        </w:tc>
      </w:tr>
    </w:tbl>
    <w:p>
      <w:pPr>
        <w:spacing w:line="360" w:lineRule="exact"/>
        <w:rPr>
          <w:rFonts w:hint="eastAsia" w:ascii="仿宋" w:hAnsi="仿宋" w:eastAsia="仿宋"/>
          <w:sz w:val="24"/>
        </w:rPr>
      </w:pPr>
    </w:p>
    <w:p>
      <w:pPr>
        <w:pStyle w:val="4"/>
      </w:pPr>
      <w:bookmarkStart w:id="91" w:name="_Toc14856825"/>
      <w:bookmarkStart w:id="92" w:name="_Toc514920889"/>
      <w:bookmarkStart w:id="93" w:name="_Toc514919739"/>
      <w:bookmarkStart w:id="94" w:name="_Toc449101790"/>
      <w:bookmarkStart w:id="95" w:name="_Toc444296336"/>
      <w:r>
        <w:t xml:space="preserve">2.2  </w:t>
      </w:r>
      <w:r>
        <w:rPr>
          <w:rFonts w:hint="eastAsia"/>
        </w:rPr>
        <w:t>竞争性</w:t>
      </w:r>
      <w:r>
        <w:t>谈判</w:t>
      </w:r>
      <w:r>
        <w:rPr>
          <w:rFonts w:hint="eastAsia"/>
        </w:rPr>
        <w:t>文件的澄清</w:t>
      </w:r>
      <w:bookmarkEnd w:id="91"/>
      <w:bookmarkEnd w:id="92"/>
      <w:bookmarkEnd w:id="93"/>
      <w:bookmarkEnd w:id="94"/>
      <w:bookmarkEnd w:id="95"/>
      <w:r>
        <w:t xml:space="preserve"> </w:t>
      </w:r>
    </w:p>
    <w:p>
      <w:pPr>
        <w:autoSpaceDE w:val="0"/>
        <w:autoSpaceDN w:val="0"/>
        <w:adjustRightInd w:val="0"/>
        <w:spacing w:line="360" w:lineRule="auto"/>
        <w:ind w:firstLine="482"/>
        <w:rPr>
          <w:rFonts w:ascii="仿宋" w:hAnsi="仿宋" w:eastAsia="仿宋"/>
          <w:color w:val="000000"/>
          <w:sz w:val="24"/>
        </w:rPr>
      </w:pPr>
      <w:r>
        <w:rPr>
          <w:rFonts w:hint="eastAsia" w:ascii="仿宋" w:hAnsi="仿宋" w:eastAsia="仿宋" w:cs="宋体"/>
          <w:kern w:val="0"/>
          <w:sz w:val="24"/>
        </w:rPr>
        <w:t>响应人对竞争性谈判文件</w:t>
      </w:r>
      <w:r>
        <w:rPr>
          <w:rFonts w:hint="eastAsia" w:ascii="仿宋" w:hAnsi="仿宋" w:eastAsia="仿宋"/>
          <w:color w:val="000000"/>
          <w:sz w:val="24"/>
        </w:rPr>
        <w:t>有疑问的，应在响应人须知前附表规定的时间前通过集采平台（https://ec.powerchina.cn）向采购人提出。</w:t>
      </w:r>
    </w:p>
    <w:p>
      <w:pPr>
        <w:pStyle w:val="4"/>
      </w:pPr>
      <w:bookmarkStart w:id="96" w:name="_Toc444296337"/>
      <w:bookmarkStart w:id="97" w:name="_Toc449101791"/>
      <w:bookmarkStart w:id="98" w:name="_Toc514919740"/>
      <w:bookmarkStart w:id="99" w:name="_Toc514920890"/>
      <w:bookmarkStart w:id="100" w:name="_Toc14856826"/>
      <w:r>
        <w:t xml:space="preserve">2.3  </w:t>
      </w:r>
      <w:r>
        <w:rPr>
          <w:rFonts w:hint="eastAsia"/>
        </w:rPr>
        <w:t>竞争性</w:t>
      </w:r>
      <w:r>
        <w:t>谈判</w:t>
      </w:r>
      <w:r>
        <w:rPr>
          <w:rFonts w:hint="eastAsia"/>
        </w:rPr>
        <w:t>文件的修改</w:t>
      </w:r>
      <w:bookmarkEnd w:id="96"/>
      <w:bookmarkEnd w:id="97"/>
      <w:bookmarkEnd w:id="98"/>
      <w:bookmarkEnd w:id="99"/>
      <w:bookmarkEnd w:id="100"/>
      <w: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cs="宋体"/>
          <w:kern w:val="0"/>
          <w:sz w:val="24"/>
        </w:rPr>
        <w:t>在递交</w:t>
      </w:r>
      <w:r>
        <w:rPr>
          <w:rFonts w:ascii="仿宋" w:hAnsi="仿宋" w:eastAsia="仿宋" w:cs="宋体"/>
          <w:kern w:val="0"/>
          <w:sz w:val="24"/>
        </w:rPr>
        <w:t>竞</w:t>
      </w:r>
      <w:r>
        <w:rPr>
          <w:rFonts w:hint="eastAsia" w:ascii="仿宋" w:hAnsi="仿宋" w:eastAsia="仿宋" w:cs="宋体"/>
          <w:kern w:val="0"/>
          <w:sz w:val="24"/>
        </w:rPr>
        <w:t>争性</w:t>
      </w:r>
      <w:r>
        <w:rPr>
          <w:rFonts w:ascii="仿宋" w:hAnsi="仿宋" w:eastAsia="仿宋" w:cs="宋体"/>
          <w:kern w:val="0"/>
          <w:sz w:val="24"/>
        </w:rPr>
        <w:t>谈</w:t>
      </w:r>
      <w:r>
        <w:rPr>
          <w:rFonts w:hint="eastAsia" w:ascii="仿宋" w:hAnsi="仿宋" w:eastAsia="仿宋" w:cs="宋体"/>
          <w:kern w:val="0"/>
          <w:sz w:val="24"/>
        </w:rPr>
        <w:t>判</w:t>
      </w:r>
      <w:r>
        <w:rPr>
          <w:rFonts w:ascii="仿宋" w:hAnsi="仿宋" w:eastAsia="仿宋" w:cs="宋体"/>
          <w:kern w:val="0"/>
          <w:sz w:val="24"/>
        </w:rPr>
        <w:t>响应文件</w:t>
      </w:r>
      <w:r>
        <w:rPr>
          <w:rFonts w:hint="eastAsia" w:ascii="仿宋" w:hAnsi="仿宋" w:eastAsia="仿宋" w:cs="宋体"/>
          <w:kern w:val="0"/>
          <w:sz w:val="24"/>
        </w:rPr>
        <w:t>截止日</w:t>
      </w:r>
      <w:r>
        <w:rPr>
          <w:rFonts w:hint="eastAsia" w:ascii="仿宋" w:hAnsi="仿宋" w:eastAsia="仿宋"/>
          <w:kern w:val="0"/>
          <w:sz w:val="24"/>
        </w:rPr>
        <w:t>3</w:t>
      </w:r>
      <w:r>
        <w:rPr>
          <w:rFonts w:hint="eastAsia" w:ascii="仿宋" w:hAnsi="仿宋" w:eastAsia="仿宋" w:cs="宋体"/>
          <w:kern w:val="0"/>
          <w:sz w:val="24"/>
        </w:rPr>
        <w:t>天前，</w:t>
      </w:r>
      <w:r>
        <w:rPr>
          <w:rFonts w:hint="eastAsia" w:ascii="仿宋" w:hAnsi="仿宋" w:eastAsia="仿宋"/>
          <w:color w:val="000000"/>
          <w:sz w:val="24"/>
        </w:rPr>
        <w:t>采购人可以对已发出的竞争性谈判文件通过集采平台（https://ec.powerchina.cn）进行修改。</w:t>
      </w:r>
      <w:r>
        <w:rPr>
          <w:rFonts w:ascii="仿宋" w:hAnsi="仿宋" w:eastAsia="仿宋"/>
          <w:kern w:val="0"/>
          <w:sz w:val="24"/>
        </w:rPr>
        <w:t xml:space="preserve"> </w:t>
      </w:r>
    </w:p>
    <w:p>
      <w:pPr>
        <w:pStyle w:val="3"/>
      </w:pPr>
      <w:bookmarkStart w:id="101" w:name="_Toc429570969"/>
      <w:bookmarkStart w:id="102" w:name="_Toc433814080"/>
      <w:bookmarkStart w:id="103" w:name="_Toc431150203"/>
      <w:bookmarkStart w:id="104" w:name="_Toc434479603"/>
      <w:bookmarkStart w:id="105" w:name="_Toc14856827"/>
      <w:r>
        <w:t>3</w:t>
      </w:r>
      <w:r>
        <w:rPr>
          <w:rFonts w:hint="eastAsia"/>
        </w:rPr>
        <w:t>、</w:t>
      </w:r>
      <w:bookmarkEnd w:id="101"/>
      <w:bookmarkStart w:id="106" w:name="竞争性谈判响应文件的编制"/>
      <w:r>
        <w:rPr>
          <w:rFonts w:hint="eastAsia"/>
        </w:rPr>
        <w:t>竞争性谈判响应文件的编制</w:t>
      </w:r>
      <w:bookmarkEnd w:id="102"/>
      <w:bookmarkEnd w:id="103"/>
      <w:bookmarkEnd w:id="104"/>
      <w:bookmarkEnd w:id="105"/>
      <w:bookmarkEnd w:id="106"/>
    </w:p>
    <w:p>
      <w:pPr>
        <w:pStyle w:val="4"/>
        <w:rPr>
          <w:rFonts w:hint="eastAsia"/>
        </w:rPr>
      </w:pPr>
      <w:bookmarkStart w:id="107" w:name="_Toc444296339"/>
      <w:bookmarkStart w:id="108" w:name="_Toc14856828"/>
      <w:bookmarkStart w:id="109" w:name="_Toc514920892"/>
      <w:bookmarkStart w:id="110" w:name="_Toc514919742"/>
      <w:bookmarkStart w:id="111" w:name="_Toc449101793"/>
      <w:r>
        <w:rPr>
          <w:rFonts w:hint="eastAsia"/>
        </w:rPr>
        <w:t>3</w:t>
      </w:r>
      <w:r>
        <w:t xml:space="preserve">.1  </w:t>
      </w:r>
      <w:bookmarkEnd w:id="107"/>
      <w:r>
        <w:rPr>
          <w:rFonts w:hint="eastAsia"/>
        </w:rPr>
        <w:t>响应</w:t>
      </w:r>
      <w:r>
        <w:t>文件的构成：</w:t>
      </w:r>
      <w:bookmarkEnd w:id="108"/>
      <w:bookmarkEnd w:id="109"/>
      <w:bookmarkEnd w:id="110"/>
      <w:bookmarkEnd w:id="111"/>
    </w:p>
    <w:p>
      <w:pPr>
        <w:tabs>
          <w:tab w:val="left" w:pos="0"/>
          <w:tab w:val="left" w:pos="993"/>
        </w:tabs>
        <w:autoSpaceDE w:val="0"/>
        <w:autoSpaceDN w:val="0"/>
        <w:adjustRightInd w:val="0"/>
        <w:spacing w:line="360" w:lineRule="auto"/>
        <w:ind w:left="484"/>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w:t>
      </w:r>
      <w:r>
        <w:rPr>
          <w:rFonts w:hint="eastAsia" w:ascii="仿宋" w:hAnsi="仿宋" w:eastAsia="仿宋" w:cs="宋体"/>
          <w:kern w:val="0"/>
          <w:sz w:val="24"/>
        </w:rPr>
        <w:t>应包括下列部分：</w:t>
      </w:r>
    </w:p>
    <w:p>
      <w:pPr>
        <w:tabs>
          <w:tab w:val="left" w:pos="0"/>
          <w:tab w:val="left" w:pos="993"/>
        </w:tabs>
        <w:autoSpaceDE w:val="0"/>
        <w:autoSpaceDN w:val="0"/>
        <w:adjustRightInd w:val="0"/>
        <w:spacing w:line="360" w:lineRule="auto"/>
        <w:ind w:left="484"/>
        <w:rPr>
          <w:rFonts w:ascii="仿宋" w:hAnsi="仿宋" w:eastAsia="仿宋" w:cs="宋体"/>
          <w:kern w:val="0"/>
          <w:sz w:val="24"/>
        </w:rPr>
      </w:pPr>
      <w:r>
        <w:rPr>
          <w:rFonts w:hint="eastAsia" w:ascii="仿宋" w:hAnsi="仿宋" w:eastAsia="仿宋" w:cs="宋体"/>
          <w:kern w:val="0"/>
          <w:sz w:val="24"/>
        </w:rPr>
        <w:t>1）竞争性</w:t>
      </w:r>
      <w:r>
        <w:rPr>
          <w:rFonts w:ascii="仿宋" w:hAnsi="仿宋" w:eastAsia="仿宋" w:cs="宋体"/>
          <w:kern w:val="0"/>
          <w:sz w:val="24"/>
        </w:rPr>
        <w:t>谈判</w:t>
      </w:r>
      <w:r>
        <w:rPr>
          <w:rFonts w:hint="eastAsia" w:ascii="仿宋" w:hAnsi="仿宋" w:eastAsia="仿宋" w:cs="宋体"/>
          <w:kern w:val="0"/>
          <w:sz w:val="24"/>
        </w:rPr>
        <w:t>报价函</w:t>
      </w:r>
    </w:p>
    <w:p>
      <w:pPr>
        <w:tabs>
          <w:tab w:val="left" w:pos="0"/>
          <w:tab w:val="left" w:pos="993"/>
        </w:tabs>
        <w:autoSpaceDE w:val="0"/>
        <w:autoSpaceDN w:val="0"/>
        <w:adjustRightInd w:val="0"/>
        <w:spacing w:line="360" w:lineRule="auto"/>
        <w:ind w:left="484"/>
        <w:rPr>
          <w:rFonts w:ascii="仿宋" w:hAnsi="仿宋" w:eastAsia="仿宋" w:cs="宋体"/>
          <w:kern w:val="0"/>
          <w:sz w:val="24"/>
        </w:rPr>
      </w:pPr>
      <w:r>
        <w:rPr>
          <w:rFonts w:hint="eastAsia" w:ascii="仿宋" w:hAnsi="仿宋" w:eastAsia="仿宋" w:cs="宋体"/>
          <w:kern w:val="0"/>
          <w:sz w:val="24"/>
        </w:rPr>
        <w:t>2）法定代表人</w:t>
      </w:r>
      <w:r>
        <w:rPr>
          <w:rFonts w:ascii="仿宋" w:hAnsi="仿宋" w:eastAsia="仿宋" w:cs="宋体"/>
          <w:kern w:val="0"/>
          <w:sz w:val="24"/>
        </w:rPr>
        <w:t>授权</w:t>
      </w:r>
      <w:r>
        <w:rPr>
          <w:rFonts w:hint="eastAsia" w:ascii="仿宋" w:hAnsi="仿宋" w:eastAsia="仿宋" w:cs="宋体"/>
          <w:kern w:val="0"/>
          <w:sz w:val="24"/>
        </w:rPr>
        <w:t>委托书</w:t>
      </w:r>
    </w:p>
    <w:p>
      <w:pPr>
        <w:tabs>
          <w:tab w:val="left" w:pos="0"/>
          <w:tab w:val="left" w:pos="993"/>
        </w:tabs>
        <w:autoSpaceDE w:val="0"/>
        <w:autoSpaceDN w:val="0"/>
        <w:adjustRightInd w:val="0"/>
        <w:spacing w:line="360" w:lineRule="auto"/>
        <w:ind w:left="484"/>
        <w:rPr>
          <w:rFonts w:hint="eastAsia" w:ascii="仿宋" w:hAnsi="仿宋" w:eastAsia="仿宋" w:cs="宋体"/>
          <w:kern w:val="0"/>
          <w:sz w:val="24"/>
        </w:rPr>
      </w:pPr>
      <w:r>
        <w:rPr>
          <w:rFonts w:ascii="仿宋" w:hAnsi="仿宋" w:eastAsia="仿宋" w:cs="宋体"/>
          <w:kern w:val="0"/>
          <w:sz w:val="24"/>
        </w:rPr>
        <w:t>3</w:t>
      </w:r>
      <w:r>
        <w:rPr>
          <w:rFonts w:hint="eastAsia" w:ascii="仿宋" w:hAnsi="仿宋" w:eastAsia="仿宋" w:cs="宋体"/>
          <w:kern w:val="0"/>
          <w:sz w:val="24"/>
        </w:rPr>
        <w:t>）保证金</w:t>
      </w:r>
    </w:p>
    <w:p>
      <w:pPr>
        <w:tabs>
          <w:tab w:val="left" w:pos="0"/>
          <w:tab w:val="left" w:pos="993"/>
        </w:tabs>
        <w:autoSpaceDE w:val="0"/>
        <w:autoSpaceDN w:val="0"/>
        <w:adjustRightInd w:val="0"/>
        <w:spacing w:line="360" w:lineRule="auto"/>
        <w:ind w:left="484"/>
        <w:rPr>
          <w:rFonts w:ascii="仿宋" w:hAnsi="仿宋" w:eastAsia="仿宋" w:cs="宋体"/>
          <w:kern w:val="0"/>
          <w:sz w:val="24"/>
        </w:rPr>
      </w:pPr>
      <w:r>
        <w:rPr>
          <w:rFonts w:hint="eastAsia" w:ascii="仿宋" w:hAnsi="仿宋" w:eastAsia="仿宋" w:cs="宋体"/>
          <w:kern w:val="0"/>
          <w:sz w:val="24"/>
        </w:rPr>
        <w:t>4）首次报价表</w:t>
      </w:r>
    </w:p>
    <w:p>
      <w:pPr>
        <w:tabs>
          <w:tab w:val="left" w:pos="0"/>
          <w:tab w:val="left" w:pos="993"/>
        </w:tabs>
        <w:autoSpaceDE w:val="0"/>
        <w:autoSpaceDN w:val="0"/>
        <w:adjustRightInd w:val="0"/>
        <w:spacing w:line="360" w:lineRule="auto"/>
        <w:ind w:left="484"/>
        <w:rPr>
          <w:rFonts w:ascii="仿宋" w:hAnsi="仿宋" w:eastAsia="仿宋"/>
          <w:kern w:val="0"/>
          <w:sz w:val="24"/>
        </w:rPr>
      </w:pPr>
      <w:r>
        <w:rPr>
          <w:rFonts w:hint="eastAsia" w:ascii="仿宋" w:hAnsi="仿宋" w:eastAsia="仿宋" w:cs="宋体"/>
          <w:kern w:val="0"/>
          <w:sz w:val="24"/>
        </w:rPr>
        <w:t>5）响应人</w:t>
      </w:r>
      <w:r>
        <w:rPr>
          <w:rFonts w:ascii="仿宋" w:hAnsi="仿宋" w:eastAsia="仿宋" w:cs="宋体"/>
          <w:kern w:val="0"/>
          <w:sz w:val="24"/>
        </w:rPr>
        <w:t>信息</w:t>
      </w:r>
    </w:p>
    <w:p>
      <w:pPr>
        <w:tabs>
          <w:tab w:val="left" w:pos="0"/>
          <w:tab w:val="left" w:pos="993"/>
        </w:tabs>
        <w:autoSpaceDE w:val="0"/>
        <w:autoSpaceDN w:val="0"/>
        <w:adjustRightInd w:val="0"/>
        <w:spacing w:line="360" w:lineRule="auto"/>
        <w:ind w:left="484"/>
        <w:rPr>
          <w:rFonts w:ascii="仿宋" w:hAnsi="仿宋" w:eastAsia="仿宋"/>
          <w:kern w:val="0"/>
          <w:sz w:val="24"/>
        </w:rPr>
      </w:pPr>
      <w:r>
        <w:rPr>
          <w:rFonts w:hint="eastAsia" w:ascii="仿宋" w:hAnsi="仿宋" w:eastAsia="仿宋" w:cs="宋体"/>
          <w:kern w:val="0"/>
          <w:sz w:val="24"/>
        </w:rPr>
        <w:t>6）类似业绩</w:t>
      </w:r>
      <w:r>
        <w:rPr>
          <w:rFonts w:ascii="仿宋" w:hAnsi="仿宋" w:eastAsia="仿宋" w:cs="宋体"/>
          <w:kern w:val="0"/>
          <w:sz w:val="24"/>
        </w:rPr>
        <w:t>资料</w:t>
      </w:r>
    </w:p>
    <w:p>
      <w:pPr>
        <w:tabs>
          <w:tab w:val="left" w:pos="0"/>
          <w:tab w:val="left" w:pos="993"/>
        </w:tabs>
        <w:autoSpaceDE w:val="0"/>
        <w:autoSpaceDN w:val="0"/>
        <w:adjustRightInd w:val="0"/>
        <w:spacing w:line="360" w:lineRule="auto"/>
        <w:ind w:left="484"/>
        <w:rPr>
          <w:rFonts w:ascii="仿宋" w:hAnsi="仿宋" w:eastAsia="仿宋"/>
          <w:kern w:val="0"/>
          <w:sz w:val="24"/>
        </w:rPr>
      </w:pPr>
      <w:r>
        <w:rPr>
          <w:rFonts w:hint="eastAsia" w:ascii="仿宋" w:hAnsi="仿宋" w:eastAsia="仿宋" w:cs="宋体"/>
          <w:kern w:val="0"/>
          <w:sz w:val="24"/>
        </w:rPr>
        <w:t>7）响应人廉政</w:t>
      </w:r>
      <w:r>
        <w:rPr>
          <w:rFonts w:ascii="仿宋" w:hAnsi="仿宋" w:eastAsia="仿宋" w:cs="宋体"/>
          <w:kern w:val="0"/>
          <w:sz w:val="24"/>
        </w:rPr>
        <w:t>承诺书</w:t>
      </w:r>
    </w:p>
    <w:p>
      <w:pPr>
        <w:tabs>
          <w:tab w:val="left" w:pos="0"/>
          <w:tab w:val="left" w:pos="993"/>
        </w:tabs>
        <w:autoSpaceDE w:val="0"/>
        <w:autoSpaceDN w:val="0"/>
        <w:adjustRightInd w:val="0"/>
        <w:spacing w:line="360" w:lineRule="auto"/>
        <w:ind w:left="484"/>
        <w:rPr>
          <w:rFonts w:ascii="仿宋" w:hAnsi="仿宋" w:eastAsia="仿宋"/>
          <w:kern w:val="0"/>
          <w:sz w:val="24"/>
        </w:rPr>
      </w:pPr>
      <w:r>
        <w:rPr>
          <w:rFonts w:hint="eastAsia" w:ascii="仿宋" w:hAnsi="仿宋" w:eastAsia="仿宋" w:cs="宋体"/>
          <w:kern w:val="0"/>
          <w:sz w:val="24"/>
        </w:rPr>
        <w:t>8）商务</w:t>
      </w:r>
      <w:r>
        <w:rPr>
          <w:rFonts w:ascii="仿宋" w:hAnsi="仿宋" w:eastAsia="仿宋" w:cs="宋体"/>
          <w:kern w:val="0"/>
          <w:sz w:val="24"/>
        </w:rPr>
        <w:t>偏差</w:t>
      </w:r>
      <w:r>
        <w:rPr>
          <w:rFonts w:hint="eastAsia" w:ascii="仿宋" w:hAnsi="仿宋" w:eastAsia="仿宋" w:cs="宋体"/>
          <w:kern w:val="0"/>
          <w:sz w:val="24"/>
        </w:rPr>
        <w:t>表</w:t>
      </w:r>
    </w:p>
    <w:p>
      <w:pPr>
        <w:tabs>
          <w:tab w:val="left" w:pos="0"/>
          <w:tab w:val="left" w:pos="993"/>
        </w:tabs>
        <w:autoSpaceDE w:val="0"/>
        <w:autoSpaceDN w:val="0"/>
        <w:adjustRightInd w:val="0"/>
        <w:spacing w:line="360" w:lineRule="auto"/>
        <w:ind w:left="484"/>
        <w:rPr>
          <w:rFonts w:ascii="仿宋" w:hAnsi="仿宋" w:eastAsia="仿宋"/>
          <w:kern w:val="0"/>
          <w:sz w:val="24"/>
        </w:rPr>
      </w:pPr>
      <w:r>
        <w:rPr>
          <w:rFonts w:hint="eastAsia" w:ascii="仿宋" w:hAnsi="仿宋" w:eastAsia="仿宋"/>
          <w:kern w:val="0"/>
          <w:sz w:val="24"/>
        </w:rPr>
        <w:t>9）响应人</w:t>
      </w:r>
      <w:r>
        <w:rPr>
          <w:rFonts w:ascii="仿宋" w:hAnsi="仿宋" w:eastAsia="仿宋"/>
          <w:kern w:val="0"/>
          <w:sz w:val="24"/>
        </w:rPr>
        <w:t>认为应</w:t>
      </w:r>
      <w:r>
        <w:rPr>
          <w:rFonts w:hint="eastAsia" w:ascii="仿宋" w:hAnsi="仿宋" w:eastAsia="仿宋"/>
          <w:kern w:val="0"/>
          <w:sz w:val="24"/>
        </w:rPr>
        <w:t>补充</w:t>
      </w:r>
      <w:r>
        <w:rPr>
          <w:rFonts w:ascii="仿宋" w:hAnsi="仿宋" w:eastAsia="仿宋"/>
          <w:kern w:val="0"/>
          <w:sz w:val="24"/>
        </w:rPr>
        <w:t>的其他</w:t>
      </w:r>
      <w:r>
        <w:rPr>
          <w:rFonts w:hint="eastAsia" w:ascii="仿宋" w:hAnsi="仿宋" w:eastAsia="仿宋"/>
          <w:kern w:val="0"/>
          <w:sz w:val="24"/>
        </w:rPr>
        <w:t>商务</w:t>
      </w:r>
      <w:r>
        <w:rPr>
          <w:rFonts w:ascii="仿宋" w:hAnsi="仿宋" w:eastAsia="仿宋"/>
          <w:kern w:val="0"/>
          <w:sz w:val="24"/>
        </w:rPr>
        <w:t>资料</w:t>
      </w:r>
    </w:p>
    <w:p>
      <w:pPr>
        <w:tabs>
          <w:tab w:val="left" w:pos="0"/>
          <w:tab w:val="left" w:pos="993"/>
        </w:tabs>
        <w:autoSpaceDE w:val="0"/>
        <w:autoSpaceDN w:val="0"/>
        <w:adjustRightInd w:val="0"/>
        <w:spacing w:line="360" w:lineRule="auto"/>
        <w:ind w:left="484"/>
        <w:rPr>
          <w:rFonts w:ascii="仿宋" w:hAnsi="仿宋" w:eastAsia="仿宋" w:cs="宋体"/>
          <w:kern w:val="0"/>
          <w:sz w:val="24"/>
        </w:rPr>
      </w:pPr>
      <w:r>
        <w:rPr>
          <w:rFonts w:hint="eastAsia" w:ascii="仿宋" w:hAnsi="仿宋" w:eastAsia="仿宋" w:cs="宋体"/>
          <w:kern w:val="0"/>
          <w:sz w:val="24"/>
        </w:rPr>
        <w:t>10）技术</w:t>
      </w:r>
      <w:r>
        <w:rPr>
          <w:rFonts w:ascii="仿宋" w:hAnsi="仿宋" w:eastAsia="仿宋" w:cs="宋体"/>
          <w:kern w:val="0"/>
          <w:sz w:val="24"/>
        </w:rPr>
        <w:t>偏差</w:t>
      </w:r>
    </w:p>
    <w:p>
      <w:pPr>
        <w:tabs>
          <w:tab w:val="left" w:pos="0"/>
          <w:tab w:val="left" w:pos="993"/>
        </w:tabs>
        <w:autoSpaceDE w:val="0"/>
        <w:autoSpaceDN w:val="0"/>
        <w:adjustRightInd w:val="0"/>
        <w:spacing w:line="360" w:lineRule="auto"/>
        <w:ind w:left="484"/>
      </w:pPr>
      <w:r>
        <w:rPr>
          <w:rFonts w:hint="eastAsia" w:ascii="仿宋" w:hAnsi="仿宋" w:eastAsia="仿宋" w:cs="宋体"/>
          <w:kern w:val="0"/>
          <w:sz w:val="24"/>
        </w:rPr>
        <w:t>11）交货计划表</w:t>
      </w:r>
    </w:p>
    <w:p>
      <w:pPr>
        <w:tabs>
          <w:tab w:val="left" w:pos="0"/>
          <w:tab w:val="left" w:pos="993"/>
        </w:tabs>
        <w:autoSpaceDE w:val="0"/>
        <w:autoSpaceDN w:val="0"/>
        <w:adjustRightInd w:val="0"/>
        <w:spacing w:line="360" w:lineRule="auto"/>
        <w:ind w:left="484"/>
        <w:rPr>
          <w:rFonts w:ascii="仿宋" w:hAnsi="仿宋" w:eastAsia="仿宋"/>
          <w:kern w:val="0"/>
          <w:sz w:val="24"/>
        </w:rPr>
      </w:pPr>
      <w:r>
        <w:rPr>
          <w:rFonts w:hint="eastAsia" w:ascii="仿宋" w:hAnsi="仿宋" w:eastAsia="仿宋" w:cs="宋体"/>
          <w:kern w:val="0"/>
          <w:sz w:val="24"/>
        </w:rPr>
        <w:t>12）竞争性谈判</w:t>
      </w:r>
      <w:r>
        <w:rPr>
          <w:rFonts w:ascii="仿宋" w:hAnsi="仿宋" w:eastAsia="仿宋" w:cs="宋体"/>
          <w:kern w:val="0"/>
          <w:sz w:val="24"/>
        </w:rPr>
        <w:t>响应文件</w:t>
      </w:r>
      <w:r>
        <w:rPr>
          <w:rFonts w:hint="eastAsia" w:ascii="仿宋" w:hAnsi="仿宋" w:eastAsia="仿宋" w:cs="宋体"/>
          <w:kern w:val="0"/>
          <w:sz w:val="24"/>
        </w:rPr>
        <w:t>说明</w:t>
      </w:r>
      <w:r>
        <w:rPr>
          <w:rFonts w:ascii="仿宋" w:hAnsi="仿宋" w:eastAsia="仿宋" w:cs="宋体"/>
          <w:kern w:val="0"/>
          <w:sz w:val="24"/>
        </w:rPr>
        <w:t>书</w:t>
      </w:r>
      <w:r>
        <w:rPr>
          <w:rFonts w:hint="eastAsia" w:ascii="仿宋" w:hAnsi="仿宋" w:eastAsia="仿宋" w:cs="宋体"/>
          <w:kern w:val="0"/>
          <w:sz w:val="24"/>
        </w:rPr>
        <w:t>与其他技术资料</w:t>
      </w:r>
    </w:p>
    <w:p>
      <w:pPr>
        <w:tabs>
          <w:tab w:val="left" w:pos="0"/>
          <w:tab w:val="left" w:pos="993"/>
        </w:tabs>
        <w:autoSpaceDE w:val="0"/>
        <w:autoSpaceDN w:val="0"/>
        <w:adjustRightInd w:val="0"/>
        <w:spacing w:line="360" w:lineRule="auto"/>
        <w:ind w:left="484"/>
        <w:rPr>
          <w:rFonts w:ascii="仿宋" w:hAnsi="仿宋" w:eastAsia="仿宋"/>
          <w:kern w:val="0"/>
          <w:sz w:val="24"/>
        </w:rPr>
      </w:pPr>
      <w:r>
        <w:rPr>
          <w:rFonts w:ascii="仿宋" w:hAnsi="仿宋" w:eastAsia="仿宋" w:cs="宋体"/>
          <w:kern w:val="0"/>
          <w:sz w:val="24"/>
        </w:rPr>
        <w:t>1</w:t>
      </w:r>
      <w:r>
        <w:rPr>
          <w:rFonts w:hint="eastAsia" w:ascii="仿宋" w:hAnsi="仿宋" w:eastAsia="仿宋" w:cs="宋体"/>
          <w:kern w:val="0"/>
          <w:sz w:val="24"/>
        </w:rPr>
        <w:t>3）附表</w:t>
      </w:r>
    </w:p>
    <w:p>
      <w:pPr>
        <w:tabs>
          <w:tab w:val="left" w:pos="0"/>
          <w:tab w:val="left" w:pos="993"/>
        </w:tabs>
        <w:autoSpaceDE w:val="0"/>
        <w:autoSpaceDN w:val="0"/>
        <w:adjustRightInd w:val="0"/>
        <w:spacing w:line="360" w:lineRule="auto"/>
        <w:ind w:left="484"/>
        <w:rPr>
          <w:rFonts w:hint="eastAsia"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w:t>
      </w:r>
      <w:r>
        <w:rPr>
          <w:rFonts w:hint="eastAsia" w:ascii="仿宋" w:hAnsi="仿宋" w:eastAsia="仿宋" w:cs="宋体"/>
          <w:kern w:val="0"/>
          <w:sz w:val="24"/>
        </w:rPr>
        <w:t>最终报价文件应</w:t>
      </w:r>
      <w:r>
        <w:rPr>
          <w:rFonts w:ascii="仿宋" w:hAnsi="仿宋" w:eastAsia="仿宋" w:cs="宋体"/>
          <w:kern w:val="0"/>
          <w:sz w:val="24"/>
        </w:rPr>
        <w:t>包括：</w:t>
      </w:r>
    </w:p>
    <w:p>
      <w:pPr>
        <w:tabs>
          <w:tab w:val="left" w:pos="0"/>
          <w:tab w:val="left" w:pos="993"/>
        </w:tabs>
        <w:autoSpaceDE w:val="0"/>
        <w:autoSpaceDN w:val="0"/>
        <w:adjustRightInd w:val="0"/>
        <w:spacing w:line="360" w:lineRule="auto"/>
        <w:ind w:left="484"/>
        <w:rPr>
          <w:rFonts w:ascii="仿宋" w:hAnsi="仿宋" w:eastAsia="仿宋" w:cs="宋体"/>
          <w:kern w:val="0"/>
          <w:sz w:val="24"/>
        </w:rPr>
      </w:pPr>
      <w:r>
        <w:rPr>
          <w:rFonts w:hint="eastAsia" w:ascii="仿宋" w:hAnsi="仿宋" w:eastAsia="仿宋" w:cs="宋体"/>
          <w:kern w:val="0"/>
          <w:sz w:val="24"/>
        </w:rPr>
        <w:t>1）最终报价表（含</w:t>
      </w:r>
      <w:r>
        <w:rPr>
          <w:rFonts w:ascii="仿宋" w:hAnsi="仿宋" w:eastAsia="仿宋" w:cs="宋体"/>
          <w:kern w:val="0"/>
          <w:sz w:val="24"/>
        </w:rPr>
        <w:t>分项报价</w:t>
      </w:r>
      <w:r>
        <w:rPr>
          <w:rFonts w:hint="eastAsia" w:ascii="仿宋" w:hAnsi="仿宋" w:eastAsia="仿宋" w:cs="宋体"/>
          <w:kern w:val="0"/>
          <w:sz w:val="24"/>
        </w:rPr>
        <w:t>）</w:t>
      </w:r>
    </w:p>
    <w:p>
      <w:pPr>
        <w:tabs>
          <w:tab w:val="left" w:pos="0"/>
          <w:tab w:val="left" w:pos="993"/>
        </w:tabs>
        <w:autoSpaceDE w:val="0"/>
        <w:autoSpaceDN w:val="0"/>
        <w:adjustRightInd w:val="0"/>
        <w:spacing w:line="360" w:lineRule="auto"/>
        <w:ind w:left="484"/>
        <w:rPr>
          <w:rFonts w:hint="eastAsia" w:ascii="仿宋" w:hAnsi="仿宋" w:eastAsia="仿宋" w:cs="宋体"/>
          <w:kern w:val="0"/>
          <w:sz w:val="24"/>
        </w:rPr>
      </w:pPr>
      <w:r>
        <w:rPr>
          <w:rFonts w:ascii="仿宋" w:hAnsi="仿宋" w:eastAsia="仿宋" w:cs="宋体"/>
          <w:kern w:val="0"/>
          <w:sz w:val="24"/>
        </w:rPr>
        <w:t>2</w:t>
      </w:r>
      <w:r>
        <w:rPr>
          <w:rFonts w:hint="eastAsia" w:ascii="仿宋" w:hAnsi="仿宋" w:eastAsia="仿宋" w:cs="宋体"/>
          <w:kern w:val="0"/>
          <w:sz w:val="24"/>
        </w:rPr>
        <w:t>）谈判</w:t>
      </w:r>
      <w:r>
        <w:rPr>
          <w:rFonts w:ascii="仿宋" w:hAnsi="仿宋" w:eastAsia="仿宋" w:cs="宋体"/>
          <w:kern w:val="0"/>
          <w:sz w:val="24"/>
        </w:rPr>
        <w:t>小组要求的其他资料</w:t>
      </w:r>
    </w:p>
    <w:p>
      <w:pPr>
        <w:pStyle w:val="4"/>
      </w:pPr>
      <w:bookmarkStart w:id="112" w:name="_Toc449101794"/>
      <w:bookmarkStart w:id="113" w:name="_Toc514919743"/>
      <w:bookmarkStart w:id="114" w:name="_Toc514920893"/>
      <w:bookmarkStart w:id="115" w:name="_Toc14856829"/>
      <w:bookmarkStart w:id="116" w:name="_Toc444296340"/>
      <w:r>
        <w:t xml:space="preserve">3.2  </w:t>
      </w:r>
      <w:r>
        <w:rPr>
          <w:rFonts w:hint="eastAsia" w:cs="黑体"/>
        </w:rPr>
        <w:t>资格审查资料</w:t>
      </w:r>
      <w:bookmarkEnd w:id="112"/>
      <w:bookmarkEnd w:id="113"/>
      <w:bookmarkEnd w:id="114"/>
      <w:bookmarkEnd w:id="115"/>
      <w: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（1）</w:t>
      </w:r>
      <w:r>
        <w:rPr>
          <w:rFonts w:hint="eastAsia" w:ascii="仿宋" w:hAnsi="仿宋" w:eastAsia="仿宋" w:cs="宋体"/>
          <w:kern w:val="0"/>
          <w:sz w:val="24"/>
        </w:rPr>
        <w:t>“响应人信息”应附竞争性</w:t>
      </w:r>
      <w:r>
        <w:rPr>
          <w:rFonts w:ascii="仿宋" w:hAnsi="仿宋" w:eastAsia="仿宋" w:cs="宋体"/>
          <w:kern w:val="0"/>
          <w:sz w:val="24"/>
        </w:rPr>
        <w:t>谈判</w:t>
      </w:r>
      <w:r>
        <w:rPr>
          <w:rFonts w:hint="eastAsia" w:ascii="仿宋" w:hAnsi="仿宋" w:eastAsia="仿宋" w:cs="宋体"/>
          <w:kern w:val="0"/>
          <w:sz w:val="24"/>
        </w:rPr>
        <w:t>文件所列资格文件复印件，包括响应人营业执照副本、</w:t>
      </w:r>
      <w:r>
        <w:rPr>
          <w:rFonts w:ascii="仿宋" w:hAnsi="仿宋" w:eastAsia="仿宋" w:cs="宋体"/>
          <w:kern w:val="0"/>
          <w:sz w:val="24"/>
        </w:rPr>
        <w:t>资质证书</w:t>
      </w:r>
      <w:r>
        <w:rPr>
          <w:rFonts w:hint="eastAsia" w:ascii="仿宋" w:hAnsi="仿宋" w:eastAsia="仿宋" w:cs="宋体"/>
          <w:kern w:val="0"/>
          <w:sz w:val="24"/>
        </w:rPr>
        <w:t>（若有）、体系</w:t>
      </w:r>
      <w:r>
        <w:rPr>
          <w:rFonts w:ascii="仿宋" w:hAnsi="仿宋" w:eastAsia="仿宋" w:cs="宋体"/>
          <w:kern w:val="0"/>
          <w:sz w:val="24"/>
        </w:rPr>
        <w:t>认证</w:t>
      </w:r>
      <w:r>
        <w:rPr>
          <w:rFonts w:hint="eastAsia" w:ascii="仿宋" w:hAnsi="仿宋" w:eastAsia="仿宋" w:cs="宋体"/>
          <w:kern w:val="0"/>
          <w:sz w:val="24"/>
        </w:rPr>
        <w:t>等材料的复印件。</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（2）</w:t>
      </w:r>
      <w:r>
        <w:rPr>
          <w:rFonts w:hint="eastAsia" w:ascii="仿宋" w:hAnsi="仿宋" w:eastAsia="仿宋" w:cs="宋体"/>
          <w:kern w:val="0"/>
          <w:sz w:val="24"/>
        </w:rPr>
        <w:t>“近年财务状况表”应附近三年经会计师事务所或审计机构审计的财务会计报表，包括资产负债表、现金流量表、利润表和财务情况说明书且经响应人盖公司章的复印件。</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cs="宋体"/>
          <w:kern w:val="0"/>
          <w:sz w:val="24"/>
        </w:rPr>
      </w:pPr>
      <w:r>
        <w:rPr>
          <w:rFonts w:hint="eastAsia" w:ascii="仿宋" w:hAnsi="仿宋" w:eastAsia="仿宋"/>
          <w:kern w:val="0"/>
          <w:sz w:val="24"/>
        </w:rPr>
        <w:t>（3）</w:t>
      </w:r>
      <w:r>
        <w:rPr>
          <w:rFonts w:hint="eastAsia" w:ascii="仿宋" w:hAnsi="仿宋" w:eastAsia="仿宋" w:cs="宋体"/>
          <w:kern w:val="0"/>
          <w:sz w:val="24"/>
        </w:rPr>
        <w:t>“业绩及正在执行的供货合同项目表”应附相应项目的中标通知书和（或）合同协议书的复印件，每张表格只填写一个项目，并标明序号。</w:t>
      </w:r>
    </w:p>
    <w:p>
      <w:pPr>
        <w:autoSpaceDE w:val="0"/>
        <w:autoSpaceDN w:val="0"/>
        <w:adjustRightInd w:val="0"/>
        <w:spacing w:line="360" w:lineRule="auto"/>
        <w:ind w:firstLine="482"/>
        <w:rPr>
          <w:rFonts w:hint="eastAsia" w:ascii="仿宋" w:hAnsi="仿宋" w:eastAsia="仿宋"/>
          <w:kern w:val="0"/>
          <w:sz w:val="24"/>
        </w:rPr>
      </w:pPr>
      <w:r>
        <w:rPr>
          <w:rFonts w:hint="eastAsia" w:ascii="仿宋" w:hAnsi="仿宋" w:eastAsia="仿宋" w:cs="宋体"/>
          <w:kern w:val="0"/>
          <w:sz w:val="24"/>
        </w:rPr>
        <w:t>（4</w:t>
      </w:r>
      <w:r>
        <w:rPr>
          <w:rFonts w:ascii="仿宋" w:hAnsi="仿宋" w:eastAsia="仿宋" w:cs="宋体"/>
          <w:kern w:val="0"/>
          <w:sz w:val="24"/>
        </w:rPr>
        <w:t>）</w:t>
      </w:r>
      <w:r>
        <w:rPr>
          <w:rFonts w:hint="eastAsia" w:ascii="仿宋" w:hAnsi="仿宋" w:eastAsia="仿宋"/>
          <w:color w:val="000000"/>
          <w:sz w:val="24"/>
        </w:rPr>
        <w:t>“试验报告及鉴定证书”应提供国家授权、许可产品检验检测机构出具的试验、鉴定报告复印件。国家规定需要生产许可产品的，须提供生产许可证复印件。</w:t>
      </w:r>
    </w:p>
    <w:p>
      <w:pPr>
        <w:autoSpaceDE w:val="0"/>
        <w:autoSpaceDN w:val="0"/>
        <w:adjustRightInd w:val="0"/>
        <w:spacing w:line="360" w:lineRule="auto"/>
        <w:ind w:firstLine="482"/>
        <w:rPr>
          <w:rFonts w:ascii="仿宋" w:hAnsi="仿宋" w:eastAsia="仿宋" w:cs="宋体"/>
          <w:kern w:val="0"/>
          <w:sz w:val="24"/>
        </w:rPr>
      </w:pPr>
      <w:r>
        <w:rPr>
          <w:rFonts w:hint="eastAsia" w:ascii="仿宋" w:hAnsi="仿宋" w:eastAsia="仿宋" w:cs="宋体"/>
          <w:kern w:val="0"/>
          <w:sz w:val="24"/>
        </w:rPr>
        <w:t>（5</w:t>
      </w:r>
      <w:r>
        <w:rPr>
          <w:rFonts w:ascii="仿宋" w:hAnsi="仿宋" w:eastAsia="仿宋" w:cs="宋体"/>
          <w:kern w:val="0"/>
          <w:sz w:val="24"/>
        </w:rPr>
        <w:t>）</w:t>
      </w:r>
      <w:r>
        <w:rPr>
          <w:rFonts w:hint="eastAsia" w:ascii="仿宋" w:hAnsi="仿宋" w:eastAsia="仿宋" w:cs="宋体"/>
          <w:kern w:val="0"/>
          <w:sz w:val="24"/>
        </w:rPr>
        <w:t>响应人</w:t>
      </w:r>
      <w:r>
        <w:rPr>
          <w:rFonts w:ascii="仿宋" w:hAnsi="仿宋" w:eastAsia="仿宋" w:cs="宋体"/>
          <w:kern w:val="0"/>
          <w:sz w:val="24"/>
        </w:rPr>
        <w:t>认为有必要提供的其他证明文件。</w:t>
      </w:r>
    </w:p>
    <w:p>
      <w:pPr>
        <w:pStyle w:val="4"/>
      </w:pPr>
      <w:bookmarkStart w:id="117" w:name="_Toc449101795"/>
      <w:bookmarkStart w:id="118" w:name="_Toc514919744"/>
      <w:bookmarkStart w:id="119" w:name="_Toc514920894"/>
      <w:bookmarkStart w:id="120" w:name="_Toc14856830"/>
      <w:r>
        <w:t xml:space="preserve">3.3  </w:t>
      </w:r>
      <w:r>
        <w:rPr>
          <w:rFonts w:hint="eastAsia"/>
        </w:rPr>
        <w:t>竞争性谈判报价</w:t>
      </w:r>
      <w:bookmarkEnd w:id="116"/>
      <w:bookmarkEnd w:id="117"/>
      <w:bookmarkEnd w:id="118"/>
      <w:bookmarkEnd w:id="119"/>
      <w:bookmarkEnd w:id="120"/>
      <w:r>
        <w:t xml:space="preserve"> </w:t>
      </w:r>
    </w:p>
    <w:p>
      <w:pPr>
        <w:autoSpaceDE w:val="0"/>
        <w:autoSpaceDN w:val="0"/>
        <w:adjustRightInd w:val="0"/>
        <w:spacing w:line="360" w:lineRule="auto"/>
        <w:ind w:firstLine="482"/>
        <w:rPr>
          <w:rFonts w:ascii="仿宋" w:hAnsi="仿宋" w:eastAsia="仿宋" w:cs="宋体"/>
          <w:kern w:val="0"/>
          <w:sz w:val="24"/>
        </w:rPr>
      </w:pPr>
      <w:r>
        <w:rPr>
          <w:rFonts w:hint="eastAsia" w:ascii="仿宋" w:hAnsi="仿宋" w:eastAsia="仿宋" w:cs="宋体"/>
          <w:kern w:val="0"/>
          <w:sz w:val="24"/>
        </w:rPr>
        <w:t>（1</w:t>
      </w:r>
      <w:r>
        <w:rPr>
          <w:rFonts w:ascii="仿宋" w:hAnsi="仿宋" w:eastAsia="仿宋" w:cs="宋体"/>
          <w:kern w:val="0"/>
          <w:sz w:val="24"/>
        </w:rPr>
        <w:t>）</w:t>
      </w:r>
      <w:r>
        <w:rPr>
          <w:rFonts w:hint="eastAsia" w:ascii="仿宋" w:hAnsi="仿宋" w:eastAsia="仿宋" w:cs="宋体"/>
          <w:kern w:val="0"/>
          <w:sz w:val="24"/>
        </w:rPr>
        <w:t>报价是指响应人在正确地完全履行合同义务后采购人应支付给响应人所有的货物价款，包括原材料、生产加工、装卸费、出厂检验试验费、采购保管费、运输、过路过桥费、车辆油料费及税金、保险费、利润、税金等各项费用。</w:t>
      </w:r>
    </w:p>
    <w:p>
      <w:pPr>
        <w:autoSpaceDE w:val="0"/>
        <w:autoSpaceDN w:val="0"/>
        <w:adjustRightInd w:val="0"/>
        <w:spacing w:line="360" w:lineRule="auto"/>
        <w:ind w:firstLine="482"/>
        <w:rPr>
          <w:rFonts w:ascii="仿宋" w:hAnsi="仿宋" w:eastAsia="仿宋" w:cs="宋体"/>
          <w:kern w:val="0"/>
          <w:sz w:val="24"/>
        </w:rPr>
      </w:pPr>
      <w:r>
        <w:rPr>
          <w:rFonts w:hint="eastAsia" w:ascii="仿宋" w:hAnsi="仿宋" w:eastAsia="仿宋" w:cs="宋体"/>
          <w:kern w:val="0"/>
          <w:sz w:val="24"/>
        </w:rPr>
        <w:t>（2</w:t>
      </w:r>
      <w:r>
        <w:rPr>
          <w:rFonts w:ascii="仿宋" w:hAnsi="仿宋" w:eastAsia="仿宋" w:cs="宋体"/>
          <w:kern w:val="0"/>
          <w:sz w:val="24"/>
        </w:rPr>
        <w:t>）</w:t>
      </w:r>
      <w:r>
        <w:rPr>
          <w:rFonts w:hint="eastAsia" w:ascii="仿宋" w:hAnsi="仿宋" w:eastAsia="仿宋" w:cs="宋体"/>
          <w:kern w:val="0"/>
          <w:sz w:val="24"/>
        </w:rPr>
        <w:t>响应人必须按附件的首次报价表、各分项</w:t>
      </w:r>
      <w:r>
        <w:rPr>
          <w:rFonts w:ascii="仿宋" w:hAnsi="仿宋" w:eastAsia="仿宋" w:cs="宋体"/>
          <w:kern w:val="0"/>
          <w:sz w:val="24"/>
        </w:rPr>
        <w:t>报价表</w:t>
      </w:r>
      <w:r>
        <w:rPr>
          <w:rFonts w:hint="eastAsia" w:ascii="仿宋" w:hAnsi="仿宋" w:eastAsia="仿宋" w:cs="宋体"/>
          <w:kern w:val="0"/>
          <w:sz w:val="24"/>
        </w:rPr>
        <w:t>的内容填写产品单价、合价及其他事项，并由法定代表人或授权代表签署。</w:t>
      </w:r>
    </w:p>
    <w:p>
      <w:pPr>
        <w:autoSpaceDE w:val="0"/>
        <w:autoSpaceDN w:val="0"/>
        <w:adjustRightInd w:val="0"/>
        <w:spacing w:line="360" w:lineRule="auto"/>
        <w:ind w:firstLine="482"/>
        <w:rPr>
          <w:rFonts w:ascii="仿宋" w:hAnsi="仿宋" w:eastAsia="仿宋" w:cs="宋体"/>
          <w:kern w:val="0"/>
          <w:sz w:val="24"/>
        </w:rPr>
      </w:pPr>
      <w:r>
        <w:rPr>
          <w:rFonts w:hint="eastAsia" w:ascii="仿宋" w:hAnsi="仿宋" w:eastAsia="仿宋" w:cs="宋体"/>
          <w:kern w:val="0"/>
          <w:sz w:val="24"/>
        </w:rPr>
        <w:t>（3</w:t>
      </w:r>
      <w:r>
        <w:rPr>
          <w:rFonts w:ascii="仿宋" w:hAnsi="仿宋" w:eastAsia="仿宋" w:cs="宋体"/>
          <w:kern w:val="0"/>
          <w:sz w:val="24"/>
        </w:rPr>
        <w:t>）</w:t>
      </w:r>
      <w:r>
        <w:rPr>
          <w:rFonts w:hint="eastAsia" w:ascii="仿宋" w:hAnsi="仿宋" w:eastAsia="仿宋" w:cs="宋体"/>
          <w:kern w:val="0"/>
          <w:sz w:val="24"/>
        </w:rPr>
        <w:t>报价货币人民币（国内）或美元、欧元（国外）。</w:t>
      </w:r>
    </w:p>
    <w:p>
      <w:pPr>
        <w:autoSpaceDE w:val="0"/>
        <w:autoSpaceDN w:val="0"/>
        <w:adjustRightInd w:val="0"/>
        <w:spacing w:line="360" w:lineRule="auto"/>
        <w:ind w:firstLine="482"/>
        <w:rPr>
          <w:rFonts w:ascii="仿宋" w:hAnsi="仿宋" w:eastAsia="仿宋" w:cs="宋体"/>
          <w:kern w:val="0"/>
          <w:sz w:val="24"/>
        </w:rPr>
      </w:pPr>
      <w:r>
        <w:rPr>
          <w:rFonts w:hint="eastAsia" w:ascii="仿宋" w:hAnsi="仿宋" w:eastAsia="仿宋" w:cs="宋体"/>
          <w:kern w:val="0"/>
          <w:sz w:val="24"/>
        </w:rPr>
        <w:t>（4</w:t>
      </w:r>
      <w:r>
        <w:rPr>
          <w:rFonts w:ascii="仿宋" w:hAnsi="仿宋" w:eastAsia="仿宋" w:cs="宋体"/>
          <w:kern w:val="0"/>
          <w:sz w:val="24"/>
        </w:rPr>
        <w:t>）</w:t>
      </w:r>
      <w:r>
        <w:rPr>
          <w:rFonts w:hint="eastAsia" w:ascii="仿宋" w:hAnsi="仿宋" w:eastAsia="仿宋" w:cs="宋体"/>
          <w:kern w:val="0"/>
          <w:sz w:val="24"/>
        </w:rPr>
        <w:t>不接受任何选择报价，对每一种货物只允许一个报价。</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cs="宋体"/>
          <w:kern w:val="0"/>
          <w:sz w:val="24"/>
        </w:rPr>
        <w:t>（5</w:t>
      </w:r>
      <w:r>
        <w:rPr>
          <w:rFonts w:ascii="仿宋" w:hAnsi="仿宋" w:eastAsia="仿宋" w:cs="宋体"/>
          <w:kern w:val="0"/>
          <w:sz w:val="24"/>
        </w:rPr>
        <w:t>）</w:t>
      </w:r>
      <w:r>
        <w:rPr>
          <w:rFonts w:hint="eastAsia" w:ascii="仿宋" w:hAnsi="仿宋" w:eastAsia="仿宋" w:cs="宋体"/>
          <w:kern w:val="0"/>
          <w:sz w:val="24"/>
        </w:rPr>
        <w:t>所有响应人的竞争性谈判响应最终报价的单价和总价在合同执行过程中是固定不变的。</w:t>
      </w:r>
    </w:p>
    <w:p>
      <w:pPr>
        <w:pStyle w:val="4"/>
        <w:rPr>
          <w:rFonts w:hint="eastAsia"/>
        </w:rPr>
      </w:pPr>
      <w:bookmarkStart w:id="121" w:name="_Toc444296341"/>
      <w:bookmarkStart w:id="122" w:name="_Toc14856831"/>
      <w:bookmarkStart w:id="123" w:name="_Toc514919745"/>
      <w:bookmarkStart w:id="124" w:name="_Toc514920895"/>
      <w:bookmarkStart w:id="125" w:name="_Toc449101796"/>
      <w:r>
        <w:t xml:space="preserve">3.4  </w:t>
      </w:r>
      <w:bookmarkEnd w:id="121"/>
      <w:r>
        <w:rPr>
          <w:rFonts w:hint="eastAsia"/>
        </w:rPr>
        <w:t>竞争性谈判有效期</w:t>
      </w:r>
      <w:bookmarkEnd w:id="122"/>
    </w:p>
    <w:p>
      <w:pPr>
        <w:spacing w:line="360" w:lineRule="auto"/>
        <w:ind w:firstLine="480" w:firstLineChars="200"/>
        <w:rPr>
          <w:rFonts w:hint="eastAsia" w:ascii="仿宋" w:hAnsi="仿宋" w:eastAsia="仿宋"/>
          <w:sz w:val="24"/>
        </w:rPr>
      </w:pPr>
      <w:r>
        <w:rPr>
          <w:rFonts w:hint="eastAsia" w:ascii="仿宋" w:hAnsi="仿宋" w:eastAsia="仿宋"/>
          <w:sz w:val="24"/>
        </w:rPr>
        <w:t>3.4.1除响应人须知前附表另有规定外，竞争性谈判有效期为90天。</w:t>
      </w:r>
    </w:p>
    <w:p>
      <w:pPr>
        <w:spacing w:line="360" w:lineRule="auto"/>
        <w:ind w:firstLine="480" w:firstLineChars="200"/>
        <w:rPr>
          <w:rFonts w:hint="eastAsia" w:ascii="仿宋" w:hAnsi="仿宋" w:eastAsia="仿宋"/>
          <w:sz w:val="24"/>
        </w:rPr>
      </w:pPr>
      <w:r>
        <w:rPr>
          <w:rFonts w:hint="eastAsia" w:ascii="仿宋" w:hAnsi="仿宋" w:eastAsia="仿宋"/>
          <w:sz w:val="24"/>
        </w:rPr>
        <w:t>3.4.2在竞争性谈判有效期内，响应人撤销响应文件的，应承担采购文件和法律规定的责任。</w:t>
      </w:r>
    </w:p>
    <w:p>
      <w:pPr>
        <w:spacing w:line="360" w:lineRule="auto"/>
        <w:ind w:firstLine="480" w:firstLineChars="200"/>
        <w:rPr>
          <w:rFonts w:ascii="仿宋" w:hAnsi="仿宋" w:eastAsia="仿宋"/>
          <w:sz w:val="24"/>
        </w:rPr>
      </w:pPr>
      <w:r>
        <w:rPr>
          <w:rFonts w:hint="eastAsia" w:ascii="仿宋" w:hAnsi="仿宋" w:eastAsia="仿宋"/>
          <w:sz w:val="24"/>
        </w:rPr>
        <w:t>3.4.3出现特殊情况需要延长竞争性谈判有效期的，采购人以书面形式通知所有响应人延长有效期。响应人应予以书面答复，同意延长的，应相应延长其竞争性谈判保证金的有效期，但不得要求或被允许修改其响应文件；响应人拒绝延长的，其竞谈失效，但响应人有权收回其竞争性谈判保证金。</w:t>
      </w:r>
    </w:p>
    <w:p>
      <w:pPr>
        <w:rPr>
          <w:rFonts w:hint="eastAsia"/>
        </w:rPr>
      </w:pPr>
    </w:p>
    <w:p>
      <w:pPr>
        <w:pStyle w:val="4"/>
        <w:rPr>
          <w:rFonts w:hint="eastAsia"/>
        </w:rPr>
      </w:pPr>
      <w:bookmarkStart w:id="126" w:name="_Toc14856832"/>
      <w:r>
        <w:t xml:space="preserve">3.5  </w:t>
      </w:r>
      <w:r>
        <w:rPr>
          <w:rFonts w:hint="eastAsia"/>
        </w:rPr>
        <w:t>竞争性谈判保证金</w:t>
      </w:r>
      <w:bookmarkEnd w:id="126"/>
    </w:p>
    <w:p>
      <w:pPr>
        <w:spacing w:line="360" w:lineRule="auto"/>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5</w:t>
      </w:r>
      <w:r>
        <w:rPr>
          <w:rFonts w:ascii="仿宋" w:hAnsi="仿宋" w:eastAsia="仿宋"/>
          <w:sz w:val="24"/>
        </w:rPr>
        <w:t>.1</w:t>
      </w:r>
      <w:r>
        <w:rPr>
          <w:rFonts w:hint="eastAsia" w:ascii="仿宋" w:hAnsi="仿宋" w:eastAsia="仿宋"/>
          <w:sz w:val="24"/>
        </w:rPr>
        <w:t>响应人在递交响应文件的同时，应按响应人须知前附表规定的金额、担保形式递交竞争性谈判保证金，并作为其响应文件的组成部分。联合体竞谈的，其竞争性谈判保证金由牵头人递交，金额、担保形式符合响应人须知前附表的规定。</w:t>
      </w:r>
    </w:p>
    <w:p>
      <w:pPr>
        <w:spacing w:line="360" w:lineRule="auto"/>
        <w:ind w:firstLine="480" w:firstLineChars="200"/>
        <w:rPr>
          <w:rFonts w:ascii="仿宋" w:hAnsi="仿宋" w:eastAsia="仿宋"/>
          <w:sz w:val="24"/>
        </w:rPr>
      </w:pPr>
      <w:r>
        <w:rPr>
          <w:rFonts w:hint="eastAsia" w:ascii="仿宋" w:hAnsi="仿宋" w:eastAsia="仿宋"/>
          <w:sz w:val="24"/>
        </w:rPr>
        <w:t>3.5.2响应人不按本章第3.4.1项要求提交竞争性谈判保证金的，评标委员会将否决其竞谈。</w:t>
      </w:r>
    </w:p>
    <w:p>
      <w:pPr>
        <w:spacing w:line="360" w:lineRule="auto"/>
        <w:ind w:firstLine="480" w:firstLineChars="200"/>
        <w:rPr>
          <w:rFonts w:ascii="仿宋" w:hAnsi="仿宋" w:eastAsia="仿宋"/>
          <w:sz w:val="24"/>
        </w:rPr>
      </w:pPr>
      <w:r>
        <w:rPr>
          <w:rFonts w:ascii="仿宋" w:hAnsi="仿宋" w:eastAsia="仿宋"/>
          <w:sz w:val="24"/>
        </w:rPr>
        <w:t>3.</w:t>
      </w:r>
      <w:r>
        <w:rPr>
          <w:rFonts w:hint="eastAsia" w:ascii="仿宋" w:hAnsi="仿宋" w:eastAsia="仿宋"/>
          <w:sz w:val="24"/>
        </w:rPr>
        <w:t>5</w:t>
      </w:r>
      <w:r>
        <w:rPr>
          <w:rFonts w:ascii="仿宋" w:hAnsi="仿宋" w:eastAsia="仿宋"/>
          <w:sz w:val="24"/>
        </w:rPr>
        <w:t>.3</w:t>
      </w:r>
      <w:r>
        <w:rPr>
          <w:rFonts w:hint="eastAsia" w:ascii="仿宋" w:hAnsi="仿宋" w:eastAsia="仿宋"/>
          <w:sz w:val="24"/>
        </w:rPr>
        <w:t>采购人与成交人签订合同5个工作日内，向所有响应人退还竞争性谈判保证金。</w:t>
      </w:r>
    </w:p>
    <w:p>
      <w:pPr>
        <w:spacing w:line="360" w:lineRule="auto"/>
        <w:ind w:firstLine="480" w:firstLineChars="200"/>
        <w:rPr>
          <w:rFonts w:ascii="仿宋" w:hAnsi="仿宋" w:eastAsia="仿宋"/>
          <w:sz w:val="24"/>
        </w:rPr>
      </w:pPr>
      <w:r>
        <w:rPr>
          <w:rFonts w:hint="eastAsia" w:ascii="仿宋" w:hAnsi="仿宋" w:eastAsia="仿宋"/>
          <w:sz w:val="24"/>
        </w:rPr>
        <w:t>3.5.4有下列情形之一的，竞争性谈判保证金将不予退还：</w:t>
      </w:r>
    </w:p>
    <w:p>
      <w:pPr>
        <w:spacing w:line="360" w:lineRule="auto"/>
        <w:ind w:firstLine="480" w:firstLineChars="200"/>
        <w:rPr>
          <w:rFonts w:hint="eastAsia" w:ascii="仿宋" w:hAnsi="仿宋" w:eastAsia="仿宋"/>
          <w:sz w:val="24"/>
        </w:rPr>
      </w:pPr>
      <w:r>
        <w:rPr>
          <w:rFonts w:hint="eastAsia" w:ascii="仿宋" w:hAnsi="仿宋" w:eastAsia="仿宋"/>
          <w:sz w:val="24"/>
        </w:rPr>
        <w:t>（1）响应人在竞谈有效期内撤销响应文件；</w:t>
      </w:r>
    </w:p>
    <w:p>
      <w:pPr>
        <w:spacing w:line="360" w:lineRule="auto"/>
        <w:ind w:firstLine="480" w:firstLineChars="200"/>
        <w:rPr>
          <w:rFonts w:hint="eastAsia" w:ascii="仿宋" w:hAnsi="仿宋" w:eastAsia="仿宋"/>
          <w:sz w:val="24"/>
        </w:rPr>
      </w:pPr>
      <w:r>
        <w:rPr>
          <w:rFonts w:hint="eastAsia" w:ascii="仿宋" w:hAnsi="仿宋" w:eastAsia="仿宋"/>
          <w:sz w:val="24"/>
        </w:rPr>
        <w:t>（2）成交人在收到成交通知书后，无正当理由不与采购人订立合同，在签订合同时向采购人提出附加条件，或者不按竞争性谈判文件规定提交履约保证金；</w:t>
      </w:r>
    </w:p>
    <w:p>
      <w:pPr>
        <w:spacing w:line="360" w:lineRule="auto"/>
        <w:ind w:firstLine="480" w:firstLineChars="200"/>
        <w:rPr>
          <w:rFonts w:ascii="仿宋" w:hAnsi="仿宋" w:eastAsia="仿宋"/>
          <w:sz w:val="24"/>
        </w:rPr>
      </w:pPr>
      <w:r>
        <w:rPr>
          <w:rFonts w:hint="eastAsia" w:ascii="仿宋" w:hAnsi="仿宋" w:eastAsia="仿宋"/>
          <w:sz w:val="24"/>
        </w:rPr>
        <w:t>（3）发生响应人须知前附表规定的其他可以不予退还竞争性谈判保证金的情形。</w:t>
      </w:r>
    </w:p>
    <w:p>
      <w:pPr>
        <w:rPr>
          <w:rFonts w:hint="eastAsia"/>
        </w:rPr>
      </w:pPr>
    </w:p>
    <w:p>
      <w:pPr>
        <w:pStyle w:val="4"/>
        <w:rPr>
          <w:rFonts w:hint="eastAsia"/>
        </w:rPr>
      </w:pPr>
      <w:bookmarkStart w:id="127" w:name="_Toc14856833"/>
      <w:r>
        <w:rPr>
          <w:rFonts w:hint="eastAsia"/>
        </w:rPr>
        <w:t>3.6  响应文件</w:t>
      </w:r>
      <w:r>
        <w:t>说明书及技术资料</w:t>
      </w:r>
      <w:bookmarkEnd w:id="123"/>
      <w:bookmarkEnd w:id="124"/>
      <w:bookmarkEnd w:id="125"/>
      <w:bookmarkEnd w:id="127"/>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cs="宋体"/>
          <w:kern w:val="0"/>
          <w:sz w:val="24"/>
        </w:rPr>
        <w:t>响应人应提交证明其有资格参加竞争性谈判和成交后有能力履行合同的文件，并作为其竞争性谈判响应文件的一部分。</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（1）</w:t>
      </w:r>
      <w:r>
        <w:rPr>
          <w:rFonts w:hint="eastAsia" w:ascii="仿宋" w:hAnsi="仿宋" w:eastAsia="仿宋" w:cs="宋体"/>
          <w:kern w:val="0"/>
          <w:sz w:val="24"/>
        </w:rPr>
        <w:t>响应人竞争性谈判时应提交的符合性证明文件应满足</w:t>
      </w:r>
      <w:r>
        <w:rPr>
          <w:rFonts w:hint="eastAsia" w:ascii="仿宋" w:hAnsi="仿宋" w:eastAsia="仿宋"/>
          <w:kern w:val="0"/>
          <w:sz w:val="24"/>
        </w:rPr>
        <w:t>竞争性</w:t>
      </w:r>
      <w:r>
        <w:rPr>
          <w:rFonts w:ascii="仿宋" w:hAnsi="仿宋" w:eastAsia="仿宋"/>
          <w:kern w:val="0"/>
          <w:sz w:val="24"/>
        </w:rPr>
        <w:t>谈判</w:t>
      </w:r>
      <w:r>
        <w:rPr>
          <w:rFonts w:hint="eastAsia" w:ascii="仿宋" w:hAnsi="仿宋" w:eastAsia="仿宋"/>
          <w:kern w:val="0"/>
          <w:sz w:val="24"/>
        </w:rPr>
        <w:t>文件</w:t>
      </w:r>
      <w:r>
        <w:rPr>
          <w:rFonts w:hint="eastAsia" w:ascii="仿宋" w:hAnsi="仿宋" w:eastAsia="仿宋" w:cs="宋体"/>
          <w:kern w:val="0"/>
          <w:sz w:val="24"/>
        </w:rPr>
        <w:t>要求。</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（2）</w:t>
      </w:r>
      <w:r>
        <w:rPr>
          <w:rFonts w:hint="eastAsia" w:ascii="仿宋" w:hAnsi="仿宋" w:eastAsia="仿宋" w:cs="宋体"/>
          <w:kern w:val="0"/>
          <w:sz w:val="24"/>
        </w:rPr>
        <w:t>证明材料及服务合格和符合竞争性</w:t>
      </w:r>
      <w:r>
        <w:rPr>
          <w:rFonts w:ascii="仿宋" w:hAnsi="仿宋" w:eastAsia="仿宋" w:cs="宋体"/>
          <w:kern w:val="0"/>
          <w:sz w:val="24"/>
        </w:rPr>
        <w:t>谈判</w:t>
      </w:r>
      <w:r>
        <w:rPr>
          <w:rFonts w:hint="eastAsia" w:ascii="仿宋" w:hAnsi="仿宋" w:eastAsia="仿宋" w:cs="宋体"/>
          <w:kern w:val="0"/>
          <w:sz w:val="24"/>
        </w:rPr>
        <w:t>文件规定的文件。这些文件可以是文字资料、图样和数据。</w:t>
      </w:r>
      <w:r>
        <w:rPr>
          <w:rFonts w:ascii="仿宋" w:hAnsi="仿宋" w:eastAsia="仿宋"/>
          <w:kern w:val="0"/>
          <w:sz w:val="24"/>
        </w:rPr>
        <w:t xml:space="preserve"> </w:t>
      </w:r>
    </w:p>
    <w:p>
      <w:pPr>
        <w:autoSpaceDE w:val="0"/>
        <w:autoSpaceDN w:val="0"/>
        <w:adjustRightInd w:val="0"/>
        <w:spacing w:line="360" w:lineRule="auto"/>
        <w:ind w:firstLine="482"/>
        <w:rPr>
          <w:rFonts w:hint="eastAsia" w:ascii="仿宋" w:hAnsi="仿宋" w:eastAsia="仿宋"/>
          <w:kern w:val="0"/>
          <w:sz w:val="24"/>
        </w:rPr>
      </w:pPr>
      <w:r>
        <w:rPr>
          <w:rFonts w:hint="eastAsia" w:ascii="仿宋" w:hAnsi="仿宋" w:eastAsia="仿宋"/>
          <w:kern w:val="0"/>
          <w:sz w:val="24"/>
        </w:rPr>
        <w:t>（3）</w:t>
      </w:r>
      <w:r>
        <w:rPr>
          <w:rFonts w:hint="eastAsia" w:ascii="仿宋" w:hAnsi="仿宋" w:eastAsia="仿宋" w:cs="宋体"/>
          <w:kern w:val="0"/>
          <w:sz w:val="24"/>
        </w:rPr>
        <w:t>对照竞争性</w:t>
      </w:r>
      <w:r>
        <w:rPr>
          <w:rFonts w:ascii="仿宋" w:hAnsi="仿宋" w:eastAsia="仿宋" w:cs="宋体"/>
          <w:kern w:val="0"/>
          <w:sz w:val="24"/>
        </w:rPr>
        <w:t>谈判</w:t>
      </w:r>
      <w:r>
        <w:rPr>
          <w:rFonts w:hint="eastAsia" w:ascii="仿宋" w:hAnsi="仿宋" w:eastAsia="仿宋" w:cs="宋体"/>
          <w:kern w:val="0"/>
          <w:sz w:val="24"/>
        </w:rPr>
        <w:t>文件要求，逐条说明所提供服务已对采购人的要求做了实质性的响应，或申明与技术规格条文的偏差和例外。</w:t>
      </w:r>
    </w:p>
    <w:p>
      <w:pPr>
        <w:pStyle w:val="4"/>
      </w:pPr>
      <w:bookmarkStart w:id="128" w:name="_Toc444296343"/>
      <w:bookmarkStart w:id="129" w:name="_Toc449101797"/>
      <w:bookmarkStart w:id="130" w:name="_Toc514919746"/>
      <w:bookmarkStart w:id="131" w:name="_Toc514920896"/>
      <w:bookmarkStart w:id="132" w:name="_Toc14856834"/>
      <w:r>
        <w:t>3.</w:t>
      </w:r>
      <w:r>
        <w:rPr>
          <w:rFonts w:hint="eastAsia"/>
        </w:rPr>
        <w:t>7</w:t>
      </w:r>
      <w:r>
        <w:t xml:space="preserve">  </w:t>
      </w:r>
      <w:r>
        <w:rPr>
          <w:rFonts w:hint="eastAsia"/>
        </w:rPr>
        <w:t>竞争性谈判响应文件的编制</w:t>
      </w:r>
      <w:bookmarkEnd w:id="128"/>
      <w:r>
        <w:rPr>
          <w:rFonts w:hint="eastAsia"/>
        </w:rPr>
        <w:t>、装订、密封</w:t>
      </w:r>
      <w:bookmarkEnd w:id="129"/>
      <w:bookmarkEnd w:id="130"/>
      <w:bookmarkEnd w:id="131"/>
      <w:bookmarkEnd w:id="132"/>
      <w: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（1）</w:t>
      </w:r>
      <w:r>
        <w:rPr>
          <w:rFonts w:hint="eastAsia" w:ascii="仿宋" w:hAnsi="仿宋" w:eastAsia="仿宋" w:cs="宋体"/>
          <w:kern w:val="0"/>
          <w:sz w:val="24"/>
        </w:rPr>
        <w:t>竞争性谈判响应文件应严格按第四章要求的格式进行编写。</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（2）</w:t>
      </w:r>
      <w:r>
        <w:rPr>
          <w:rFonts w:hint="eastAsia" w:ascii="仿宋" w:hAnsi="仿宋" w:eastAsia="仿宋"/>
          <w:sz w:val="24"/>
        </w:rPr>
        <w:t>（A）</w:t>
      </w:r>
      <w:r>
        <w:rPr>
          <w:rFonts w:hint="eastAsia" w:ascii="仿宋" w:hAnsi="仿宋" w:eastAsia="仿宋" w:cs="宋体"/>
          <w:kern w:val="0"/>
          <w:sz w:val="24"/>
        </w:rPr>
        <w:t>竞争性谈判响应文件（包括报价文件）应包括正本一份</w:t>
      </w:r>
      <w:r>
        <w:rPr>
          <w:rFonts w:ascii="仿宋" w:hAnsi="仿宋" w:eastAsia="仿宋" w:cs="宋体"/>
          <w:kern w:val="0"/>
          <w:sz w:val="24"/>
        </w:rPr>
        <w:t>，副本数量见响应人须知前附表</w:t>
      </w:r>
      <w:r>
        <w:rPr>
          <w:rFonts w:hint="eastAsia" w:ascii="仿宋" w:hAnsi="仿宋" w:eastAsia="仿宋" w:cs="宋体"/>
          <w:kern w:val="0"/>
          <w:sz w:val="24"/>
        </w:rPr>
        <w:t>，并明确标明“正本”和“副本”。对正本和副本不一致处，以正本为准。响应人应递交可编辑的电子版竞争性谈判文件</w:t>
      </w:r>
      <w:r>
        <w:rPr>
          <w:rFonts w:ascii="仿宋" w:hAnsi="仿宋" w:eastAsia="仿宋"/>
          <w:kern w:val="0"/>
          <w:sz w:val="24"/>
        </w:rPr>
        <w:t>1</w:t>
      </w:r>
      <w:r>
        <w:rPr>
          <w:rFonts w:hint="eastAsia" w:ascii="仿宋" w:hAnsi="仿宋" w:eastAsia="仿宋" w:cs="宋体"/>
          <w:kern w:val="0"/>
          <w:sz w:val="24"/>
        </w:rPr>
        <w:t>套（</w:t>
      </w:r>
      <w:r>
        <w:rPr>
          <w:rFonts w:ascii="仿宋" w:hAnsi="仿宋" w:eastAsia="仿宋"/>
          <w:kern w:val="0"/>
          <w:sz w:val="24"/>
        </w:rPr>
        <w:t>U</w:t>
      </w:r>
      <w:r>
        <w:rPr>
          <w:rFonts w:hint="eastAsia" w:ascii="仿宋" w:hAnsi="仿宋" w:eastAsia="仿宋" w:cs="宋体"/>
          <w:kern w:val="0"/>
          <w:sz w:val="24"/>
        </w:rPr>
        <w:t>盘），响应文件的电子版中所有文本文件和表格均分别采用</w:t>
      </w:r>
      <w:r>
        <w:rPr>
          <w:rFonts w:ascii="仿宋" w:hAnsi="仿宋" w:eastAsia="仿宋"/>
          <w:kern w:val="0"/>
          <w:sz w:val="24"/>
        </w:rPr>
        <w:t>Word</w:t>
      </w:r>
      <w:r>
        <w:rPr>
          <w:rFonts w:hint="eastAsia" w:ascii="仿宋" w:hAnsi="仿宋" w:eastAsia="仿宋" w:cs="宋体"/>
          <w:kern w:val="0"/>
          <w:sz w:val="24"/>
        </w:rPr>
        <w:t>和</w:t>
      </w:r>
      <w:r>
        <w:rPr>
          <w:rFonts w:ascii="仿宋" w:hAnsi="仿宋" w:eastAsia="仿宋"/>
          <w:kern w:val="0"/>
          <w:sz w:val="24"/>
        </w:rPr>
        <w:t>Excel</w:t>
      </w:r>
      <w:r>
        <w:rPr>
          <w:rFonts w:hint="eastAsia" w:ascii="仿宋" w:hAnsi="仿宋" w:eastAsia="仿宋" w:cs="宋体"/>
          <w:kern w:val="0"/>
          <w:sz w:val="24"/>
        </w:rPr>
        <w:t>编辑。</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cs="宋体"/>
          <w:kern w:val="0"/>
          <w:sz w:val="24"/>
        </w:rPr>
        <w:t>竞争性谈判响应文件应由响应人的法定代表人或其授权代表签名，并应按规定加盖响应人的单位公章。</w:t>
      </w:r>
    </w:p>
    <w:p>
      <w:pPr>
        <w:autoSpaceDE w:val="0"/>
        <w:autoSpaceDN w:val="0"/>
        <w:adjustRightInd w:val="0"/>
        <w:spacing w:line="360" w:lineRule="auto"/>
        <w:ind w:firstLine="482"/>
        <w:rPr>
          <w:rFonts w:ascii="仿宋" w:hAnsi="仿宋" w:eastAsia="仿宋" w:cs="宋体"/>
          <w:kern w:val="0"/>
          <w:sz w:val="24"/>
        </w:rPr>
      </w:pPr>
      <w:r>
        <w:rPr>
          <w:rFonts w:hint="eastAsia" w:ascii="仿宋" w:hAnsi="仿宋" w:eastAsia="仿宋" w:cs="宋体"/>
          <w:kern w:val="0"/>
          <w:sz w:val="24"/>
        </w:rPr>
        <w:t>填写竞争性谈判响应文件时，如有修改，则应由响应人的法人代表或其授权代表在修改处签名或盖章。</w:t>
      </w:r>
    </w:p>
    <w:p>
      <w:pPr>
        <w:autoSpaceDE w:val="0"/>
        <w:autoSpaceDN w:val="0"/>
        <w:adjustRightInd w:val="0"/>
        <w:spacing w:line="360" w:lineRule="auto"/>
        <w:ind w:firstLine="482"/>
        <w:rPr>
          <w:rFonts w:hint="eastAsia" w:ascii="仿宋" w:hAnsi="仿宋" w:eastAsia="仿宋" w:cs="宋体"/>
          <w:kern w:val="0"/>
          <w:sz w:val="24"/>
        </w:rPr>
      </w:pPr>
      <w:r>
        <w:rPr>
          <w:rFonts w:hint="eastAsia" w:ascii="仿宋" w:hAnsi="仿宋" w:eastAsia="仿宋" w:cs="宋体"/>
          <w:kern w:val="0"/>
          <w:sz w:val="24"/>
        </w:rPr>
        <w:t>装订要求详见须知前附表。</w:t>
      </w:r>
    </w:p>
    <w:p>
      <w:pPr>
        <w:autoSpaceDE w:val="0"/>
        <w:autoSpaceDN w:val="0"/>
        <w:adjustRightInd w:val="0"/>
        <w:spacing w:line="360" w:lineRule="auto"/>
        <w:ind w:firstLine="482"/>
        <w:rPr>
          <w:rFonts w:hint="eastAsia" w:ascii="仿宋" w:hAnsi="仿宋" w:eastAsia="仿宋" w:cs="宋体"/>
          <w:kern w:val="0"/>
          <w:sz w:val="24"/>
        </w:rPr>
      </w:pPr>
      <w:r>
        <w:rPr>
          <w:rFonts w:hint="eastAsia" w:ascii="仿宋" w:hAnsi="仿宋" w:eastAsia="仿宋" w:cs="宋体"/>
          <w:kern w:val="0"/>
          <w:sz w:val="24"/>
        </w:rPr>
        <w:t>密封要求详见须知前附表。</w:t>
      </w:r>
    </w:p>
    <w:p>
      <w:pPr>
        <w:spacing w:line="360" w:lineRule="auto"/>
        <w:ind w:firstLine="480" w:firstLineChars="200"/>
        <w:rPr>
          <w:rFonts w:ascii="仿宋" w:hAnsi="仿宋" w:eastAsia="仿宋"/>
          <w:kern w:val="0"/>
          <w:sz w:val="24"/>
        </w:rPr>
      </w:pPr>
      <w:r>
        <w:rPr>
          <w:rFonts w:hint="eastAsia" w:ascii="仿宋" w:hAnsi="仿宋" w:eastAsia="仿宋"/>
          <w:kern w:val="0"/>
          <w:sz w:val="24"/>
        </w:rPr>
        <w:t>（2）</w:t>
      </w:r>
      <w:r>
        <w:rPr>
          <w:rFonts w:hint="eastAsia" w:ascii="仿宋" w:hAnsi="仿宋" w:eastAsia="仿宋"/>
          <w:sz w:val="24"/>
        </w:rPr>
        <w:t>（B）响应文件全部采用电子文档，除响应人须知前附表另有规定外，响应文件所附证书证件均为原件扫描件，并采用单位和个人数字证书，按采购文件要求在相应位置上加盖电子印章。由响应人的法定代表人（单位负责人）签字或加盖电子印章的，应附法定代表人（单位负责人）身份证明，由代理人签字或加盖电子印章的，应附由法定代表人（单位负责人）签署的授权委托书。签字或盖章的具体要求见响应人须知前附表。</w:t>
      </w:r>
    </w:p>
    <w:p>
      <w:pPr>
        <w:pStyle w:val="4"/>
      </w:pPr>
      <w:bookmarkStart w:id="133" w:name="_Toc444296344"/>
      <w:bookmarkStart w:id="134" w:name="_Toc449101798"/>
      <w:bookmarkStart w:id="135" w:name="_Toc514919747"/>
      <w:bookmarkStart w:id="136" w:name="_Toc514920897"/>
      <w:bookmarkStart w:id="137" w:name="_Toc14856835"/>
      <w:r>
        <w:t>3.</w:t>
      </w:r>
      <w:r>
        <w:rPr>
          <w:rFonts w:hint="eastAsia"/>
        </w:rPr>
        <w:t>8</w:t>
      </w:r>
      <w:r>
        <w:t xml:space="preserve">  </w:t>
      </w:r>
      <w:r>
        <w:rPr>
          <w:rFonts w:hint="eastAsia" w:cs="宋体"/>
        </w:rPr>
        <w:t>竞争性谈判</w:t>
      </w:r>
      <w:r>
        <w:rPr>
          <w:rFonts w:hint="eastAsia" w:cs="黑体"/>
        </w:rPr>
        <w:t>响应文件的递交</w:t>
      </w:r>
      <w:bookmarkEnd w:id="133"/>
      <w:bookmarkEnd w:id="134"/>
      <w:bookmarkEnd w:id="135"/>
      <w:bookmarkEnd w:id="136"/>
      <w:bookmarkEnd w:id="137"/>
      <w: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（1）</w:t>
      </w:r>
      <w:r>
        <w:rPr>
          <w:rFonts w:hint="eastAsia" w:ascii="仿宋" w:hAnsi="仿宋" w:eastAsia="仿宋" w:cs="宋体"/>
          <w:kern w:val="0"/>
          <w:sz w:val="24"/>
        </w:rPr>
        <w:t>响应人应在</w:t>
      </w:r>
      <w:r>
        <w:rPr>
          <w:rFonts w:hint="eastAsia" w:ascii="仿宋" w:hAnsi="仿宋" w:eastAsia="仿宋"/>
          <w:kern w:val="0"/>
          <w:sz w:val="24"/>
        </w:rPr>
        <w:t>须知</w:t>
      </w:r>
      <w:r>
        <w:rPr>
          <w:rFonts w:ascii="仿宋" w:hAnsi="仿宋" w:eastAsia="仿宋"/>
          <w:kern w:val="0"/>
          <w:sz w:val="24"/>
        </w:rPr>
        <w:t>前附表</w:t>
      </w:r>
      <w:r>
        <w:rPr>
          <w:rFonts w:hint="eastAsia" w:ascii="仿宋" w:hAnsi="仿宋" w:eastAsia="仿宋"/>
          <w:kern w:val="0"/>
          <w:sz w:val="24"/>
        </w:rPr>
        <w:t>规定</w:t>
      </w:r>
      <w:r>
        <w:rPr>
          <w:rFonts w:ascii="仿宋" w:hAnsi="仿宋" w:eastAsia="仿宋"/>
          <w:kern w:val="0"/>
          <w:sz w:val="24"/>
        </w:rPr>
        <w:t>的时间</w:t>
      </w:r>
      <w:r>
        <w:rPr>
          <w:rFonts w:hint="eastAsia" w:ascii="仿宋" w:hAnsi="仿宋" w:eastAsia="仿宋"/>
          <w:kern w:val="0"/>
          <w:sz w:val="24"/>
        </w:rPr>
        <w:t>和</w:t>
      </w:r>
      <w:r>
        <w:rPr>
          <w:rFonts w:ascii="仿宋" w:hAnsi="仿宋" w:eastAsia="仿宋"/>
          <w:kern w:val="0"/>
          <w:sz w:val="24"/>
        </w:rPr>
        <w:t>地点</w:t>
      </w:r>
      <w:r>
        <w:rPr>
          <w:rFonts w:hint="eastAsia" w:ascii="仿宋" w:hAnsi="仿宋" w:eastAsia="仿宋" w:cs="宋体"/>
          <w:kern w:val="0"/>
          <w:sz w:val="24"/>
        </w:rPr>
        <w:t>递交竞争性谈判响应文件。</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2</w:t>
      </w:r>
      <w:r>
        <w:rPr>
          <w:rFonts w:hint="eastAsia" w:ascii="仿宋" w:hAnsi="仿宋" w:eastAsia="仿宋"/>
          <w:kern w:val="0"/>
          <w:sz w:val="24"/>
        </w:rPr>
        <w:t>）</w:t>
      </w:r>
      <w:r>
        <w:rPr>
          <w:rFonts w:hint="eastAsia" w:ascii="仿宋" w:hAnsi="仿宋" w:eastAsia="仿宋" w:cs="宋体"/>
          <w:kern w:val="0"/>
          <w:sz w:val="24"/>
        </w:rPr>
        <w:t>响应人递交的竞争性谈判响应文件不予退还。</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cs="宋体"/>
          <w:kern w:val="0"/>
          <w:sz w:val="24"/>
        </w:rPr>
        <w:t>（</w:t>
      </w:r>
      <w:r>
        <w:rPr>
          <w:rFonts w:ascii="仿宋" w:hAnsi="仿宋" w:eastAsia="仿宋" w:cs="宋体"/>
          <w:kern w:val="0"/>
          <w:sz w:val="24"/>
        </w:rPr>
        <w:t>3）</w:t>
      </w:r>
      <w:r>
        <w:rPr>
          <w:rFonts w:hint="eastAsia" w:ascii="仿宋" w:hAnsi="仿宋" w:eastAsia="仿宋" w:cs="宋体"/>
          <w:kern w:val="0"/>
          <w:sz w:val="24"/>
        </w:rPr>
        <w:t>逾期送达的或者未送达指定地点的竞争性谈判响应文件以及未按规定密封和标记的竞争性谈判响应文件，采购人不予受理。</w:t>
      </w:r>
      <w:r>
        <w:rPr>
          <w:rFonts w:ascii="仿宋" w:hAnsi="仿宋" w:eastAsia="仿宋"/>
          <w:kern w:val="0"/>
          <w:sz w:val="24"/>
        </w:rPr>
        <w:t xml:space="preserve"> </w:t>
      </w:r>
    </w:p>
    <w:p>
      <w:pPr>
        <w:pStyle w:val="4"/>
      </w:pPr>
      <w:bookmarkStart w:id="138" w:name="_Toc444296345"/>
      <w:bookmarkStart w:id="139" w:name="_Toc449101799"/>
      <w:bookmarkStart w:id="140" w:name="_Toc514919748"/>
      <w:bookmarkStart w:id="141" w:name="_Toc514920898"/>
      <w:bookmarkStart w:id="142" w:name="_Toc14856836"/>
      <w:r>
        <w:t>3.</w:t>
      </w:r>
      <w:r>
        <w:rPr>
          <w:rFonts w:hint="eastAsia"/>
        </w:rPr>
        <w:t>9</w:t>
      </w:r>
      <w:r>
        <w:t xml:space="preserve">  </w:t>
      </w:r>
      <w:r>
        <w:rPr>
          <w:rFonts w:hint="eastAsia" w:cs="宋体"/>
        </w:rPr>
        <w:t>竞争性谈判</w:t>
      </w:r>
      <w:r>
        <w:rPr>
          <w:rFonts w:hint="eastAsia"/>
        </w:rPr>
        <w:t>响应文件的修改和撤回</w:t>
      </w:r>
      <w:bookmarkEnd w:id="138"/>
      <w:bookmarkEnd w:id="139"/>
      <w:bookmarkEnd w:id="140"/>
      <w:bookmarkEnd w:id="141"/>
      <w:bookmarkEnd w:id="142"/>
      <w: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（1）递交</w:t>
      </w:r>
      <w:r>
        <w:rPr>
          <w:rFonts w:hint="eastAsia" w:ascii="仿宋" w:hAnsi="仿宋" w:eastAsia="仿宋" w:cs="宋体"/>
          <w:kern w:val="0"/>
          <w:sz w:val="24"/>
        </w:rPr>
        <w:t>竞争性谈判响应</w:t>
      </w:r>
      <w:r>
        <w:rPr>
          <w:rFonts w:ascii="仿宋" w:hAnsi="仿宋" w:eastAsia="仿宋" w:cs="宋体"/>
          <w:kern w:val="0"/>
          <w:sz w:val="24"/>
        </w:rPr>
        <w:t>文件</w:t>
      </w:r>
      <w:r>
        <w:rPr>
          <w:rFonts w:hint="eastAsia" w:ascii="仿宋" w:hAnsi="仿宋" w:eastAsia="仿宋" w:cs="宋体"/>
          <w:kern w:val="0"/>
          <w:sz w:val="24"/>
        </w:rPr>
        <w:t>截止时间前，响应人可以修正、补充或撤回已送达的竞争性谈判响应文件，且应密封、加印，并在内层封套面上注明相应的“修改”、“补充”或“撤回”的字样。并须在竞争性谈判截止时间前按第</w:t>
      </w:r>
      <w:r>
        <w:rPr>
          <w:rFonts w:ascii="仿宋" w:hAnsi="仿宋" w:eastAsia="仿宋"/>
          <w:kern w:val="0"/>
          <w:sz w:val="24"/>
        </w:rPr>
        <w:t>3.6</w:t>
      </w:r>
      <w:r>
        <w:rPr>
          <w:rFonts w:hint="eastAsia" w:ascii="仿宋" w:hAnsi="仿宋" w:eastAsia="仿宋"/>
          <w:kern w:val="0"/>
          <w:sz w:val="24"/>
        </w:rPr>
        <w:t>款</w:t>
      </w:r>
      <w:r>
        <w:rPr>
          <w:rFonts w:hint="eastAsia" w:ascii="仿宋" w:hAnsi="仿宋" w:eastAsia="仿宋" w:cs="宋体"/>
          <w:kern w:val="0"/>
          <w:sz w:val="24"/>
        </w:rPr>
        <w:t>规定的递交。</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（2）</w:t>
      </w:r>
      <w:r>
        <w:rPr>
          <w:rFonts w:hint="eastAsia" w:ascii="仿宋" w:hAnsi="仿宋" w:eastAsia="仿宋" w:cs="宋体"/>
          <w:kern w:val="0"/>
          <w:sz w:val="24"/>
        </w:rPr>
        <w:t>响应人修改响应文件的书面文件将作为响应文件的一部分。</w:t>
      </w:r>
      <w:r>
        <w:rPr>
          <w:rFonts w:ascii="仿宋" w:hAnsi="仿宋" w:eastAsia="仿宋"/>
          <w:kern w:val="0"/>
          <w:sz w:val="24"/>
        </w:rPr>
        <w:t xml:space="preserve"> </w:t>
      </w:r>
    </w:p>
    <w:p>
      <w:pPr>
        <w:pStyle w:val="3"/>
      </w:pPr>
      <w:bookmarkStart w:id="143" w:name="_Toc429570971"/>
      <w:bookmarkStart w:id="144" w:name="_Toc431150204"/>
      <w:bookmarkStart w:id="145" w:name="_Toc433814081"/>
      <w:bookmarkStart w:id="146" w:name="_Toc434479604"/>
      <w:bookmarkStart w:id="147" w:name="_Toc14856837"/>
      <w:r>
        <w:t>4</w:t>
      </w:r>
      <w:r>
        <w:rPr>
          <w:rFonts w:hint="eastAsia"/>
        </w:rPr>
        <w:t>、</w:t>
      </w:r>
      <w:bookmarkEnd w:id="143"/>
      <w:bookmarkStart w:id="148" w:name="谈判与评审"/>
      <w:r>
        <w:rPr>
          <w:rFonts w:hint="eastAsia"/>
        </w:rPr>
        <w:t>谈判与评审</w:t>
      </w:r>
      <w:bookmarkEnd w:id="144"/>
      <w:bookmarkEnd w:id="145"/>
      <w:bookmarkEnd w:id="146"/>
      <w:bookmarkEnd w:id="147"/>
      <w:r>
        <w:t xml:space="preserve"> </w:t>
      </w:r>
      <w:bookmarkEnd w:id="148"/>
    </w:p>
    <w:p>
      <w:pPr>
        <w:pStyle w:val="4"/>
        <w:rPr>
          <w:rFonts w:hint="eastAsia"/>
        </w:rPr>
      </w:pPr>
      <w:bookmarkStart w:id="149" w:name="_Toc444296347"/>
      <w:bookmarkStart w:id="150" w:name="_Toc449101801"/>
      <w:bookmarkStart w:id="151" w:name="_Toc514919750"/>
      <w:bookmarkStart w:id="152" w:name="_Toc514920900"/>
      <w:bookmarkStart w:id="153" w:name="_Toc14856838"/>
      <w:r>
        <w:rPr>
          <w:rFonts w:hint="eastAsia"/>
        </w:rPr>
        <w:t xml:space="preserve">4.1 </w:t>
      </w:r>
      <w:r>
        <w:t xml:space="preserve"> </w:t>
      </w:r>
      <w:r>
        <w:rPr>
          <w:rFonts w:hint="eastAsia"/>
        </w:rPr>
        <w:t>谈判</w:t>
      </w:r>
      <w:r>
        <w:t>小组</w:t>
      </w:r>
      <w:bookmarkEnd w:id="149"/>
      <w:bookmarkEnd w:id="150"/>
      <w:bookmarkEnd w:id="151"/>
      <w:bookmarkEnd w:id="152"/>
      <w:bookmarkEnd w:id="153"/>
    </w:p>
    <w:p>
      <w:pPr>
        <w:autoSpaceDE w:val="0"/>
        <w:autoSpaceDN w:val="0"/>
        <w:adjustRightInd w:val="0"/>
        <w:spacing w:line="360" w:lineRule="auto"/>
        <w:ind w:firstLine="480" w:firstLineChars="200"/>
        <w:rPr>
          <w:rFonts w:ascii="仿宋" w:hAnsi="仿宋" w:eastAsia="仿宋" w:cs="宋体"/>
          <w:kern w:val="0"/>
          <w:sz w:val="24"/>
        </w:rPr>
      </w:pPr>
      <w:r>
        <w:rPr>
          <w:rFonts w:hint="eastAsia" w:ascii="仿宋" w:hAnsi="仿宋" w:eastAsia="仿宋"/>
          <w:kern w:val="0"/>
          <w:sz w:val="24"/>
        </w:rPr>
        <w:t>（1）</w:t>
      </w:r>
      <w:r>
        <w:rPr>
          <w:rFonts w:hint="eastAsia" w:ascii="仿宋" w:hAnsi="仿宋" w:eastAsia="仿宋" w:cs="宋体"/>
          <w:kern w:val="0"/>
          <w:sz w:val="24"/>
        </w:rPr>
        <w:t>谈判</w:t>
      </w:r>
      <w:r>
        <w:rPr>
          <w:rFonts w:ascii="仿宋" w:hAnsi="仿宋" w:eastAsia="仿宋" w:cs="宋体"/>
          <w:kern w:val="0"/>
          <w:sz w:val="24"/>
        </w:rPr>
        <w:t>小组</w:t>
      </w:r>
      <w:r>
        <w:rPr>
          <w:rFonts w:hint="eastAsia" w:ascii="仿宋" w:hAnsi="仿宋" w:eastAsia="仿宋" w:cs="宋体"/>
          <w:kern w:val="0"/>
          <w:sz w:val="24"/>
        </w:rPr>
        <w:t>由采购机构依法组建。</w:t>
      </w:r>
    </w:p>
    <w:p>
      <w:pPr>
        <w:autoSpaceDE w:val="0"/>
        <w:autoSpaceDN w:val="0"/>
        <w:adjustRightInd w:val="0"/>
        <w:spacing w:line="360" w:lineRule="auto"/>
        <w:ind w:firstLine="480" w:firstLineChars="200"/>
        <w:rPr>
          <w:rFonts w:ascii="仿宋" w:hAnsi="仿宋" w:eastAsia="仿宋" w:cs="宋体"/>
          <w:kern w:val="0"/>
          <w:sz w:val="24"/>
        </w:rPr>
      </w:pPr>
      <w:r>
        <w:rPr>
          <w:rFonts w:hint="eastAsia" w:ascii="仿宋" w:hAnsi="仿宋" w:eastAsia="仿宋"/>
          <w:kern w:val="0"/>
          <w:sz w:val="24"/>
        </w:rPr>
        <w:t>（2）</w:t>
      </w:r>
      <w:r>
        <w:rPr>
          <w:rFonts w:hint="eastAsia" w:ascii="仿宋" w:hAnsi="仿宋" w:eastAsia="仿宋" w:cs="宋体"/>
          <w:kern w:val="0"/>
          <w:sz w:val="24"/>
        </w:rPr>
        <w:t>谈判会议</w:t>
      </w:r>
      <w:r>
        <w:rPr>
          <w:rFonts w:ascii="仿宋" w:hAnsi="仿宋" w:eastAsia="仿宋" w:cs="宋体"/>
          <w:kern w:val="0"/>
          <w:sz w:val="24"/>
        </w:rPr>
        <w:t>全过程由</w:t>
      </w:r>
      <w:r>
        <w:rPr>
          <w:rFonts w:hint="eastAsia" w:ascii="仿宋" w:hAnsi="仿宋" w:eastAsia="仿宋" w:cs="宋体"/>
          <w:kern w:val="0"/>
          <w:sz w:val="24"/>
        </w:rPr>
        <w:t>采购</w:t>
      </w:r>
      <w:r>
        <w:rPr>
          <w:rFonts w:ascii="仿宋" w:hAnsi="仿宋" w:eastAsia="仿宋" w:cs="宋体"/>
          <w:kern w:val="0"/>
          <w:sz w:val="24"/>
        </w:rPr>
        <w:t>人代表主持，邀请相关监督部门监督整个谈判过程。</w:t>
      </w:r>
    </w:p>
    <w:p>
      <w:pPr>
        <w:pStyle w:val="4"/>
      </w:pPr>
      <w:bookmarkStart w:id="154" w:name="_Toc449101802"/>
      <w:bookmarkStart w:id="155" w:name="_Toc514919751"/>
      <w:bookmarkStart w:id="156" w:name="_Toc514920901"/>
      <w:bookmarkStart w:id="157" w:name="_Toc14856839"/>
      <w:r>
        <w:rPr>
          <w:rFonts w:hint="eastAsia"/>
        </w:rPr>
        <w:t>4.2  谈判</w:t>
      </w:r>
      <w:r>
        <w:t>步骤</w:t>
      </w:r>
      <w:bookmarkEnd w:id="154"/>
      <w:bookmarkEnd w:id="155"/>
      <w:bookmarkEnd w:id="156"/>
      <w:bookmarkEnd w:id="157"/>
    </w:p>
    <w:p>
      <w:pPr>
        <w:spacing w:line="360" w:lineRule="auto"/>
        <w:ind w:firstLine="480" w:firstLineChars="200"/>
        <w:rPr>
          <w:rFonts w:hint="eastAsia" w:ascii="仿宋" w:hAnsi="仿宋" w:eastAsia="仿宋" w:cs="宋体"/>
          <w:bCs/>
          <w:color w:val="000000"/>
          <w:kern w:val="0"/>
          <w:sz w:val="24"/>
        </w:rPr>
      </w:pPr>
      <w:r>
        <w:rPr>
          <w:rFonts w:hint="eastAsia" w:ascii="仿宋" w:hAnsi="仿宋" w:eastAsia="仿宋" w:cs="宋体"/>
          <w:bCs/>
          <w:color w:val="000000"/>
          <w:kern w:val="0"/>
          <w:sz w:val="24"/>
        </w:rPr>
        <w:t>1．初评</w:t>
      </w:r>
    </w:p>
    <w:p>
      <w:pPr>
        <w:spacing w:line="360" w:lineRule="auto"/>
        <w:ind w:firstLine="480" w:firstLineChars="200"/>
        <w:rPr>
          <w:rFonts w:hint="eastAsia" w:ascii="仿宋" w:hAnsi="仿宋" w:eastAsia="仿宋" w:cs="宋体"/>
          <w:bCs/>
          <w:color w:val="000000"/>
          <w:kern w:val="0"/>
          <w:sz w:val="24"/>
        </w:rPr>
      </w:pPr>
      <w:r>
        <w:rPr>
          <w:rFonts w:hint="eastAsia" w:ascii="仿宋" w:hAnsi="仿宋" w:eastAsia="仿宋" w:cs="宋体"/>
          <w:bCs/>
          <w:color w:val="000000"/>
          <w:kern w:val="0"/>
          <w:sz w:val="24"/>
        </w:rPr>
        <w:t>对响应文件进行初步审查，审查响应人的资格，对符合资格条件的提出澄清问题和谈判内容。</w:t>
      </w:r>
    </w:p>
    <w:p>
      <w:pPr>
        <w:spacing w:line="360" w:lineRule="auto"/>
        <w:ind w:firstLine="480" w:firstLineChars="200"/>
        <w:rPr>
          <w:rFonts w:hint="eastAsia" w:ascii="仿宋" w:hAnsi="仿宋" w:eastAsia="仿宋" w:cs="宋体"/>
          <w:bCs/>
          <w:color w:val="000000"/>
          <w:kern w:val="0"/>
          <w:sz w:val="24"/>
        </w:rPr>
      </w:pPr>
      <w:r>
        <w:rPr>
          <w:rFonts w:hint="eastAsia" w:ascii="仿宋" w:hAnsi="仿宋" w:eastAsia="仿宋" w:cs="宋体"/>
          <w:bCs/>
          <w:color w:val="000000"/>
          <w:kern w:val="0"/>
          <w:sz w:val="24"/>
        </w:rPr>
        <w:t>2．与响应人分别谈判</w:t>
      </w:r>
    </w:p>
    <w:p>
      <w:pPr>
        <w:spacing w:line="360" w:lineRule="auto"/>
        <w:ind w:firstLine="480" w:firstLineChars="200"/>
        <w:rPr>
          <w:rFonts w:hint="eastAsia" w:ascii="仿宋" w:hAnsi="仿宋" w:eastAsia="仿宋" w:cs="宋体"/>
          <w:bCs/>
          <w:color w:val="000000"/>
          <w:kern w:val="0"/>
          <w:sz w:val="24"/>
        </w:rPr>
      </w:pPr>
      <w:r>
        <w:rPr>
          <w:rFonts w:hint="eastAsia" w:ascii="仿宋" w:hAnsi="仿宋" w:eastAsia="仿宋" w:cs="宋体"/>
          <w:bCs/>
          <w:color w:val="000000"/>
          <w:kern w:val="0"/>
          <w:sz w:val="24"/>
        </w:rPr>
        <w:t xml:space="preserve">谈判小组所有成员集中与符合资格条件的响应人分别进行谈判，要求响应人对响应文件进行澄清并同时提交二次密闭报价。谈判内容有实质性变动的，谈判小组将以书面形式通知所有参加谈判的响应人。 </w:t>
      </w:r>
    </w:p>
    <w:p>
      <w:pPr>
        <w:spacing w:line="360" w:lineRule="auto"/>
        <w:ind w:firstLine="480" w:firstLineChars="200"/>
        <w:rPr>
          <w:rFonts w:hint="eastAsia" w:ascii="仿宋" w:hAnsi="仿宋" w:eastAsia="仿宋" w:cs="宋体"/>
          <w:bCs/>
          <w:color w:val="000000"/>
          <w:kern w:val="0"/>
          <w:sz w:val="24"/>
        </w:rPr>
      </w:pPr>
      <w:r>
        <w:rPr>
          <w:rFonts w:hint="eastAsia" w:ascii="仿宋" w:hAnsi="仿宋" w:eastAsia="仿宋" w:cs="宋体"/>
          <w:bCs/>
          <w:color w:val="000000"/>
          <w:kern w:val="0"/>
          <w:sz w:val="24"/>
        </w:rPr>
        <w:t>3．综合评议</w:t>
      </w:r>
    </w:p>
    <w:p>
      <w:pPr>
        <w:spacing w:line="360" w:lineRule="auto"/>
        <w:ind w:firstLine="480" w:firstLineChars="200"/>
        <w:rPr>
          <w:rFonts w:hint="eastAsia"/>
        </w:rPr>
      </w:pPr>
      <w:r>
        <w:rPr>
          <w:rFonts w:hint="eastAsia" w:ascii="仿宋" w:hAnsi="仿宋" w:eastAsia="仿宋" w:cs="宋体"/>
          <w:bCs/>
          <w:color w:val="000000"/>
          <w:kern w:val="0"/>
          <w:sz w:val="24"/>
        </w:rPr>
        <w:t>谈判小组根据响应人的报价情况、响应文件以对响应人进行比较，并对谈判结果进行综合评议，编写竞争性谈判报告，推荐首选及备选</w:t>
      </w:r>
      <w:r>
        <w:rPr>
          <w:rFonts w:hint="eastAsia" w:ascii="仿宋" w:hAnsi="仿宋" w:eastAsia="仿宋"/>
          <w:sz w:val="24"/>
          <w:szCs w:val="24"/>
        </w:rPr>
        <w:t>成交</w:t>
      </w:r>
      <w:r>
        <w:rPr>
          <w:rFonts w:ascii="仿宋" w:hAnsi="仿宋" w:eastAsia="仿宋"/>
          <w:sz w:val="24"/>
          <w:szCs w:val="24"/>
        </w:rPr>
        <w:t>候选人</w:t>
      </w:r>
      <w:r>
        <w:rPr>
          <w:rFonts w:hint="eastAsia" w:ascii="仿宋" w:hAnsi="仿宋" w:eastAsia="仿宋" w:cs="宋体"/>
          <w:bCs/>
          <w:color w:val="000000"/>
          <w:kern w:val="0"/>
          <w:sz w:val="24"/>
        </w:rPr>
        <w:t>。</w:t>
      </w:r>
    </w:p>
    <w:p>
      <w:pPr>
        <w:spacing w:line="360" w:lineRule="auto"/>
        <w:ind w:firstLine="482" w:firstLineChars="200"/>
        <w:rPr>
          <w:rFonts w:hint="eastAsia" w:ascii="仿宋" w:hAnsi="仿宋" w:eastAsia="仿宋" w:cs="宋体"/>
          <w:b/>
          <w:bCs/>
          <w:color w:val="000000"/>
          <w:kern w:val="0"/>
          <w:sz w:val="24"/>
        </w:rPr>
      </w:pPr>
      <w:r>
        <w:rPr>
          <w:rFonts w:hint="eastAsia" w:ascii="仿宋" w:hAnsi="仿宋" w:eastAsia="仿宋" w:cs="宋体"/>
          <w:b/>
          <w:bCs/>
          <w:color w:val="000000"/>
          <w:kern w:val="0"/>
          <w:sz w:val="24"/>
        </w:rPr>
        <w:t>参加竞争性</w:t>
      </w:r>
      <w:r>
        <w:rPr>
          <w:rFonts w:ascii="仿宋" w:hAnsi="仿宋" w:eastAsia="仿宋" w:cs="宋体"/>
          <w:b/>
          <w:bCs/>
          <w:color w:val="000000"/>
          <w:kern w:val="0"/>
          <w:sz w:val="24"/>
        </w:rPr>
        <w:t>谈判人员必须是响应人</w:t>
      </w:r>
      <w:r>
        <w:rPr>
          <w:rFonts w:hint="eastAsia" w:ascii="仿宋" w:hAnsi="仿宋" w:eastAsia="仿宋" w:cs="宋体"/>
          <w:b/>
          <w:bCs/>
          <w:color w:val="000000"/>
          <w:kern w:val="0"/>
          <w:sz w:val="24"/>
        </w:rPr>
        <w:t>的</w:t>
      </w:r>
      <w:r>
        <w:rPr>
          <w:rFonts w:ascii="仿宋" w:hAnsi="仿宋" w:eastAsia="仿宋" w:cs="宋体"/>
          <w:b/>
          <w:bCs/>
          <w:color w:val="000000"/>
          <w:kern w:val="0"/>
          <w:sz w:val="24"/>
        </w:rPr>
        <w:t>法定代表人或委托代理人</w:t>
      </w:r>
      <w:r>
        <w:rPr>
          <w:rFonts w:hint="eastAsia" w:ascii="仿宋" w:hAnsi="仿宋" w:eastAsia="仿宋" w:cs="宋体"/>
          <w:b/>
          <w:bCs/>
          <w:color w:val="000000"/>
          <w:kern w:val="0"/>
          <w:sz w:val="24"/>
        </w:rPr>
        <w:t>（须携带身份证原件）和</w:t>
      </w:r>
      <w:r>
        <w:rPr>
          <w:rFonts w:ascii="仿宋" w:hAnsi="仿宋" w:eastAsia="仿宋" w:cs="宋体"/>
          <w:b/>
          <w:bCs/>
          <w:color w:val="000000"/>
          <w:kern w:val="0"/>
          <w:sz w:val="24"/>
        </w:rPr>
        <w:t>相关技术人员</w:t>
      </w:r>
      <w:r>
        <w:rPr>
          <w:rFonts w:hint="eastAsia" w:ascii="仿宋" w:hAnsi="仿宋" w:eastAsia="仿宋" w:cs="宋体"/>
          <w:b/>
          <w:bCs/>
          <w:color w:val="000000"/>
          <w:kern w:val="0"/>
          <w:sz w:val="24"/>
        </w:rPr>
        <w:t>。</w:t>
      </w:r>
    </w:p>
    <w:p>
      <w:pPr>
        <w:pStyle w:val="2"/>
        <w:ind w:firstLine="241" w:firstLineChars="100"/>
        <w:jc w:val="both"/>
        <w:rPr>
          <w:rFonts w:hint="eastAsia" w:ascii="仿宋" w:hAnsi="仿宋" w:eastAsia="仿宋" w:cs="仿宋"/>
          <w:sz w:val="24"/>
          <w:szCs w:val="24"/>
        </w:rPr>
      </w:pPr>
      <w:r>
        <w:rPr>
          <w:rFonts w:hint="eastAsia" w:ascii="仿宋" w:hAnsi="仿宋" w:eastAsia="仿宋" w:cs="仿宋"/>
          <w:sz w:val="24"/>
          <w:szCs w:val="24"/>
        </w:rPr>
        <w:t>评标办法（综合评估法）</w:t>
      </w:r>
    </w:p>
    <w:p>
      <w:pPr>
        <w:tabs>
          <w:tab w:val="left" w:pos="6237"/>
        </w:tabs>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为规范股份公司采购招标工作，根据《中华人民共和国招标投标法》、《中华人民共和国招标投标法实施条例》、《评标委员会和评标方法暂行规定》等法律、法规和股份公司有关采购招标规定，制定本办法。</w:t>
      </w:r>
    </w:p>
    <w:p>
      <w:pPr>
        <w:ind w:firstLine="48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一、评审方法</w:t>
      </w:r>
    </w:p>
    <w:p>
      <w:pPr>
        <w:ind w:firstLine="48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本次评审采用综合评估法对投标文件进行评审。</w:t>
      </w:r>
    </w:p>
    <w:p>
      <w:pPr>
        <w:ind w:firstLine="480"/>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二、评标原则</w:t>
      </w:r>
    </w:p>
    <w:p>
      <w:pPr>
        <w:ind w:firstLine="480"/>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评标遵循公平、公正、科学、择优的原则。</w:t>
      </w:r>
    </w:p>
    <w:p>
      <w:pPr>
        <w:ind w:firstLine="480"/>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三、评标组织及服务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1、为做好评标工作，成立评标委员会和工作小组。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2、评标委员会</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2.1评标委员会由招标人依法组建，评标委员会成员由招标人代表及熟悉相关业务的有关技术、经济等方面的专家组成。</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2.2评标委员会成员为</w:t>
      </w:r>
      <w:r>
        <w:rPr>
          <w:rFonts w:hint="eastAsia" w:ascii="仿宋" w:hAnsi="仿宋" w:eastAsia="仿宋" w:cs="仿宋"/>
          <w:bCs/>
          <w:color w:val="000000"/>
          <w:kern w:val="0"/>
          <w:sz w:val="24"/>
          <w:szCs w:val="24"/>
          <w:lang w:val="en-US" w:eastAsia="zh-CN"/>
        </w:rPr>
        <w:t>5</w:t>
      </w:r>
      <w:r>
        <w:rPr>
          <w:rFonts w:hint="eastAsia" w:ascii="仿宋" w:hAnsi="仿宋" w:eastAsia="仿宋" w:cs="仿宋"/>
          <w:bCs/>
          <w:color w:val="000000"/>
          <w:kern w:val="0"/>
          <w:sz w:val="24"/>
          <w:szCs w:val="24"/>
        </w:rPr>
        <w:t>人，（成员在中电建采购中心江西省电力建设有限公司评标专家库中抽取）。</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2.3评标委员会组建后报股份公司招标管理机构备案。</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2.4评标工作由评标委员会负责。</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3、工作小组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3.1由招标人组成工作小组，为评标委员会服务。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3.2工作小组承担保管招标文件、投标文件、发放评标资料、投标文件摘录汇总、基础数据对比、评分核对及会议服务。</w:t>
      </w:r>
    </w:p>
    <w:p>
      <w:pPr>
        <w:ind w:firstLine="480"/>
        <w:rPr>
          <w:rFonts w:hint="eastAsia" w:ascii="仿宋" w:hAnsi="仿宋" w:eastAsia="仿宋" w:cs="仿宋"/>
          <w:color w:val="000000"/>
          <w:kern w:val="0"/>
          <w:sz w:val="24"/>
          <w:szCs w:val="24"/>
        </w:rPr>
      </w:pPr>
      <w:r>
        <w:rPr>
          <w:rFonts w:hint="eastAsia" w:ascii="仿宋" w:hAnsi="仿宋" w:eastAsia="仿宋" w:cs="仿宋"/>
          <w:bCs/>
          <w:color w:val="000000"/>
          <w:kern w:val="0"/>
          <w:sz w:val="24"/>
          <w:szCs w:val="24"/>
        </w:rPr>
        <w:t>四、评标程序及内容</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1、投标文件初步评审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1.1投标资格审查---投标人的财务、技术、生产等方面是否满足投标资格的要求。</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1.2算术错误修正</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1.2.1报价清单中有计算或汇总中的算术错误时，按以下原则修正：</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（1）报价清单中的单价乘数量的乘积与该项目的合价不符时，应以单价为准，改正合价。</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（2）若投标报价汇总表中的金额与相应的各分项报价清单中的合计金额不符时，应以修正算术错误后的各分项报价清单中的合计金额为准，改正投标报价汇总表中相应部分的金额和投标总报价。</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1.2.2评标委员会按以上原则对投标报价进行修正，修正的价格经投标人书面确认后具有约束力。</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1.3投标文件符合性审查---对投标文件进行审查，有以下情形之一的，为重大偏差，其投标文件符合性审查不通过予以废除，不再进行详细评审：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（1）投标人提供的资格审查资料不满足招标文件要求的；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（2）没有按照招标文件要求提供投标担保或者所提供的投标担保有瑕疵不被招标人所接受的；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（3）投标文件未按招标文件要求盖章和签署的；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（4）经澄清，对投标报价的算术错误不接受修正的；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（5）投标报价低于成本或高于招标文件设定的最高限价的；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（6）对投标范围和工作内容有实质性偏差的；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（7）对合同中规定的双方权利和义务作实质性修改的；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（8）投标文件载明的货物包装方式、检验标准和方法等不符合招标文件要求的；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（9）主要性能指标（仅限于打“*”的）达不到招标文件要求的；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（10）纠正投标文件偏差或保留将会对投标竞争产生不公正影响的；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（11）有违反法律法规、弄虚作假的。</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1.4投标人不能修正或撤销投标文件重大偏差。招标人允许投标文件有微小的不正规、不一致或不规则，而该微小之处不构成重大偏差。</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2、投标文件澄清</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2.1投标文件中有含义不明确的内容、明显文字或者计算错误及投标报价水平等，评标委员会认为需要投标人做出必要的澄清、说明、成本价佐证、或者对细微偏差进行补正的，提出澄清问题。</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2.2评标委员会的澄清问题不得要求或提出对投标文件实质性内容进行修改，澄清问题由评标委员会主任确认后发出。</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2.3投标人的答复由其授权代表签字、加盖公章、签署日期后按要求发送，不得对原投标文件实质性内容进行修改，投标人的书面澄清、说明和补正属于投标文件的组成部分。</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2.4评标委员会不接受投标人主动提出的澄清、说明。</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2.5评标委员会的澄清问题和投标人的答复均以书面方式进行。</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3、投标文件详细评审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3.1评标委员会成员对通过初步评审的投标文件进行详细评审并对商务部分、技术部分独立打分，投标人商务部分、技术部分得分为评标委员会成员评分的算术平均值。专家打分保留一位小数，专家打分的算术平均值保留二位小数。</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3.2评标价</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3.2.1评标价仅作为计算投标报价得分依据。</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3.2.2评标价计算公式</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评标价=各投标人的投标报价的算术平均数（超5家投标人，去掉一个最高和一个最低报价的算术平均数）</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3.3评审、评分及排序</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3.3.1评审内容及分值</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根据报价、商务、技术三部分内容进行评审打分，报价部分满分为100分、权重为60%，商务部分满分为100分、权重为15%，技术部分满分为100分、权重为25%。</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投标文件得分=报价部分得分×60%+商务部分得分×15%+技术部分得分×25%</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3.3.2报价部分评审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按评标价计算报价得分，报价计算得分保留二位小数。</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报价得分计算细则：以评标价为基准（90分），高于评标价1%扣2分，低于评标价10%之内每低1%加1分，低于评标价10%之外，每低1%扣1分。</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3.3.3商务部分评审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按商务部分评分细则进行评审。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商务部分评分细则：商务部分总分100分，由评标委员会成员对投标文件的商务部分充分审核、综合比较与评价后独立评分。在统计得分时，如发现某一单项评分超过评分细则规定的分值范围，则该评分表无效。投标人技术部分的最终得分为评标委员会成员的有效评分的算术平均值（7名及以上评委时，最终得分为评标委员会成员的有效评分去掉一个最高分和一个最低分后的算术平均分值）</w:t>
      </w:r>
    </w:p>
    <w:tbl>
      <w:tblPr>
        <w:tblStyle w:val="21"/>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1262"/>
        <w:gridCol w:w="404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评审因素</w:t>
            </w:r>
          </w:p>
        </w:tc>
        <w:tc>
          <w:tcPr>
            <w:tcW w:w="1262" w:type="dxa"/>
            <w:vAlign w:val="center"/>
          </w:tcPr>
          <w:p>
            <w:pPr>
              <w:ind w:firstLine="420"/>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分值</w:t>
            </w:r>
          </w:p>
        </w:tc>
        <w:tc>
          <w:tcPr>
            <w:tcW w:w="4048" w:type="dxa"/>
            <w:vAlign w:val="center"/>
          </w:tcPr>
          <w:p>
            <w:pPr>
              <w:ind w:firstLine="420"/>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评分标准</w:t>
            </w:r>
          </w:p>
        </w:tc>
        <w:tc>
          <w:tcPr>
            <w:tcW w:w="1095" w:type="dxa"/>
            <w:vAlign w:val="center"/>
          </w:tcPr>
          <w:p>
            <w:pPr>
              <w:ind w:firstLine="420"/>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企业基本情况</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35</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根据生产能力0－10分、外购的主要零部件的品牌影响力0－10分、近三年的营业额0－10分、附件的完整状况0－5分。</w:t>
            </w:r>
          </w:p>
        </w:tc>
        <w:tc>
          <w:tcPr>
            <w:tcW w:w="1095" w:type="dxa"/>
            <w:vAlign w:val="center"/>
          </w:tcPr>
          <w:p>
            <w:pPr>
              <w:ind w:firstLine="420"/>
              <w:rPr>
                <w:rFonts w:hint="eastAsia" w:ascii="仿宋" w:hAnsi="仿宋" w:eastAsia="仿宋" w:cs="仿宋"/>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企业的财务状况</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35</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近三年企业经审计的财务报告及正文及资产负债表、利润表、现金流量表0-35分。</w:t>
            </w:r>
          </w:p>
        </w:tc>
        <w:tc>
          <w:tcPr>
            <w:tcW w:w="1095" w:type="dxa"/>
            <w:vAlign w:val="center"/>
          </w:tcPr>
          <w:p>
            <w:pPr>
              <w:ind w:firstLine="420"/>
              <w:rPr>
                <w:rFonts w:hint="eastAsia" w:ascii="仿宋" w:hAnsi="仿宋" w:eastAsia="仿宋" w:cs="仿宋"/>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投标函、授权委托书、投标保证金</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15</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投标函、授权委托书、投标保证金等资料的完整性0-15。</w:t>
            </w:r>
          </w:p>
        </w:tc>
        <w:tc>
          <w:tcPr>
            <w:tcW w:w="1095" w:type="dxa"/>
            <w:vAlign w:val="center"/>
          </w:tcPr>
          <w:p>
            <w:pPr>
              <w:ind w:firstLine="420"/>
              <w:rPr>
                <w:rFonts w:hint="eastAsia" w:ascii="仿宋" w:hAnsi="仿宋" w:eastAsia="仿宋" w:cs="仿宋"/>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投标人认为应补充的其它商务资料</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15</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投标人认为应补充的其它商务资料0-15分。</w:t>
            </w:r>
          </w:p>
        </w:tc>
        <w:tc>
          <w:tcPr>
            <w:tcW w:w="1095" w:type="dxa"/>
            <w:vAlign w:val="center"/>
          </w:tcPr>
          <w:p>
            <w:pPr>
              <w:ind w:firstLine="420"/>
              <w:rPr>
                <w:rFonts w:hint="eastAsia" w:ascii="仿宋" w:hAnsi="仿宋" w:eastAsia="仿宋" w:cs="仿宋"/>
                <w:bCs/>
                <w:color w:val="000000"/>
                <w:kern w:val="0"/>
                <w:sz w:val="24"/>
                <w:szCs w:val="24"/>
              </w:rPr>
            </w:pPr>
          </w:p>
        </w:tc>
      </w:tr>
    </w:tbl>
    <w:p>
      <w:pPr>
        <w:ind w:firstLine="480"/>
        <w:rPr>
          <w:rFonts w:hint="eastAsia" w:ascii="仿宋" w:hAnsi="仿宋" w:eastAsia="仿宋" w:cs="仿宋"/>
          <w:bCs/>
          <w:color w:val="000000"/>
          <w:kern w:val="0"/>
          <w:sz w:val="24"/>
          <w:szCs w:val="24"/>
        </w:rPr>
      </w:pP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3.3.4技术部分评审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按技术部分评分细则进行评审。</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技术部分评分细则：技术部分总分100分，由评标委员会成员对投标文件的技术部分充分审核、综合比较与评价后独立评分。在统计得分时，如发现某一单项评分超过评分细则规定的分值范围，则该评分表无效。投标人技术部分的最终得分为评标委员会成员的有效评分的算术平均值（7名及以上评委时，最终得分为评标委员会成员的有效评分去掉一个最高分和一个最低分后的算术平均分值）。</w:t>
      </w:r>
    </w:p>
    <w:tbl>
      <w:tblPr>
        <w:tblStyle w:val="21"/>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1262"/>
        <w:gridCol w:w="4048"/>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评审因素</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分值</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评分标准</w:t>
            </w:r>
          </w:p>
        </w:tc>
        <w:tc>
          <w:tcPr>
            <w:tcW w:w="1095"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企业信誉</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5</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具有良好的银行资信和商业信誉0－2分，近三年没有处于被责令停业，财产被接管、冻结、破产状态0－3分。</w:t>
            </w:r>
          </w:p>
        </w:tc>
        <w:tc>
          <w:tcPr>
            <w:tcW w:w="1095" w:type="dxa"/>
            <w:vAlign w:val="center"/>
          </w:tcPr>
          <w:p>
            <w:pPr>
              <w:ind w:firstLine="420"/>
              <w:rPr>
                <w:rFonts w:hint="eastAsia" w:ascii="仿宋" w:hAnsi="仿宋" w:eastAsia="仿宋" w:cs="仿宋"/>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生产能力</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10</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满足设备交货时间0-10分。</w:t>
            </w:r>
          </w:p>
        </w:tc>
        <w:tc>
          <w:tcPr>
            <w:tcW w:w="1095" w:type="dxa"/>
            <w:vAlign w:val="center"/>
          </w:tcPr>
          <w:p>
            <w:pPr>
              <w:ind w:firstLine="420"/>
              <w:rPr>
                <w:rFonts w:hint="eastAsia" w:ascii="仿宋" w:hAnsi="仿宋" w:eastAsia="仿宋" w:cs="仿宋"/>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设备技术性能</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15</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产品机构设计合理，技术先进性，材料选用合理，加工工艺先进，安全可靠，故障少0-15。</w:t>
            </w:r>
          </w:p>
        </w:tc>
        <w:tc>
          <w:tcPr>
            <w:tcW w:w="1095" w:type="dxa"/>
            <w:vAlign w:val="center"/>
          </w:tcPr>
          <w:p>
            <w:pPr>
              <w:ind w:firstLine="420"/>
              <w:rPr>
                <w:rFonts w:hint="eastAsia" w:ascii="仿宋" w:hAnsi="仿宋" w:eastAsia="仿宋" w:cs="仿宋"/>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质量保证措施</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15</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质量体系及质量保证体系健全完善0-5分，设备出厂试验、检验设备齐全、可靠0-5分，质量保证措施切实可行0-5分。</w:t>
            </w:r>
          </w:p>
        </w:tc>
        <w:tc>
          <w:tcPr>
            <w:tcW w:w="1095" w:type="dxa"/>
            <w:vAlign w:val="center"/>
          </w:tcPr>
          <w:p>
            <w:pPr>
              <w:ind w:firstLine="420"/>
              <w:rPr>
                <w:rFonts w:hint="eastAsia" w:ascii="仿宋" w:hAnsi="仿宋" w:eastAsia="仿宋" w:cs="仿宋"/>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技术方案</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40</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对招标文件中功能要求和技术要求的相应程度0-40分。</w:t>
            </w:r>
          </w:p>
        </w:tc>
        <w:tc>
          <w:tcPr>
            <w:tcW w:w="1095" w:type="dxa"/>
            <w:vAlign w:val="center"/>
          </w:tcPr>
          <w:p>
            <w:pPr>
              <w:ind w:firstLine="420"/>
              <w:rPr>
                <w:rFonts w:hint="eastAsia" w:ascii="仿宋" w:hAnsi="仿宋" w:eastAsia="仿宋" w:cs="仿宋"/>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技术服务</w:t>
            </w:r>
          </w:p>
        </w:tc>
        <w:tc>
          <w:tcPr>
            <w:tcW w:w="1262"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10</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安装指导0-4分，售后服务体系健全，措施得力并能提供完善的技术支持和服务0-6分。</w:t>
            </w:r>
          </w:p>
        </w:tc>
        <w:tc>
          <w:tcPr>
            <w:tcW w:w="1095" w:type="dxa"/>
            <w:vAlign w:val="center"/>
          </w:tcPr>
          <w:p>
            <w:pPr>
              <w:ind w:firstLine="420"/>
              <w:rPr>
                <w:rFonts w:hint="eastAsia" w:ascii="仿宋" w:hAnsi="仿宋" w:eastAsia="仿宋" w:cs="仿宋"/>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投标人认为应补充的其它技术资料</w:t>
            </w:r>
          </w:p>
        </w:tc>
        <w:tc>
          <w:tcPr>
            <w:tcW w:w="1262" w:type="dxa"/>
            <w:vAlign w:val="center"/>
          </w:tcPr>
          <w:p>
            <w:pPr>
              <w:ind w:firstLine="420"/>
              <w:jc w:val="center"/>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5</w:t>
            </w:r>
          </w:p>
        </w:tc>
        <w:tc>
          <w:tcPr>
            <w:tcW w:w="4048" w:type="dxa"/>
            <w:vAlign w:val="center"/>
          </w:tcPr>
          <w:p>
            <w:pPr>
              <w:ind w:firstLine="42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投标人认为应补充的其它技术资料0-5。</w:t>
            </w:r>
          </w:p>
        </w:tc>
        <w:tc>
          <w:tcPr>
            <w:tcW w:w="1095" w:type="dxa"/>
            <w:vAlign w:val="center"/>
          </w:tcPr>
          <w:p>
            <w:pPr>
              <w:ind w:firstLine="420"/>
              <w:rPr>
                <w:rFonts w:hint="eastAsia" w:ascii="仿宋" w:hAnsi="仿宋" w:eastAsia="仿宋" w:cs="仿宋"/>
                <w:bCs/>
                <w:color w:val="000000"/>
                <w:kern w:val="0"/>
                <w:sz w:val="24"/>
                <w:szCs w:val="24"/>
              </w:rPr>
            </w:pPr>
          </w:p>
        </w:tc>
      </w:tr>
    </w:tbl>
    <w:p>
      <w:pPr>
        <w:ind w:firstLine="480"/>
        <w:rPr>
          <w:rFonts w:hint="eastAsia" w:ascii="仿宋" w:hAnsi="仿宋" w:eastAsia="仿宋" w:cs="仿宋"/>
          <w:bCs/>
          <w:color w:val="000000"/>
          <w:kern w:val="0"/>
          <w:sz w:val="24"/>
          <w:szCs w:val="24"/>
        </w:rPr>
      </w:pP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五、评标报告</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1、评标委员会根据评标情况和结果，向招标人提交评标报告。评标报告由评标委员会起草，评标委员会全体成员应在评标报告上签字确认，评标专家如有保留意见可以在评标报告中阐明。</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2、评标委员会在评标报告中根据得分排序推荐前一至三名为中标候选人。得分相同时，报价低者优先。得分相同报价相同时，以技术得分高者优者。</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3、评标报告应包括以下内容：</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（1）开标记录表</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（2）初步评审过程和结果</w:t>
      </w:r>
    </w:p>
    <w:p>
      <w:pPr>
        <w:ind w:firstLine="1080" w:firstLineChars="45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包括资格审查、算术错误检查、符合性审查、澄清问题及答复，若有废标应对其情况和依据进行说明；</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（3）详细评审过程和结果</w:t>
      </w:r>
    </w:p>
    <w:p>
      <w:pPr>
        <w:ind w:firstLine="1080" w:firstLineChars="45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包括评标价计算、报价部分评分计算，商务部分、技术部分评审打分，汇总排序；</w:t>
      </w:r>
    </w:p>
    <w:p>
      <w:pPr>
        <w:ind w:firstLine="480"/>
        <w:rPr>
          <w:rFonts w:hint="eastAsia" w:ascii="仿宋" w:hAnsi="仿宋" w:eastAsia="仿宋" w:cs="仿宋"/>
          <w:bCs/>
          <w:color w:val="000000"/>
          <w:kern w:val="0"/>
          <w:sz w:val="24"/>
          <w:szCs w:val="24"/>
        </w:rPr>
      </w:pPr>
      <w:r>
        <w:rPr>
          <w:rFonts w:hint="eastAsia" w:ascii="仿宋" w:hAnsi="仿宋" w:eastAsia="仿宋" w:cs="仿宋"/>
          <w:bCs/>
          <w:color w:val="000000"/>
          <w:kern w:val="0"/>
          <w:sz w:val="24"/>
          <w:szCs w:val="24"/>
        </w:rPr>
        <w:t>（4）推荐中标候选人；</w:t>
      </w:r>
    </w:p>
    <w:p>
      <w:pPr>
        <w:ind w:firstLine="480"/>
        <w:rPr>
          <w:rFonts w:hint="eastAsia"/>
        </w:rPr>
      </w:pPr>
      <w:r>
        <w:rPr>
          <w:rFonts w:hint="eastAsia" w:ascii="仿宋" w:hAnsi="仿宋" w:eastAsia="仿宋" w:cs="仿宋"/>
          <w:bCs/>
          <w:color w:val="000000"/>
          <w:kern w:val="0"/>
          <w:sz w:val="24"/>
          <w:szCs w:val="24"/>
        </w:rPr>
        <w:t>（5）中标候选人的优劣对比和存在问题。</w:t>
      </w:r>
    </w:p>
    <w:p>
      <w:pPr>
        <w:pStyle w:val="4"/>
      </w:pPr>
      <w:bookmarkStart w:id="158" w:name="_Toc449101803"/>
      <w:bookmarkStart w:id="159" w:name="_Toc514919752"/>
      <w:bookmarkStart w:id="160" w:name="_Toc514920902"/>
      <w:bookmarkStart w:id="161" w:name="_Toc14856840"/>
      <w:r>
        <w:rPr>
          <w:rFonts w:hint="eastAsia"/>
        </w:rPr>
        <w:t>4.</w:t>
      </w:r>
      <w:r>
        <w:t>4</w:t>
      </w:r>
      <w:r>
        <w:rPr>
          <w:rFonts w:hint="eastAsia"/>
        </w:rPr>
        <w:t xml:space="preserve"> </w:t>
      </w:r>
      <w:r>
        <w:t xml:space="preserve"> </w:t>
      </w:r>
      <w:r>
        <w:rPr>
          <w:rFonts w:hint="eastAsia"/>
        </w:rPr>
        <w:t>谈判记录</w:t>
      </w:r>
      <w:bookmarkEnd w:id="158"/>
      <w:bookmarkEnd w:id="159"/>
      <w:bookmarkEnd w:id="160"/>
      <w:bookmarkEnd w:id="161"/>
    </w:p>
    <w:p>
      <w:pPr>
        <w:spacing w:line="360" w:lineRule="auto"/>
        <w:ind w:firstLine="480" w:firstLineChars="200"/>
        <w:rPr>
          <w:rFonts w:hint="eastAsia" w:ascii="仿宋" w:hAnsi="仿宋" w:eastAsia="仿宋" w:cs="宋体"/>
          <w:bCs/>
          <w:color w:val="000000"/>
          <w:kern w:val="0"/>
          <w:sz w:val="24"/>
        </w:rPr>
      </w:pPr>
      <w:bookmarkStart w:id="162" w:name="_Toc449101804"/>
      <w:bookmarkStart w:id="163" w:name="_Toc514919753"/>
      <w:bookmarkStart w:id="164" w:name="_Toc514920903"/>
      <w:r>
        <w:rPr>
          <w:rFonts w:hint="eastAsia" w:ascii="仿宋" w:hAnsi="仿宋" w:eastAsia="仿宋" w:cs="宋体"/>
          <w:bCs/>
          <w:color w:val="000000"/>
          <w:kern w:val="0"/>
          <w:sz w:val="24"/>
        </w:rPr>
        <w:t>（1）谈判小组根据谈判情况和结果，向采购人提交谈判报告。谈判报告由谈判小组组长起草，谈判小组全体成员在谈判报告上签字确认，如有保留意见可以在谈判报告中阐明。</w:t>
      </w:r>
      <w:bookmarkEnd w:id="162"/>
      <w:bookmarkEnd w:id="163"/>
      <w:bookmarkEnd w:id="164"/>
    </w:p>
    <w:p>
      <w:pPr>
        <w:spacing w:line="360" w:lineRule="auto"/>
        <w:ind w:firstLine="480" w:firstLineChars="200"/>
        <w:rPr>
          <w:rFonts w:hint="eastAsia" w:ascii="仿宋" w:hAnsi="仿宋" w:eastAsia="仿宋" w:cs="宋体"/>
          <w:bCs/>
          <w:color w:val="000000"/>
          <w:kern w:val="0"/>
          <w:sz w:val="24"/>
        </w:rPr>
      </w:pPr>
      <w:bookmarkStart w:id="165" w:name="_Toc449101805"/>
      <w:bookmarkStart w:id="166" w:name="_Toc514919754"/>
      <w:bookmarkStart w:id="167" w:name="_Toc514920904"/>
      <w:r>
        <w:rPr>
          <w:rFonts w:hint="eastAsia" w:ascii="仿宋" w:hAnsi="仿宋" w:eastAsia="仿宋" w:cs="宋体"/>
          <w:bCs/>
          <w:color w:val="000000"/>
          <w:kern w:val="0"/>
          <w:sz w:val="24"/>
        </w:rPr>
        <w:t>（2）谈判小组在谈判报告中推荐成交候选人。</w:t>
      </w:r>
      <w:bookmarkEnd w:id="165"/>
      <w:bookmarkEnd w:id="166"/>
      <w:bookmarkEnd w:id="167"/>
    </w:p>
    <w:p>
      <w:pPr>
        <w:spacing w:line="360" w:lineRule="auto"/>
        <w:ind w:firstLine="480" w:firstLineChars="200"/>
        <w:rPr>
          <w:rFonts w:hint="eastAsia" w:ascii="仿宋" w:hAnsi="仿宋" w:eastAsia="仿宋" w:cs="宋体"/>
          <w:bCs/>
          <w:color w:val="000000"/>
          <w:kern w:val="0"/>
          <w:sz w:val="24"/>
        </w:rPr>
      </w:pPr>
      <w:bookmarkStart w:id="168" w:name="_Toc449101806"/>
      <w:bookmarkStart w:id="169" w:name="_Toc514919755"/>
      <w:bookmarkStart w:id="170" w:name="_Toc514920905"/>
      <w:r>
        <w:rPr>
          <w:rFonts w:hint="eastAsia" w:ascii="仿宋" w:hAnsi="仿宋" w:eastAsia="仿宋" w:cs="宋体"/>
          <w:bCs/>
          <w:color w:val="000000"/>
          <w:kern w:val="0"/>
          <w:sz w:val="24"/>
        </w:rPr>
        <w:t>（3）谈判报告应包括以下内容：</w:t>
      </w:r>
      <w:bookmarkEnd w:id="168"/>
      <w:bookmarkEnd w:id="169"/>
      <w:bookmarkEnd w:id="170"/>
    </w:p>
    <w:p>
      <w:pPr>
        <w:spacing w:line="360" w:lineRule="auto"/>
        <w:ind w:firstLine="480" w:firstLineChars="200"/>
        <w:rPr>
          <w:rFonts w:ascii="仿宋" w:hAnsi="仿宋" w:eastAsia="仿宋" w:cs="宋体"/>
          <w:bCs/>
          <w:color w:val="000000"/>
          <w:kern w:val="0"/>
          <w:sz w:val="24"/>
        </w:rPr>
      </w:pPr>
      <w:r>
        <w:rPr>
          <w:rFonts w:ascii="仿宋" w:hAnsi="仿宋" w:eastAsia="仿宋" w:cs="宋体"/>
          <w:bCs/>
          <w:color w:val="000000"/>
          <w:kern w:val="0"/>
          <w:sz w:val="24"/>
        </w:rPr>
        <w:t>1</w:t>
      </w:r>
      <w:r>
        <w:rPr>
          <w:rFonts w:hint="eastAsia" w:ascii="仿宋" w:hAnsi="仿宋" w:eastAsia="仿宋" w:cs="宋体"/>
          <w:bCs/>
          <w:color w:val="000000"/>
          <w:kern w:val="0"/>
          <w:sz w:val="24"/>
        </w:rPr>
        <w:t>）初步评审过程和结果</w:t>
      </w:r>
    </w:p>
    <w:p>
      <w:pPr>
        <w:spacing w:line="360" w:lineRule="auto"/>
        <w:ind w:firstLine="480" w:firstLineChars="200"/>
        <w:rPr>
          <w:rFonts w:ascii="仿宋" w:hAnsi="仿宋" w:eastAsia="仿宋" w:cs="宋体"/>
          <w:bCs/>
          <w:color w:val="000000"/>
          <w:kern w:val="0"/>
          <w:sz w:val="24"/>
        </w:rPr>
      </w:pPr>
      <w:r>
        <w:rPr>
          <w:rFonts w:hint="eastAsia" w:ascii="仿宋" w:hAnsi="仿宋" w:eastAsia="仿宋" w:cs="宋体"/>
          <w:bCs/>
          <w:color w:val="000000"/>
          <w:kern w:val="0"/>
          <w:sz w:val="24"/>
        </w:rPr>
        <w:t>包括算术错误检查、澄清问题及答复，若有资格不符合应对其情况和依据进行说明；</w:t>
      </w:r>
    </w:p>
    <w:p>
      <w:pPr>
        <w:spacing w:line="360" w:lineRule="auto"/>
        <w:ind w:firstLine="480" w:firstLineChars="200"/>
        <w:rPr>
          <w:rFonts w:hint="eastAsia" w:ascii="仿宋" w:hAnsi="仿宋" w:eastAsia="仿宋" w:cs="宋体"/>
          <w:bCs/>
          <w:color w:val="000000"/>
          <w:kern w:val="0"/>
          <w:sz w:val="24"/>
        </w:rPr>
      </w:pPr>
      <w:bookmarkStart w:id="171" w:name="_Toc449101807"/>
      <w:bookmarkStart w:id="172" w:name="_Toc514919756"/>
      <w:bookmarkStart w:id="173" w:name="_Toc514920906"/>
      <w:r>
        <w:rPr>
          <w:rFonts w:hint="eastAsia" w:ascii="仿宋" w:hAnsi="仿宋" w:eastAsia="仿宋" w:cs="宋体"/>
          <w:bCs/>
          <w:color w:val="000000"/>
          <w:kern w:val="0"/>
          <w:sz w:val="24"/>
        </w:rPr>
        <w:t>2）与各响应人一对一谈判内容记录；</w:t>
      </w:r>
      <w:bookmarkEnd w:id="171"/>
      <w:bookmarkEnd w:id="172"/>
      <w:bookmarkEnd w:id="173"/>
    </w:p>
    <w:p>
      <w:pPr>
        <w:spacing w:line="360" w:lineRule="auto"/>
        <w:ind w:firstLine="480" w:firstLineChars="200"/>
        <w:rPr>
          <w:rFonts w:hint="eastAsia" w:ascii="仿宋" w:hAnsi="仿宋" w:eastAsia="仿宋" w:cs="宋体"/>
          <w:bCs/>
          <w:color w:val="000000"/>
          <w:kern w:val="0"/>
          <w:sz w:val="24"/>
        </w:rPr>
      </w:pPr>
      <w:bookmarkStart w:id="174" w:name="_Toc449101808"/>
      <w:bookmarkStart w:id="175" w:name="_Toc514919757"/>
      <w:bookmarkStart w:id="176" w:name="_Toc514920907"/>
      <w:r>
        <w:rPr>
          <w:rFonts w:hint="eastAsia" w:ascii="仿宋" w:hAnsi="仿宋" w:eastAsia="仿宋" w:cs="宋体"/>
          <w:bCs/>
          <w:color w:val="000000"/>
          <w:kern w:val="0"/>
          <w:sz w:val="24"/>
        </w:rPr>
        <w:t>3）二次/最终密闭报价情况；</w:t>
      </w:r>
      <w:bookmarkEnd w:id="174"/>
      <w:bookmarkEnd w:id="175"/>
      <w:bookmarkEnd w:id="176"/>
    </w:p>
    <w:p>
      <w:pPr>
        <w:spacing w:line="360" w:lineRule="auto"/>
        <w:ind w:firstLine="480" w:firstLineChars="200"/>
        <w:rPr>
          <w:rFonts w:hint="eastAsia" w:ascii="仿宋" w:hAnsi="仿宋" w:eastAsia="仿宋" w:cs="宋体"/>
          <w:bCs/>
          <w:color w:val="000000"/>
          <w:kern w:val="0"/>
          <w:sz w:val="24"/>
        </w:rPr>
      </w:pPr>
      <w:bookmarkStart w:id="177" w:name="_Toc449101809"/>
      <w:bookmarkStart w:id="178" w:name="_Toc514919758"/>
      <w:bookmarkStart w:id="179" w:name="_Toc514920908"/>
      <w:r>
        <w:rPr>
          <w:rFonts w:hint="eastAsia" w:ascii="仿宋" w:hAnsi="仿宋" w:eastAsia="仿宋" w:cs="宋体"/>
          <w:bCs/>
          <w:color w:val="000000"/>
          <w:kern w:val="0"/>
          <w:sz w:val="24"/>
        </w:rPr>
        <w:t>4）推荐成交候选人。</w:t>
      </w:r>
      <w:bookmarkEnd w:id="177"/>
      <w:bookmarkEnd w:id="178"/>
      <w:bookmarkEnd w:id="179"/>
    </w:p>
    <w:p>
      <w:pPr>
        <w:pStyle w:val="3"/>
      </w:pPr>
      <w:bookmarkStart w:id="180" w:name="_Toc429570972"/>
      <w:bookmarkStart w:id="181" w:name="_Toc433814082"/>
      <w:bookmarkStart w:id="182" w:name="_Toc431150205"/>
      <w:bookmarkStart w:id="183" w:name="_Toc434479605"/>
      <w:bookmarkStart w:id="184" w:name="_Toc14856841"/>
      <w:r>
        <w:t>5</w:t>
      </w:r>
      <w:r>
        <w:rPr>
          <w:rFonts w:hint="eastAsia"/>
        </w:rPr>
        <w:t>、</w:t>
      </w:r>
      <w:bookmarkStart w:id="185" w:name="合同授予"/>
      <w:r>
        <w:rPr>
          <w:rFonts w:hint="eastAsia"/>
        </w:rPr>
        <w:t>合同授予</w:t>
      </w:r>
      <w:bookmarkEnd w:id="180"/>
      <w:bookmarkEnd w:id="181"/>
      <w:bookmarkEnd w:id="182"/>
      <w:bookmarkEnd w:id="183"/>
      <w:bookmarkEnd w:id="184"/>
      <w:r>
        <w:t xml:space="preserve"> </w:t>
      </w:r>
      <w:bookmarkEnd w:id="185"/>
    </w:p>
    <w:p>
      <w:pPr>
        <w:pStyle w:val="4"/>
        <w:rPr>
          <w:rFonts w:hint="eastAsia"/>
        </w:rPr>
      </w:pPr>
      <w:bookmarkStart w:id="186" w:name="_Toc444296351"/>
      <w:bookmarkStart w:id="187" w:name="_Toc449101811"/>
      <w:bookmarkStart w:id="188" w:name="_Toc514919760"/>
      <w:bookmarkStart w:id="189" w:name="_Toc514920910"/>
      <w:bookmarkStart w:id="190" w:name="_Toc14856842"/>
      <w:r>
        <w:rPr>
          <w:rFonts w:hint="eastAsia"/>
        </w:rPr>
        <w:t>5.1  合同授予</w:t>
      </w:r>
      <w:bookmarkEnd w:id="186"/>
      <w:bookmarkEnd w:id="187"/>
      <w:bookmarkEnd w:id="188"/>
      <w:bookmarkEnd w:id="189"/>
      <w:bookmarkEnd w:id="190"/>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cs="宋体"/>
          <w:kern w:val="0"/>
          <w:sz w:val="24"/>
        </w:rPr>
        <w:t>采购人将把合同授予符合下述要求的响应人：</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（1）</w:t>
      </w:r>
      <w:r>
        <w:rPr>
          <w:rFonts w:hint="eastAsia" w:ascii="仿宋" w:hAnsi="仿宋" w:eastAsia="仿宋" w:cs="宋体"/>
          <w:kern w:val="0"/>
          <w:sz w:val="24"/>
        </w:rPr>
        <w:t>响应人满足竞争性谈判文件要求；</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（2）按竞争性</w:t>
      </w:r>
      <w:r>
        <w:rPr>
          <w:rFonts w:ascii="仿宋" w:hAnsi="仿宋" w:eastAsia="仿宋"/>
          <w:kern w:val="0"/>
          <w:sz w:val="24"/>
        </w:rPr>
        <w:t>谈判文件规定的</w:t>
      </w:r>
      <w:r>
        <w:rPr>
          <w:rFonts w:hint="eastAsia" w:ascii="仿宋" w:hAnsi="仿宋" w:eastAsia="仿宋"/>
          <w:kern w:val="0"/>
          <w:sz w:val="24"/>
        </w:rPr>
        <w:t>评审</w:t>
      </w:r>
      <w:r>
        <w:rPr>
          <w:rFonts w:ascii="仿宋" w:hAnsi="仿宋" w:eastAsia="仿宋"/>
          <w:kern w:val="0"/>
          <w:sz w:val="24"/>
        </w:rPr>
        <w:t>办法</w:t>
      </w:r>
      <w:r>
        <w:rPr>
          <w:rFonts w:hint="eastAsia" w:ascii="仿宋" w:hAnsi="仿宋" w:eastAsia="仿宋"/>
          <w:kern w:val="0"/>
          <w:sz w:val="24"/>
        </w:rPr>
        <w:t>推荐</w:t>
      </w:r>
      <w:r>
        <w:rPr>
          <w:rFonts w:ascii="仿宋" w:hAnsi="仿宋" w:eastAsia="仿宋"/>
          <w:kern w:val="0"/>
          <w:sz w:val="24"/>
        </w:rPr>
        <w:t>的</w:t>
      </w:r>
      <w:r>
        <w:rPr>
          <w:rFonts w:hint="eastAsia" w:ascii="仿宋" w:hAnsi="仿宋" w:eastAsia="仿宋"/>
          <w:kern w:val="0"/>
          <w:sz w:val="24"/>
        </w:rPr>
        <w:t>成交候选</w:t>
      </w:r>
      <w:r>
        <w:rPr>
          <w:rFonts w:ascii="仿宋" w:hAnsi="仿宋" w:eastAsia="仿宋"/>
          <w:kern w:val="0"/>
          <w:sz w:val="24"/>
        </w:rPr>
        <w:t>人。</w:t>
      </w:r>
    </w:p>
    <w:p>
      <w:pPr>
        <w:pStyle w:val="4"/>
      </w:pPr>
      <w:bookmarkStart w:id="191" w:name="_Toc444296352"/>
      <w:bookmarkStart w:id="192" w:name="_Toc449101812"/>
      <w:bookmarkStart w:id="193" w:name="_Toc514919761"/>
      <w:bookmarkStart w:id="194" w:name="_Toc514920911"/>
      <w:bookmarkStart w:id="195" w:name="_Toc14856843"/>
      <w:r>
        <w:t xml:space="preserve">5.2 </w:t>
      </w:r>
      <w:r>
        <w:rPr>
          <w:rFonts w:hint="eastAsia"/>
        </w:rPr>
        <w:t>采购人在授标时保留的权利</w:t>
      </w:r>
      <w:bookmarkEnd w:id="191"/>
      <w:bookmarkEnd w:id="192"/>
      <w:bookmarkEnd w:id="193"/>
      <w:bookmarkEnd w:id="194"/>
      <w:bookmarkEnd w:id="195"/>
      <w: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cs="宋体"/>
          <w:kern w:val="0"/>
          <w:sz w:val="24"/>
        </w:rPr>
        <w:t>采购人在授予合同时有权对合同非实质性条款进行增减或变更；</w:t>
      </w:r>
      <w:r>
        <w:rPr>
          <w:rFonts w:ascii="仿宋" w:hAnsi="仿宋" w:eastAsia="仿宋"/>
          <w:kern w:val="0"/>
          <w:sz w:val="24"/>
        </w:rPr>
        <w:t xml:space="preserve"> </w:t>
      </w:r>
    </w:p>
    <w:p>
      <w:pPr>
        <w:pStyle w:val="4"/>
      </w:pPr>
      <w:bookmarkStart w:id="196" w:name="_Toc444296353"/>
      <w:bookmarkStart w:id="197" w:name="_Toc449101813"/>
      <w:bookmarkStart w:id="198" w:name="_Toc514919762"/>
      <w:bookmarkStart w:id="199" w:name="_Toc514920912"/>
      <w:bookmarkStart w:id="200" w:name="_Toc14856844"/>
      <w:r>
        <w:t xml:space="preserve">5.3  </w:t>
      </w:r>
      <w:r>
        <w:rPr>
          <w:rFonts w:hint="eastAsia"/>
        </w:rPr>
        <w:t>合同的签订</w:t>
      </w:r>
      <w:bookmarkEnd w:id="196"/>
      <w:bookmarkEnd w:id="197"/>
      <w:bookmarkEnd w:id="198"/>
      <w:bookmarkEnd w:id="199"/>
      <w:bookmarkEnd w:id="200"/>
      <w: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cs="宋体"/>
          <w:kern w:val="0"/>
          <w:sz w:val="24"/>
        </w:rPr>
        <w:t>采购人与成交人协商签订书面合同；</w:t>
      </w:r>
      <w:r>
        <w:rPr>
          <w:rFonts w:ascii="仿宋" w:hAnsi="仿宋" w:eastAsia="仿宋"/>
          <w:kern w:val="0"/>
          <w:sz w:val="24"/>
        </w:rPr>
        <w:t xml:space="preserve"> </w:t>
      </w:r>
    </w:p>
    <w:p>
      <w:pPr>
        <w:pStyle w:val="4"/>
      </w:pPr>
      <w:bookmarkStart w:id="201" w:name="_Toc444296354"/>
      <w:bookmarkStart w:id="202" w:name="_Toc449101814"/>
      <w:bookmarkStart w:id="203" w:name="_Toc514919763"/>
      <w:bookmarkStart w:id="204" w:name="_Toc514920913"/>
      <w:bookmarkStart w:id="205" w:name="_Toc14856845"/>
      <w:r>
        <w:t xml:space="preserve">5.4  </w:t>
      </w:r>
      <w:r>
        <w:rPr>
          <w:rFonts w:hint="eastAsia" w:cs="黑体"/>
        </w:rPr>
        <w:t>履约保函</w:t>
      </w:r>
      <w:bookmarkEnd w:id="201"/>
      <w:bookmarkEnd w:id="202"/>
      <w:bookmarkEnd w:id="203"/>
      <w:bookmarkEnd w:id="204"/>
      <w:bookmarkEnd w:id="205"/>
      <w:r>
        <w:t xml:space="preserve"> </w:t>
      </w:r>
    </w:p>
    <w:p>
      <w:pPr>
        <w:autoSpaceDE w:val="0"/>
        <w:autoSpaceDN w:val="0"/>
        <w:adjustRightInd w:val="0"/>
        <w:spacing w:line="360" w:lineRule="auto"/>
        <w:ind w:firstLine="482"/>
        <w:rPr>
          <w:rFonts w:ascii="仿宋" w:hAnsi="仿宋" w:eastAsia="仿宋" w:cs="宋体"/>
          <w:kern w:val="0"/>
          <w:sz w:val="24"/>
        </w:rPr>
      </w:pPr>
      <w:r>
        <w:rPr>
          <w:rFonts w:hint="eastAsia" w:ascii="仿宋" w:hAnsi="仿宋" w:eastAsia="仿宋" w:cs="宋体"/>
          <w:kern w:val="0"/>
          <w:sz w:val="24"/>
        </w:rPr>
        <w:t>成交人应在合同签字盖章后7天内，向采购人提交合同总金额</w:t>
      </w:r>
      <w:r>
        <w:rPr>
          <w:rFonts w:ascii="仿宋" w:hAnsi="仿宋" w:eastAsia="仿宋" w:cs="宋体"/>
          <w:kern w:val="0"/>
          <w:sz w:val="24"/>
        </w:rPr>
        <w:t>10%</w:t>
      </w:r>
      <w:r>
        <w:rPr>
          <w:rFonts w:hint="eastAsia" w:ascii="仿宋" w:hAnsi="仿宋" w:eastAsia="仿宋" w:cs="宋体"/>
          <w:kern w:val="0"/>
          <w:sz w:val="24"/>
        </w:rPr>
        <w:t>的无条件</w:t>
      </w:r>
      <w:r>
        <w:rPr>
          <w:rFonts w:ascii="仿宋" w:hAnsi="仿宋" w:eastAsia="仿宋" w:cs="宋体"/>
          <w:kern w:val="0"/>
          <w:sz w:val="24"/>
        </w:rPr>
        <w:t>、不可撤销、见索即付的</w:t>
      </w:r>
      <w:r>
        <w:rPr>
          <w:rFonts w:hint="eastAsia" w:ascii="仿宋" w:hAnsi="仿宋" w:eastAsia="仿宋" w:cs="宋体"/>
          <w:kern w:val="0"/>
          <w:sz w:val="24"/>
        </w:rPr>
        <w:t>履约</w:t>
      </w:r>
      <w:r>
        <w:rPr>
          <w:rFonts w:ascii="仿宋" w:hAnsi="仿宋" w:eastAsia="仿宋" w:cs="宋体"/>
          <w:kern w:val="0"/>
          <w:sz w:val="24"/>
        </w:rPr>
        <w:t>保函</w:t>
      </w:r>
      <w:r>
        <w:rPr>
          <w:rFonts w:hint="eastAsia" w:ascii="仿宋" w:hAnsi="仿宋" w:eastAsia="仿宋" w:cs="宋体"/>
          <w:kern w:val="0"/>
          <w:sz w:val="24"/>
        </w:rPr>
        <w:t>。</w:t>
      </w:r>
    </w:p>
    <w:p>
      <w:pPr>
        <w:pStyle w:val="3"/>
      </w:pPr>
      <w:bookmarkStart w:id="206" w:name="_Toc433814083"/>
      <w:bookmarkStart w:id="207" w:name="_Toc431150206"/>
      <w:bookmarkStart w:id="208" w:name="_Toc429570973"/>
      <w:bookmarkStart w:id="209" w:name="_Toc434479606"/>
      <w:bookmarkStart w:id="210" w:name="_Toc14856846"/>
      <w:r>
        <w:t>6</w:t>
      </w:r>
      <w:r>
        <w:rPr>
          <w:rFonts w:hint="eastAsia"/>
        </w:rPr>
        <w:t>、</w:t>
      </w:r>
      <w:bookmarkStart w:id="211" w:name="纪律和监督"/>
      <w:r>
        <w:rPr>
          <w:rFonts w:hint="eastAsia"/>
        </w:rPr>
        <w:t>纪律和监督</w:t>
      </w:r>
      <w:bookmarkEnd w:id="206"/>
      <w:bookmarkEnd w:id="207"/>
      <w:bookmarkEnd w:id="208"/>
      <w:bookmarkEnd w:id="209"/>
      <w:bookmarkEnd w:id="210"/>
      <w:r>
        <w:t xml:space="preserve"> </w:t>
      </w:r>
    </w:p>
    <w:bookmarkEnd w:id="211"/>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（1）</w:t>
      </w:r>
      <w:r>
        <w:rPr>
          <w:rFonts w:hint="eastAsia" w:ascii="仿宋" w:hAnsi="仿宋" w:eastAsia="仿宋" w:cs="宋体"/>
          <w:kern w:val="0"/>
          <w:sz w:val="24"/>
        </w:rPr>
        <w:t>采购人不得泄漏竞争性谈判活动中应当保密的情况和资料，不得与响应人串通损害国家利益、社会公共利益或者他人合法权益。</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w:t>
      </w:r>
      <w:r>
        <w:rPr>
          <w:rFonts w:hint="eastAsia" w:ascii="仿宋" w:hAnsi="仿宋" w:eastAsia="仿宋" w:cs="宋体"/>
          <w:kern w:val="0"/>
          <w:sz w:val="24"/>
        </w:rPr>
        <w:t>响应人不得相互串通竞争性谈判或者与采购人串通竞争性谈判，不得向采购人或者谈判小组成员行贿谋取成交，不得以他人名义竞争性谈判或者以其他方式弄虚作假骗取成交；响应人不得以任何方式干扰、影响评审工作。</w:t>
      </w:r>
      <w:r>
        <w:rPr>
          <w:rFonts w:ascii="仿宋" w:hAnsi="仿宋" w:eastAsia="仿宋"/>
          <w:kern w:val="0"/>
          <w:sz w:val="24"/>
        </w:rPr>
        <w:t xml:space="preserve"> </w:t>
      </w:r>
    </w:p>
    <w:p>
      <w:pPr>
        <w:autoSpaceDE w:val="0"/>
        <w:autoSpaceDN w:val="0"/>
        <w:adjustRightInd w:val="0"/>
        <w:spacing w:line="360" w:lineRule="auto"/>
        <w:ind w:firstLine="482"/>
        <w:rPr>
          <w:rFonts w:ascii="仿宋" w:hAnsi="仿宋" w:eastAsia="仿宋"/>
          <w:kern w:val="0"/>
          <w:sz w:val="24"/>
        </w:rPr>
      </w:pPr>
      <w:r>
        <w:rPr>
          <w:rFonts w:hint="eastAsia" w:ascii="仿宋" w:hAnsi="仿宋" w:eastAsia="仿宋"/>
          <w:kern w:val="0"/>
          <w:sz w:val="24"/>
        </w:rPr>
        <w:t>（3</w:t>
      </w:r>
      <w:r>
        <w:rPr>
          <w:rFonts w:ascii="仿宋" w:hAnsi="仿宋" w:eastAsia="仿宋"/>
          <w:kern w:val="0"/>
          <w:sz w:val="24"/>
        </w:rPr>
        <w:t>）</w:t>
      </w:r>
      <w:r>
        <w:rPr>
          <w:rFonts w:hint="eastAsia" w:ascii="仿宋" w:hAnsi="仿宋" w:eastAsia="仿宋" w:cs="宋体"/>
          <w:kern w:val="0"/>
          <w:sz w:val="24"/>
        </w:rPr>
        <w:t>谈判小组成员不得收受他人的财物或者其他好处，不得向他人透漏对竞争性谈判响应文件的评审和比较、成交候选人的推荐情况以及评审有关的其他情况。</w:t>
      </w:r>
    </w:p>
    <w:p>
      <w:pPr>
        <w:pStyle w:val="2"/>
        <w:rPr>
          <w:rFonts w:hint="eastAsia"/>
        </w:rPr>
      </w:pPr>
      <w:r>
        <w:rPr>
          <w:sz w:val="24"/>
        </w:rPr>
        <w:br w:type="page"/>
      </w:r>
      <w:bookmarkStart w:id="212" w:name="第四章"/>
      <w:bookmarkEnd w:id="212"/>
      <w:bookmarkStart w:id="213" w:name="_Toc14856847"/>
      <w:r>
        <w:rPr>
          <w:rFonts w:hint="eastAsia"/>
        </w:rPr>
        <w:t>第三</w:t>
      </w:r>
      <w:r>
        <w:t>章</w:t>
      </w:r>
      <w:r>
        <w:rPr>
          <w:rFonts w:hint="eastAsia"/>
        </w:rPr>
        <w:t xml:space="preserve">  合同条款及</w:t>
      </w:r>
      <w:r>
        <w:t>格式</w:t>
      </w:r>
      <w:bookmarkEnd w:id="213"/>
    </w:p>
    <w:p>
      <w:pPr>
        <w:pStyle w:val="19"/>
        <w:widowControl w:val="0"/>
        <w:snapToGrid w:val="0"/>
        <w:spacing w:before="0" w:beforeAutospacing="0" w:after="0" w:afterAutospacing="0" w:line="360" w:lineRule="auto"/>
        <w:ind w:firstLine="562" w:firstLineChars="200"/>
        <w:jc w:val="center"/>
        <w:outlineLvl w:val="1"/>
        <w:rPr>
          <w:rFonts w:hint="eastAsia" w:ascii="仿宋" w:hAnsi="仿宋" w:eastAsia="仿宋" w:cs="仿宋"/>
          <w:b/>
          <w:sz w:val="28"/>
          <w:szCs w:val="28"/>
        </w:rPr>
      </w:pPr>
      <w:bookmarkStart w:id="214" w:name="_Toc14856848"/>
      <w:r>
        <w:rPr>
          <w:rFonts w:hint="eastAsia" w:ascii="仿宋" w:hAnsi="仿宋" w:eastAsia="仿宋" w:cs="仿宋"/>
          <w:b/>
          <w:sz w:val="28"/>
          <w:szCs w:val="28"/>
          <w:lang w:bidi="ar"/>
        </w:rPr>
        <w:t>第一节  通用合同条款</w:t>
      </w:r>
      <w:bookmarkEnd w:id="214"/>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1.一般约定</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1.1词语定义</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除专用合同条款另有约定外，合同中的下列词语应具有本款所赋予的含义。</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 合同</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1.1.1.1 合同文件（或称合同）：指合同协议书、中标通知书、投标函、商务和技术偏差表、专用合同条款、通用合同条款、供货要求、分项报价表、中标材料质量标准的详细描述、相关服务计划，以及其他构成合同组成部分的文件。</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1.1.1.2 合同协议书：指买方和卖方共同签署的合同协议书。</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1.1.1.3 中标通知书：指买方通知卖方中标的函件。</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1.1.1.4 投标函：指由卖方填写并签署的，名为“投标函”的函件。</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1.1.1.5 商务和技术偏差表：指卖方响应文件中的商务和技术偏差表。</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1.1.1.6 供货要求：指合同文件中名为“供货要求”的文件。</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1.1.1.7 中标材料质量标准的详细描述：指卖方响应文件中的投标材料质量标准的详细描述。</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1.1.1.8 相关服务计划：指卖方响应文件中的相关服务计划。</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1.1.1.9 分项报价表：指卖方响应文件中的分项报价表。</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1.1.1.10 其他合同文件：指经合同双方当事人确认构成合同文件的其他文件。</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1.1.2 合同当事人和人员</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1.1.2.1 合同当事人:指买方和（或）卖方。</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1.1.2.2 买方：指与卖方签订合同协议书，购买合同材料和相关服务的当事人，及其合法继承人。</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1.1.2.3 卖方：指与买方签订合同协议书，提供合同材料和相关服务的当事人，及其合法继承人。</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1.1.3 合同价格</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1.1.3.1 签约合同价：是签订合同时合同协议书写明的合同总金额。</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1.1.3.2 合同价格：指卖方按合同约定履行了全部合同义务后，买方应付给卖方的金额。</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1.1.4 合同材料：指卖方按合同约定应向买方提供的材料及技术资料，或其中任何一部分。</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1.1.5 技术资料：指各种纸质及电子载体的与合同材料检验、使用、修补等有关的技术指标、规格、图纸和说明文件。</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1.1.6 验收：指合同材料经检验合格后，买方作出接受合同材料的确认。</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1.1.7 相关服务：是指在质量保证期届满前卖方提供的与合同材料有关的辅助服务，包括简单加工、解决合同材料存在的质量问题，以及为买方检验、使用和修补合同材料进行的技术指导、培训、协助等。</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1.1.8 质量保证期：指合同材料验收后，卖方按合同约定保证合同材料正常使用，并负责解决合同材料存在的任何质量问题的期限。</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1.1.9 工程</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1.1.9.1 工程：指在专用合同条款中指明的，使用合同材料的工程。</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1.1.9.2 施工场地（或称工地、施工现场）：指专用合同条款中指明的工程所在场所。</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1.1.10 天（或称日）：除特别指明外，指日历天。合同中按天计算时间的，开始当天不计入，从次日开始计算。合同约定的期间的最后一次是星期日或者其他法定休假日的，以休假日的次日为期间的最后一天。</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1.1.11 月：按照公历月计算。合同按月计算时间的，开始当天不计入，从次日开始计算。合同约定的期间的最后一天是星期天或者其他法定休假日的，以休假的次日为期间的最后一天。</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1.1.12 书面形式：指合同文件、信件和数据电文（包括电报、电传、传真、电子数据交换和电子邮件）等可以有形地表现所载内容的形式。</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1.113 不可抗力：是指任何一方当事人不能预见、不能避免并不能克服的自然灾害和社会性突发事件，如地震、海啸、瘟疫、水灾、骚乱、暴动、战争和专用合同条款约定的其他情形。</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1.2语言文字</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合同使用的语言文字为中文。专用术语使用外文的，应附有中文注释。</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1.3合同文件的优先顺序</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组成合同的各项文件应互相解释，互为说明。除专用合同条款另有约定外，解释合同文件的优先顺序如下：</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（1）合同协议书；</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（2）中标通知书；</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（3）投标函；</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（4）商务和技术偏差表；</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（5）专用合同条款；</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（6）通用合同条款；</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（7）供货要求；</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（8）分项报价表；</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（9）中标材料质量标准的详细描述；</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（10）相关服务计划；</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（11）其他合同文件。</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1.4合同的生效及变更</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1.4.1 除专用合同条款另有约定外，买方和卖方的法定代理人（单位负责人）或其授权代表在合同协议书上签字并加盖单位章后，合同生效。</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1.4.2 除专用合同条款另有约定外，在合同履行过程中，如需对合同变更，双方应签订书面协议，并经双方法定代表人（单位负责人）或其授权代表签字并加盖单位章后生效。</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1.5联络</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1.5.1 买卖双方应就合同履行中有关的事项及时进行联络，重要事项应通过书面形式进行联络。</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1.5.2 买方可以安排监理等相关人员作为买方人员，与卖方进行联络或参加合同材料的检验和验收等。</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1.6联合体</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1.6.1 卖方为联系体的，联合体各方应当共同与买方签订合同，并向买方为履行合同承担连带责任。</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1.6.2 在合同履行过程中，未经买方同意，不得修改联合体协议。联合体协议中关于联合体成员间权利义务的划分，并不影响或减损联合体各方应就履行合同向买方承担的连带责任。</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1.6.3 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1.7转让</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未经对方当事人书面同意，合同任何一方均不得转让其在合同项下的权利和（或）义务。</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1.8知识产权</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1.8.1 合同材料或其中的技术资料涉及知识产权的，卖方保证买方免于受到任何知识产权侵权的主张、索赔或诉讼的伤害。</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1.8.2 如果买方收到任何第三方有关知识产权的主张、索赔或诉讼，卖方在收到买方通知后，应以买方名义处理在第三方的索赔或诉讼，并承担因此产生的费用以及给买方造成的损失。</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1.9保密</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合同双方应对因履行合同而取得的另一方当事人的信息、资料等予以保密。未经另一方当事人书面同意，任何一方均不得为与履行合同无关的目的使用或向第三方披露另一当事人提供的信息、资料。</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2.合同范围</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卖方应根据供货要求、中标材料质量标准的详细描述、相关服务计划等合同文件的约定向买方提供合同材料和相关服务。</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3.合同价格与支付</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3.1合同价格</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3.1.1 合同协议书中载明的签约合同价包括卖方为完成合同全部义务应承担的一切成本、费用和支出以及卖方的合理利润。</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3.1.2 除专用合同条款另有约定外，供货周期不超过12个月的签约合同价为固定价格。供货周期超过12个月且合同材料交付时材料价格变化超过专用合同条款约定的幅度的，双方应按照专用合同条款中约定的调整方法对合同价格进行调整。</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3.2合同价款的支付</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除专用合同条款另有约定外，买方应通过以下方式和比例向卖方支付合同价款。</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3.2.1 预付款</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合同生效后，买方在收到卖方开具的注明应付预付款金额的财务收据正本一份并经审核无误后2</w:t>
      </w:r>
      <w:r>
        <w:rPr>
          <w:rFonts w:hint="eastAsia" w:ascii="仿宋" w:hAnsi="仿宋" w:eastAsia="仿宋" w:cs="仿宋"/>
          <w:szCs w:val="20"/>
          <w:lang w:val="en-US" w:eastAsia="zh-CN" w:bidi="ar"/>
        </w:rPr>
        <w:t>0</w:t>
      </w:r>
      <w:r>
        <w:rPr>
          <w:rFonts w:hint="eastAsia" w:ascii="仿宋" w:hAnsi="仿宋" w:eastAsia="仿宋" w:cs="仿宋"/>
          <w:szCs w:val="20"/>
          <w:lang w:bidi="ar"/>
        </w:rPr>
        <w:t>日内，向卖方支付签约合同价的</w:t>
      </w:r>
      <w:r>
        <w:rPr>
          <w:rFonts w:hint="eastAsia" w:ascii="仿宋" w:hAnsi="仿宋" w:eastAsia="仿宋" w:cs="仿宋"/>
          <w:b/>
          <w:bCs/>
          <w:color w:val="FF0000"/>
          <w:szCs w:val="20"/>
          <w:lang w:bidi="ar"/>
        </w:rPr>
        <w:t>10%</w:t>
      </w:r>
      <w:r>
        <w:rPr>
          <w:rFonts w:hint="eastAsia" w:ascii="仿宋" w:hAnsi="仿宋" w:eastAsia="仿宋" w:cs="仿宋"/>
          <w:szCs w:val="20"/>
          <w:lang w:bidi="ar"/>
        </w:rPr>
        <w:t>作为预付款。</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买方支付预付款后，如卖方未履行合同义务，则买方有权收回预付款；如卖方依约履行了合同义务，则预付款抵作进度款。</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 xml:space="preserve">3.2.2 </w:t>
      </w:r>
      <w:bookmarkStart w:id="215" w:name="OLE_LINK10"/>
      <w:r>
        <w:rPr>
          <w:rFonts w:hint="eastAsia" w:ascii="仿宋" w:hAnsi="仿宋" w:eastAsia="仿宋" w:cs="仿宋"/>
          <w:szCs w:val="20"/>
          <w:lang w:bidi="ar"/>
        </w:rPr>
        <w:t>到货款</w:t>
      </w:r>
      <w:bookmarkEnd w:id="215"/>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卖方按照合同约定货物到现场</w:t>
      </w:r>
      <w:r>
        <w:rPr>
          <w:rFonts w:hint="eastAsia" w:ascii="仿宋" w:hAnsi="仿宋" w:eastAsia="仿宋" w:cs="仿宋"/>
          <w:szCs w:val="20"/>
          <w:lang w:val="en-US" w:eastAsia="zh-CN" w:bidi="ar"/>
        </w:rPr>
        <w:t>,</w:t>
      </w:r>
      <w:r>
        <w:rPr>
          <w:rFonts w:hint="eastAsia" w:ascii="仿宋" w:hAnsi="仿宋" w:eastAsia="仿宋" w:cs="仿宋"/>
          <w:szCs w:val="20"/>
          <w:lang w:bidi="ar"/>
        </w:rPr>
        <w:t>并提供相关服务后，买方在收到卖方提交的下列单据并经审核无误后</w:t>
      </w:r>
      <w:r>
        <w:rPr>
          <w:rFonts w:hint="eastAsia" w:ascii="仿宋" w:hAnsi="仿宋" w:eastAsia="仿宋" w:cs="仿宋"/>
          <w:b/>
          <w:bCs/>
          <w:color w:val="FF0000"/>
          <w:szCs w:val="20"/>
          <w:lang w:val="en-US" w:eastAsia="zh-CN" w:bidi="ar"/>
        </w:rPr>
        <w:t>180</w:t>
      </w:r>
      <w:r>
        <w:rPr>
          <w:rFonts w:hint="eastAsia" w:ascii="仿宋" w:hAnsi="仿宋" w:eastAsia="仿宋" w:cs="仿宋"/>
          <w:szCs w:val="20"/>
          <w:lang w:bidi="ar"/>
        </w:rPr>
        <w:t>日内，应向卖方支付到货款，到货款支付至该批次合同设备的价格的</w:t>
      </w:r>
      <w:r>
        <w:rPr>
          <w:rFonts w:hint="eastAsia" w:ascii="仿宋" w:hAnsi="仿宋" w:eastAsia="仿宋" w:cs="仿宋"/>
          <w:b/>
          <w:bCs/>
          <w:color w:val="FF0000"/>
          <w:szCs w:val="20"/>
          <w:lang w:val="en-US" w:eastAsia="zh-CN" w:bidi="ar"/>
        </w:rPr>
        <w:t>80</w:t>
      </w:r>
      <w:r>
        <w:rPr>
          <w:rFonts w:hint="eastAsia" w:ascii="仿宋" w:hAnsi="仿宋" w:eastAsia="仿宋" w:cs="仿宋"/>
          <w:b/>
          <w:bCs/>
          <w:color w:val="FF0000"/>
          <w:szCs w:val="20"/>
          <w:lang w:bidi="ar"/>
        </w:rPr>
        <w:t>%</w:t>
      </w:r>
      <w:r>
        <w:rPr>
          <w:rFonts w:hint="eastAsia" w:ascii="仿宋" w:hAnsi="仿宋" w:eastAsia="仿宋" w:cs="仿宋"/>
          <w:szCs w:val="20"/>
          <w:lang w:bidi="ar"/>
        </w:rPr>
        <w:t>；</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（1）卖方出具的交货清单正本一份；</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（2）买方签署的收货清单正本一份；</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（3）制造商出具的出厂质量合格证正本一份；</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（4）合同材料验收证书或进度款支付函正本一份；</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（5）合同价格100%金额的增值税发票正本一份。</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3.2.3 结清款</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全部合同材料质量保证期届满后，买方在收到卖方提交的由买方签署的质量保证期</w:t>
      </w:r>
      <w:r>
        <w:rPr>
          <w:rFonts w:hint="eastAsia" w:ascii="仿宋" w:hAnsi="仿宋" w:eastAsia="仿宋" w:cs="仿宋"/>
          <w:szCs w:val="20"/>
          <w:lang w:val="en-US" w:eastAsia="zh-CN" w:bidi="ar"/>
        </w:rPr>
        <w:t>(24个月)</w:t>
      </w:r>
      <w:r>
        <w:rPr>
          <w:rFonts w:hint="eastAsia" w:ascii="仿宋" w:hAnsi="仿宋" w:eastAsia="仿宋" w:cs="仿宋"/>
          <w:szCs w:val="20"/>
          <w:lang w:bidi="ar"/>
        </w:rPr>
        <w:t>届满证书并经审核无误后</w:t>
      </w:r>
      <w:r>
        <w:rPr>
          <w:rFonts w:hint="eastAsia" w:ascii="仿宋" w:hAnsi="仿宋" w:eastAsia="仿宋" w:cs="仿宋"/>
          <w:szCs w:val="20"/>
          <w:lang w:val="en-US" w:eastAsia="zh-CN" w:bidi="ar"/>
        </w:rPr>
        <w:t>7</w:t>
      </w:r>
      <w:r>
        <w:rPr>
          <w:rFonts w:hint="eastAsia" w:ascii="仿宋" w:hAnsi="仿宋" w:eastAsia="仿宋" w:cs="仿宋"/>
          <w:szCs w:val="20"/>
          <w:lang w:bidi="ar"/>
        </w:rPr>
        <w:t>日内，向卖方支付合同价格</w:t>
      </w:r>
      <w:r>
        <w:rPr>
          <w:rFonts w:hint="eastAsia" w:ascii="仿宋" w:hAnsi="仿宋" w:eastAsia="仿宋" w:cs="仿宋"/>
          <w:szCs w:val="20"/>
          <w:lang w:val="en-US" w:eastAsia="zh-CN" w:bidi="ar"/>
        </w:rPr>
        <w:t>10</w:t>
      </w:r>
      <w:r>
        <w:rPr>
          <w:rFonts w:hint="eastAsia" w:ascii="仿宋" w:hAnsi="仿宋" w:eastAsia="仿宋" w:cs="仿宋"/>
          <w:szCs w:val="20"/>
          <w:lang w:bidi="ar"/>
        </w:rPr>
        <w:t>%的结清款。</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3.3买方扣款的权利</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当卖方应向买方支付合同项下的违约金或赔偿金时，买方有权从上述任何一笔应付款中予以直接扣除和（或）兑付履约保证金。</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4.包装、标记、运输和交付</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4.1包装</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4.1.1 卖方应对合同材料进行妥善包装，以满足合同材料运至施工场地及在施工场地保管的需要。包装应采取防潮、防晒、防锈、防腐蚀、防震动及防止其它损坏的必要保护措施，从而保护合同材料能够经受多次搬运、装卸、长途运输并适宜保管。</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4.1.2 除专用合同条款另有约定外，买方无需将包装物退还卖方。</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4.2标记</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4.2.1 除专用合同条款另有约定外，卖方应按合同约定在材料包装上以不可擦除的、明显的方式标记必要的标记。</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4.2.2 根据合同材料的特点和运输、保管的不同要求，卖方应在包装箱上清楚地标注“小心轻放”、“此端朝上”、“请勿倒置”、“保持干燥”等字样和其他适当标记。如果合同材料中含有易燃易爆物品、腐蚀物品、放射性物质等危险品，卖方应标明危险品标志。</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4.3运输</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4.3.1 卖方应自行选择适宜的运输工具及线路安排合同材料运输。</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4.3.2 除专用合同条款另有约定外，卖方应在合同材料预计启运7日前，将合同材料名称、装运材料数量、重量、体积（用m3表示）、合同材料单价、总金额、运输方式、预计交付日期和合同材料在装卸、保管中的注意事项等预通知买方，并在合同材料启动后24小时之内正式通知买方。</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4.3.3 卖方在根据第4.3.2项进行通知时，如果合同材料中包括单个包装超大或（或）超重的，卖方应将超大和（或）超重的每个包装的重量和尺寸通知买方；如果合同材料中包括易燃易爆物品、腐蚀物品、放射性物质等危险品，则危险品的品名、性质、在装卸、保管方面的特殊要求、注意事项和处理意外情况的方法等，也应一并通知买方。</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4.4交付</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4.4.1 除专用合同条款另有约定外，卖方应根据合同约定的交付时间和批次在施工现场卸货后将合同材料交付给买方。买方对卖方交付的合同材料的外观及件数进行清点核验后应签发收货清单。买方签发收货清单不代表对合同材料的接受，双方还应按合同约定进行后续的检验和验收。</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4.4.2 合同材料的所有权和风险自交付时起由卖方转移至买方，合同材料交付给买方之前包括运输在内的所有风险均由卖方承担。</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4.4.3 除专用合同条款另有约定外，买方如果发现技术资料存在短缺和（或）损坏，卖方应在收到买方的通知后7日内免费补齐短缺和（或）损坏的部分。如果买方发现卖方提供的技术资料有误，卖方应在收到买方通知7日内免费替换。如由于买方原因导致技术资料丢失和（或）损坏，卖方应在收到买方的通知后7日内补齐丢失和（或）损坏的部分，但买方应向卖方支付合理的复制、邮寄费用。</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5.检验和验收</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5.1 合同材料交付前，卖方应对其进行全面检验，并在交付合同材料时向买方提交合同材料的质量合格。</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5.2 合同材料交付后，买方应在专用合同条款约定的期限内安排对合同材料的规格、质量等进行检验，检验按照专用合同条款约定的下列一种方式进行：</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（1）由买方对合同材料进行检验；</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（2）由专用合同条款约定的拥有资质的第三方检验机构对合同材料进行检验；</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（3）专用合同条款约定的其他方式。</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5.3 买方应在检验日期3日前将检验的时间和地点通知卖方，卖方应自负费用派遣代表参加检验。若卖方未按买方通知到场参加检验，则检验可正常进行，卖方应接受合同材料的检验结果。</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5.4 合同材料经检验合格，买卖双方应签署合同材料验收证书一式二份，双方各持一份。</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5.5 若合同约定了合同材料的最低质量标准。且合同材料经检验达到了合同约定的最低质量标准的，视为合同材料符合质量标准，买方应验收合同材料，但卖方应按专用合同条款的约定进行减价或向买方支付补偿金。</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5.6 合同材料由第三方检验机构进行检验的，第三方检验机构的检验结果对双方均具有约束力。</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5.7 除专用合同条款另有约定外，买方在全部合同材料交付后3个月内未安排检验和验收的，卖方可签署进度款支付函提交买方，如买方在收到后7日内未提出书面异议，则进度款支付函自签署之日起生效。进度款支付函的生效不免除卖方继续配合买方进行检验和验收的义务，合同材料验收后双方应签署合同材料验收证书。</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5.8 合同材料验收证书的签署不能免除卖方在质量保证期内对合同材料应承担的保证责任。</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6.相关服务</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6.1 卖方应配备充足的技术人员，并根据买方要求，通过进行电话联系或派遣技术熟练、称职的技术人员到施工场地为买方提供服务。如果卖方技术人员不合格，买方有权要求卖方撤换，因撤换而产生的费用应由卖方承担。</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6.2 买方应免费为卖方技术人员提供工作条件及便利，包括但不限于必要的办公场所、技术资料及出入许可等。除专用合同条款另有约定外，卖方技术人员的交通、住宿费用由卖方承担。</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7.质量保证期</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7.1 除专用合同条款和（或）供货要求等合同文件另有约定外，合同材料的质量保证期自合同材料验收之日起算，至合同材料验收证书或进度款支付函签署之日起12个月止（以先到的为准）。</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7.2 除非因买方使用不当，合同材料在质量保证期内如破损、变质或被发现存在任何质量问题，卖方应负责对合同材料进行修补和退换。更换的合同材料的质量保证期应重新计算。</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7.3 质量保证期届满且卖方按照合同约定履行完毕质量保证期内义务后，买方应在7日内向卖方出合同材料的质量保证期届满证书。</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8.履约保证金</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除专用合同条款另有约定外，履约保证金自合同生效之日起生效，在合同材料验收证书或进度款支付函签署之日起28日后失效。如果卖方不履行合同约定的义务或其履行不符合合同的约定，买方有权扣划相应金额的履约保证金。</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9.保证</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9.1 卖方保证其具有完全的能力履行本合同项下的全部义务。</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9.2 卖方保证其所提供的合同材料及对合同的履行符合所有应适用的法律、行政法规、地方性法规、自治条例和单行条例、规章及其他规范性文件的强制性规定。</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9.3 卖方保证其对合同材料的销售不损害任何第三方的合法权益和社会公众利益。任何第三方不会因卖方原因而基于所有权、抵押权、留置权或其他任何权利或事由对合同材料主张权利。</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9.4 卖方保证合同材料符合合同约定的规格、质量标准，并且全新、完整、未、能够安全使用，除非专用合同条款和（或）供货要求等合同文件另有约定。</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9.5 卖方保证，卖方所提供的技术资料完整、清晰、准确，符合合同约定并且能够满足买方使用合同材料的需要。</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9.6 卖方保证，在合同材料使用寿命内，如果卖方发现合同材料存在足以危及人身、财产安全的缺陷，卖方将及时通知买方并及时采取修补、更换等措施消除缺陷。</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10.违约责任</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10.1 合同一方不履行合同义务、履行合同义务不符合约定或者违反合同项下所作保证的，应向对方承担继续履行、采取补救措施或者赔偿损失等违约责任。</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10.2 卖方未能按时交付合同材料的，应向买方支付迟延交付违约金。卖方支付迟延交货违约金，不能免除其继续交付合同材料的义务。除专用合同条款另有约定外，迟延交付违约金的计算方法如下：</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延迟交付违约金=延迟交付材料金额×0.08%×延迟交货天数。</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迟延交付违约金的最高限价为合同价格的10%。</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10.3 买方未能按合同约定支付合同价款的，应向卖方支付延迟付款违约金。除专用合同条款另有约定外，迟延付款违约金的计算方法如下：</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延迟付款违约金=延迟付款金额×0.08%×延迟付款天数。</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迟延付款违约金的总额不得超过合同价格的10%。</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11.合同的解除</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除专用合同条款另有约定外，有下述情形之一，当事人可发出书面通知全部或部分地解除合同，合同自通知到达对方时全部或部分地解除：</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（1）合同一方当事人无法继续履行或明确表示不履行或实质上已停止履行合同；</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（2）合同一方当事人需支付的违约金已达合同约定的最高限额；</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（3）合同材料未能达到质量标准，或在合同约定了最低质量标准时，不能达到最低质量标准；</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（4）合同一方当事人出现破产、清算、资不抵债、成为失信被执行人等可能丧失履约能力的情形，且未能提供令对方满意的履约保证金；</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（5）因不可抗力不能实现合同目的。</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12.争议的解决</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因本合同引起的或与本合同有关的任何争议，双方可通过友好协商解决。友好协商解决不成的，可在专用合同条款中约定下列一种方式解决：</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（1）向约定的仲裁委员会申请仲裁；</w:t>
      </w:r>
    </w:p>
    <w:p>
      <w:pPr>
        <w:widowControl/>
        <w:jc w:val="left"/>
        <w:rPr>
          <w:rFonts w:hint="eastAsia" w:ascii="仿宋" w:hAnsi="仿宋" w:eastAsia="仿宋"/>
          <w:sz w:val="24"/>
          <w:szCs w:val="24"/>
          <w:lang w:bidi="ar"/>
        </w:rPr>
      </w:pPr>
      <w:r>
        <w:rPr>
          <w:rFonts w:hint="eastAsia" w:ascii="仿宋" w:hAnsi="仿宋" w:eastAsia="仿宋"/>
          <w:sz w:val="24"/>
          <w:szCs w:val="24"/>
          <w:lang w:bidi="ar"/>
        </w:rPr>
        <w:t>（2）向有管辖权的人民法院提起诉讼。</w:t>
      </w:r>
    </w:p>
    <w:p>
      <w:pPr>
        <w:pStyle w:val="19"/>
        <w:widowControl w:val="0"/>
        <w:snapToGrid w:val="0"/>
        <w:spacing w:before="0" w:beforeAutospacing="0" w:after="0" w:afterAutospacing="0" w:line="360" w:lineRule="auto"/>
        <w:ind w:firstLine="480" w:firstLineChars="200"/>
        <w:jc w:val="center"/>
        <w:outlineLvl w:val="1"/>
        <w:rPr>
          <w:rFonts w:hint="eastAsia" w:ascii="仿宋" w:hAnsi="仿宋" w:eastAsia="仿宋" w:cs="仿宋"/>
          <w:b/>
          <w:sz w:val="28"/>
          <w:szCs w:val="28"/>
        </w:rPr>
      </w:pPr>
      <w:r>
        <w:rPr>
          <w:rFonts w:hint="eastAsia" w:ascii="仿宋" w:hAnsi="仿宋" w:eastAsia="仿宋" w:cs="Calibri"/>
          <w:kern w:val="2"/>
          <w:lang w:bidi="ar"/>
        </w:rPr>
        <w:br w:type="page"/>
      </w:r>
      <w:bookmarkStart w:id="216" w:name="_Toc14856849"/>
      <w:r>
        <w:rPr>
          <w:rFonts w:hint="eastAsia" w:ascii="仿宋" w:hAnsi="仿宋" w:eastAsia="仿宋" w:cs="仿宋"/>
          <w:b/>
          <w:sz w:val="28"/>
          <w:szCs w:val="28"/>
          <w:lang w:bidi="ar"/>
        </w:rPr>
        <w:t>第二节  专用合同条款</w:t>
      </w:r>
      <w:bookmarkEnd w:id="216"/>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 xml:space="preserve"> </w:t>
      </w:r>
    </w:p>
    <w:p>
      <w:pPr>
        <w:pStyle w:val="19"/>
        <w:widowControl w:val="0"/>
        <w:snapToGrid w:val="0"/>
        <w:spacing w:before="0" w:beforeAutospacing="0" w:after="0" w:afterAutospacing="0" w:line="360" w:lineRule="auto"/>
        <w:ind w:firstLine="480" w:firstLineChars="200"/>
        <w:jc w:val="center"/>
        <w:outlineLvl w:val="1"/>
        <w:rPr>
          <w:rFonts w:hint="eastAsia" w:ascii="仿宋" w:hAnsi="仿宋" w:eastAsia="仿宋" w:cs="仿宋"/>
          <w:b/>
          <w:sz w:val="28"/>
          <w:szCs w:val="28"/>
        </w:rPr>
      </w:pPr>
      <w:r>
        <w:rPr>
          <w:rFonts w:hint="eastAsia" w:ascii="仿宋" w:hAnsi="仿宋" w:eastAsia="仿宋" w:cs="Times New Roman"/>
          <w:szCs w:val="20"/>
          <w:lang w:bidi="ar"/>
        </w:rPr>
        <w:br w:type="page"/>
      </w:r>
      <w:bookmarkStart w:id="217" w:name="_Toc14856850"/>
      <w:r>
        <w:rPr>
          <w:rFonts w:hint="eastAsia" w:ascii="仿宋" w:hAnsi="仿宋" w:eastAsia="仿宋" w:cs="仿宋"/>
          <w:b/>
          <w:sz w:val="28"/>
          <w:szCs w:val="28"/>
          <w:lang w:bidi="ar"/>
        </w:rPr>
        <w:t>第三节  合同附件格式</w:t>
      </w:r>
      <w:bookmarkEnd w:id="217"/>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r>
        <w:rPr>
          <w:rFonts w:hint="eastAsia" w:ascii="仿宋" w:hAnsi="仿宋" w:eastAsia="仿宋" w:cs="仿宋"/>
          <w:szCs w:val="20"/>
          <w:lang w:bidi="ar"/>
        </w:rPr>
        <w:t xml:space="preserve"> </w:t>
      </w:r>
    </w:p>
    <w:p>
      <w:pPr>
        <w:pStyle w:val="3"/>
        <w:keepNext w:val="0"/>
        <w:widowControl/>
        <w:rPr>
          <w:rFonts w:cs="仿宋"/>
          <w:szCs w:val="24"/>
        </w:rPr>
      </w:pPr>
      <w:r>
        <w:rPr>
          <w:rFonts w:hint="eastAsia"/>
          <w:sz w:val="24"/>
          <w:lang w:bidi="ar"/>
        </w:rPr>
        <w:br w:type="page"/>
      </w:r>
      <w:bookmarkStart w:id="218" w:name="_Toc499108633"/>
      <w:bookmarkStart w:id="219" w:name="_Toc14856851"/>
      <w:r>
        <w:t>附件一：合同协议书</w:t>
      </w:r>
      <w:bookmarkEnd w:id="218"/>
      <w:bookmarkEnd w:id="219"/>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lang w:bidi="ar"/>
        </w:rPr>
        <w:t>合同协议书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（买方名称，以下简称“买方”）为获得</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（项目名称）合同材料和相关服务，已接受</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（卖方名称，以下简称“卖方”）为提供上述合同材料和相关服务所作的投标，买方和卖方共同达成如下协议：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1.本协议与下列文件一起构成合同文件：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（1）中标通知书；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（2）投标函；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（3）商务和技术偏差表；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（4）专用合同条款；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（5）通用合同条款；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（6）供货要求；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（7）分项报价表；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（8）中标材料质量标准的详细描述；</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（9）相关服务计划；</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（10）其他合同文件。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2.上述合同文件互相补充和解释。如果合同文件之间存在矛盾或不一致之处，以上述文件的排列顺序在先者为准。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3.签约合同价：人民价（大写）</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4.卖方承诺保证完全按照合同约定提供合同材料和相关服务并修补缺陷。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5.买方承诺保证按照合同约定的条件、时间和方式向卖方支付合同价款。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6.本合同协议书一式</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份，合同双方各执</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bidi="ar"/>
        </w:rPr>
        <w:t>7.合同未尽事宜，双方另行签订补充协议，补充协议是合同的组成部分。</w:t>
      </w:r>
    </w:p>
    <w:p>
      <w:pPr>
        <w:spacing w:line="360" w:lineRule="auto"/>
        <w:ind w:firstLine="480" w:firstLineChars="200"/>
        <w:rPr>
          <w:rFonts w:hint="eastAsia" w:ascii="仿宋" w:hAnsi="仿宋" w:eastAsia="仿宋" w:cs="仿宋"/>
          <w:sz w:val="24"/>
          <w:szCs w:val="24"/>
        </w:rPr>
      </w:pPr>
    </w:p>
    <w:p>
      <w:pPr>
        <w:wordWrap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lang w:bidi="ar"/>
        </w:rPr>
        <w:t>买方：</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（盖单位章）</w:t>
      </w:r>
    </w:p>
    <w:p>
      <w:pPr>
        <w:wordWrap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lang w:bidi="ar"/>
        </w:rPr>
        <w:t>法定代表人（单位负责人）或其委托代理人：</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（签字）</w:t>
      </w:r>
    </w:p>
    <w:p>
      <w:pPr>
        <w:wordWrap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年</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月</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日</w:t>
      </w:r>
    </w:p>
    <w:p>
      <w:pPr>
        <w:spacing w:line="360" w:lineRule="auto"/>
        <w:ind w:firstLine="480" w:firstLineChars="200"/>
        <w:jc w:val="right"/>
        <w:rPr>
          <w:rFonts w:hint="eastAsia" w:ascii="仿宋" w:hAnsi="仿宋" w:eastAsia="仿宋" w:cs="仿宋"/>
          <w:sz w:val="24"/>
          <w:szCs w:val="24"/>
        </w:rPr>
      </w:pPr>
    </w:p>
    <w:p>
      <w:pPr>
        <w:wordWrap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lang w:bidi="ar"/>
        </w:rPr>
        <w:t>卖方：</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（盖单位章）</w:t>
      </w:r>
    </w:p>
    <w:p>
      <w:pPr>
        <w:wordWrap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lang w:bidi="ar"/>
        </w:rPr>
        <w:t>法定代表人（单位负责人）或其委托代理人：</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（签字）</w:t>
      </w:r>
    </w:p>
    <w:p>
      <w:pPr>
        <w:wordWrap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年</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月</w:t>
      </w:r>
      <w:r>
        <w:rPr>
          <w:rFonts w:hint="eastAsia" w:ascii="仿宋" w:hAnsi="仿宋" w:eastAsia="仿宋" w:cs="仿宋"/>
          <w:sz w:val="24"/>
          <w:szCs w:val="24"/>
          <w:u w:val="single"/>
          <w:lang w:bidi="ar"/>
        </w:rPr>
        <w:t xml:space="preserve">    </w:t>
      </w:r>
      <w:r>
        <w:rPr>
          <w:rFonts w:hint="eastAsia" w:ascii="仿宋" w:hAnsi="仿宋" w:eastAsia="仿宋" w:cs="仿宋"/>
          <w:sz w:val="24"/>
          <w:szCs w:val="24"/>
          <w:lang w:bidi="ar"/>
        </w:rPr>
        <w:t>日</w:t>
      </w:r>
    </w:p>
    <w:p>
      <w:pPr>
        <w:spacing w:line="360" w:lineRule="auto"/>
        <w:ind w:firstLine="420" w:firstLineChars="200"/>
        <w:jc w:val="right"/>
        <w:rPr>
          <w:rFonts w:hint="eastAsia" w:ascii="宋体" w:hAnsi="宋体" w:cs="宋体"/>
          <w:szCs w:val="21"/>
          <w:u w:val="single"/>
        </w:rPr>
      </w:pPr>
    </w:p>
    <w:p>
      <w:pPr>
        <w:pStyle w:val="3"/>
        <w:keepNext w:val="0"/>
        <w:widowControl/>
        <w:rPr>
          <w:rFonts w:cs="仿宋"/>
          <w:szCs w:val="24"/>
        </w:rPr>
      </w:pPr>
      <w:r>
        <w:rPr>
          <w:rFonts w:hint="eastAsia" w:ascii="宋体" w:hAnsi="宋体" w:cs="Times New Roman"/>
          <w:sz w:val="24"/>
          <w:szCs w:val="32"/>
          <w:lang w:bidi="ar"/>
        </w:rPr>
        <w:br w:type="page"/>
      </w:r>
      <w:bookmarkStart w:id="220" w:name="_Toc14856852"/>
      <w:bookmarkStart w:id="221" w:name="_Toc499108634"/>
      <w:r>
        <w:t>附件二：履约保证金格式</w:t>
      </w:r>
      <w:bookmarkEnd w:id="220"/>
      <w:bookmarkEnd w:id="221"/>
    </w:p>
    <w:p>
      <w:pPr>
        <w:autoSpaceDE w:val="0"/>
        <w:autoSpaceDN w:val="0"/>
        <w:spacing w:line="360" w:lineRule="auto"/>
        <w:textAlignment w:val="bottom"/>
        <w:rPr>
          <w:rFonts w:hint="eastAsia" w:ascii="仿宋" w:hAnsi="仿宋" w:eastAsia="仿宋" w:cs="仿宋"/>
        </w:rPr>
      </w:pPr>
      <w:r>
        <w:rPr>
          <w:rFonts w:hint="eastAsia" w:ascii="仿宋" w:hAnsi="仿宋" w:eastAsia="仿宋" w:cs="仿宋"/>
          <w:szCs w:val="24"/>
          <w:lang w:bidi="ar"/>
        </w:rPr>
        <w:t>如采用银行保函，格式如下。</w:t>
      </w:r>
    </w:p>
    <w:p>
      <w:pPr>
        <w:autoSpaceDE w:val="0"/>
        <w:autoSpaceDN w:val="0"/>
        <w:spacing w:line="360" w:lineRule="auto"/>
        <w:jc w:val="center"/>
        <w:textAlignment w:val="bottom"/>
        <w:rPr>
          <w:rFonts w:hint="eastAsia" w:ascii="仿宋" w:hAnsi="仿宋" w:eastAsia="仿宋" w:cs="仿宋"/>
          <w:b/>
          <w:sz w:val="24"/>
          <w:szCs w:val="24"/>
        </w:rPr>
      </w:pPr>
      <w:r>
        <w:rPr>
          <w:rFonts w:hint="eastAsia" w:ascii="仿宋" w:hAnsi="仿宋" w:eastAsia="仿宋" w:cs="仿宋"/>
          <w:b/>
          <w:sz w:val="24"/>
          <w:szCs w:val="24"/>
          <w:lang w:bidi="ar"/>
        </w:rPr>
        <w:t>履约保证金</w:t>
      </w:r>
    </w:p>
    <w:p>
      <w:pPr>
        <w:autoSpaceDE w:val="0"/>
        <w:autoSpaceDN w:val="0"/>
        <w:spacing w:line="360" w:lineRule="auto"/>
        <w:textAlignment w:val="bottom"/>
        <w:rPr>
          <w:rFonts w:hint="eastAsia" w:ascii="仿宋" w:hAnsi="仿宋" w:eastAsia="仿宋" w:cs="仿宋"/>
          <w:iCs/>
          <w:kern w:val="0"/>
          <w:szCs w:val="21"/>
        </w:rPr>
      </w:pP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（买方名称）：</w:t>
      </w:r>
    </w:p>
    <w:p>
      <w:pPr>
        <w:autoSpaceDE w:val="0"/>
        <w:autoSpaceDN w:val="0"/>
        <w:spacing w:line="360" w:lineRule="auto"/>
        <w:ind w:firstLine="420" w:firstLineChars="200"/>
        <w:textAlignment w:val="bottom"/>
        <w:rPr>
          <w:rFonts w:hint="eastAsia" w:ascii="仿宋" w:hAnsi="仿宋" w:eastAsia="仿宋" w:cs="仿宋"/>
          <w:iCs/>
          <w:kern w:val="0"/>
          <w:szCs w:val="21"/>
        </w:rPr>
      </w:pPr>
      <w:r>
        <w:rPr>
          <w:rFonts w:hint="eastAsia" w:ascii="仿宋" w:hAnsi="仿宋" w:eastAsia="仿宋" w:cs="仿宋"/>
          <w:iCs/>
          <w:kern w:val="0"/>
          <w:szCs w:val="21"/>
          <w:lang w:bidi="ar"/>
        </w:rPr>
        <w:t>鉴于</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（买方名称，以下简称“买方”）接受</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（卖方名称，以下称“卖方”）于</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年</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月</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日参加</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（项目名称）材料采购项目的投标。我方愿意无条件地、不可撤销就卖方履行与你方订立的合同，向你方提供担保。</w:t>
      </w:r>
    </w:p>
    <w:p>
      <w:pPr>
        <w:autoSpaceDE w:val="0"/>
        <w:autoSpaceDN w:val="0"/>
        <w:spacing w:line="360" w:lineRule="auto"/>
        <w:ind w:firstLine="420" w:firstLineChars="200"/>
        <w:textAlignment w:val="bottom"/>
        <w:rPr>
          <w:rFonts w:hint="eastAsia" w:ascii="仿宋" w:hAnsi="仿宋" w:eastAsia="仿宋" w:cs="仿宋"/>
          <w:szCs w:val="21"/>
        </w:rPr>
      </w:pPr>
      <w:r>
        <w:rPr>
          <w:rFonts w:hint="eastAsia" w:ascii="仿宋" w:hAnsi="仿宋" w:eastAsia="仿宋" w:cs="仿宋"/>
          <w:iCs/>
          <w:kern w:val="0"/>
          <w:szCs w:val="21"/>
          <w:lang w:bidi="ar"/>
        </w:rPr>
        <w:t>1.担保金额人民币</w:t>
      </w:r>
      <w:r>
        <w:rPr>
          <w:rFonts w:hint="eastAsia" w:ascii="仿宋" w:hAnsi="仿宋" w:eastAsia="仿宋" w:cs="仿宋"/>
          <w:szCs w:val="21"/>
          <w:lang w:bidi="ar"/>
        </w:rPr>
        <w:t>（大写）</w:t>
      </w:r>
      <w:r>
        <w:rPr>
          <w:rFonts w:hint="eastAsia" w:ascii="仿宋" w:hAnsi="仿宋" w:eastAsia="仿宋" w:cs="仿宋"/>
          <w:szCs w:val="21"/>
          <w:u w:val="single"/>
          <w:lang w:bidi="ar"/>
        </w:rPr>
        <w:t xml:space="preserve">                 </w:t>
      </w:r>
      <w:r>
        <w:rPr>
          <w:rFonts w:hint="eastAsia" w:ascii="仿宋" w:hAnsi="仿宋" w:eastAsia="仿宋" w:cs="仿宋"/>
          <w:szCs w:val="21"/>
          <w:lang w:bidi="ar"/>
        </w:rPr>
        <w:t>（￥）</w:t>
      </w:r>
      <w:r>
        <w:rPr>
          <w:rFonts w:hint="eastAsia" w:ascii="仿宋" w:hAnsi="仿宋" w:eastAsia="仿宋" w:cs="仿宋"/>
          <w:szCs w:val="21"/>
          <w:u w:val="single"/>
          <w:lang w:bidi="ar"/>
        </w:rPr>
        <w:t xml:space="preserve">                </w:t>
      </w:r>
      <w:r>
        <w:rPr>
          <w:rFonts w:hint="eastAsia" w:ascii="仿宋" w:hAnsi="仿宋" w:eastAsia="仿宋" w:cs="仿宋"/>
          <w:szCs w:val="21"/>
          <w:lang w:bidi="ar"/>
        </w:rPr>
        <w:t>。</w:t>
      </w:r>
    </w:p>
    <w:p>
      <w:pPr>
        <w:autoSpaceDE w:val="0"/>
        <w:autoSpaceDN w:val="0"/>
        <w:spacing w:line="360" w:lineRule="auto"/>
        <w:ind w:firstLine="420" w:firstLineChars="200"/>
        <w:textAlignment w:val="bottom"/>
        <w:rPr>
          <w:rFonts w:hint="eastAsia" w:ascii="仿宋" w:hAnsi="仿宋" w:eastAsia="仿宋" w:cs="仿宋"/>
          <w:szCs w:val="21"/>
        </w:rPr>
      </w:pPr>
      <w:r>
        <w:rPr>
          <w:rFonts w:hint="eastAsia" w:ascii="仿宋" w:hAnsi="仿宋" w:eastAsia="仿宋" w:cs="仿宋"/>
          <w:szCs w:val="21"/>
          <w:lang w:bidi="ar"/>
        </w:rPr>
        <w:t>2.担保有效期自买方与卖方签订的合同生效之日起至合同材料验收证书或验收款支付函签署之日起28日后失效。</w:t>
      </w:r>
    </w:p>
    <w:p>
      <w:pPr>
        <w:autoSpaceDE w:val="0"/>
        <w:autoSpaceDN w:val="0"/>
        <w:spacing w:line="360" w:lineRule="auto"/>
        <w:ind w:firstLine="420" w:firstLineChars="200"/>
        <w:textAlignment w:val="bottom"/>
        <w:rPr>
          <w:rFonts w:hint="eastAsia" w:ascii="仿宋" w:hAnsi="仿宋" w:eastAsia="仿宋" w:cs="仿宋"/>
          <w:szCs w:val="21"/>
        </w:rPr>
      </w:pPr>
      <w:r>
        <w:rPr>
          <w:rFonts w:hint="eastAsia" w:ascii="仿宋" w:hAnsi="仿宋" w:eastAsia="仿宋" w:cs="仿宋"/>
          <w:szCs w:val="21"/>
          <w:lang w:bidi="ar"/>
        </w:rPr>
        <w:t>3.在本担保有效期内，如果卖方不履行合同约定的义务或其履行不符合合同的约定，我方在收到你方以书面形式提出的在担保金额内的赔偿要求后，在7日内无条件支付。</w:t>
      </w:r>
    </w:p>
    <w:p>
      <w:pPr>
        <w:autoSpaceDE w:val="0"/>
        <w:autoSpaceDN w:val="0"/>
        <w:spacing w:line="360" w:lineRule="auto"/>
        <w:ind w:firstLine="420" w:firstLineChars="200"/>
        <w:textAlignment w:val="bottom"/>
        <w:rPr>
          <w:rFonts w:hint="eastAsia" w:ascii="仿宋" w:hAnsi="仿宋" w:eastAsia="仿宋" w:cs="仿宋"/>
          <w:szCs w:val="21"/>
        </w:rPr>
      </w:pPr>
      <w:r>
        <w:rPr>
          <w:rFonts w:hint="eastAsia" w:ascii="仿宋" w:hAnsi="仿宋" w:eastAsia="仿宋" w:cs="仿宋"/>
          <w:szCs w:val="21"/>
          <w:lang w:bidi="ar"/>
        </w:rPr>
        <w:t>4.买方和卖方变更合同时，无论我方是否收到该变更，我方承担本担保规定的义务不变。</w:t>
      </w:r>
    </w:p>
    <w:p>
      <w:pPr>
        <w:autoSpaceDE w:val="0"/>
        <w:autoSpaceDN w:val="0"/>
        <w:spacing w:line="360" w:lineRule="auto"/>
        <w:ind w:firstLine="420" w:firstLineChars="200"/>
        <w:textAlignment w:val="bottom"/>
        <w:rPr>
          <w:rFonts w:hint="eastAsia" w:ascii="仿宋" w:hAnsi="仿宋" w:eastAsia="仿宋" w:cs="仿宋"/>
          <w:szCs w:val="21"/>
        </w:rPr>
      </w:pPr>
    </w:p>
    <w:p>
      <w:pPr>
        <w:wordWrap w:val="0"/>
        <w:spacing w:line="360" w:lineRule="auto"/>
        <w:jc w:val="right"/>
        <w:rPr>
          <w:rFonts w:hint="eastAsia" w:ascii="仿宋" w:hAnsi="仿宋" w:eastAsia="仿宋" w:cs="仿宋"/>
          <w:iCs/>
          <w:kern w:val="0"/>
          <w:szCs w:val="21"/>
        </w:rPr>
      </w:pPr>
      <w:r>
        <w:rPr>
          <w:rFonts w:hint="eastAsia" w:ascii="仿宋" w:hAnsi="仿宋" w:eastAsia="仿宋" w:cs="仿宋"/>
          <w:iCs/>
          <w:kern w:val="0"/>
          <w:szCs w:val="21"/>
          <w:lang w:bidi="ar"/>
        </w:rPr>
        <w:t>担保人名称：</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（盖单位章）</w:t>
      </w:r>
    </w:p>
    <w:p>
      <w:pPr>
        <w:wordWrap w:val="0"/>
        <w:spacing w:line="360" w:lineRule="auto"/>
        <w:jc w:val="right"/>
        <w:rPr>
          <w:rFonts w:hint="eastAsia" w:ascii="仿宋" w:hAnsi="仿宋" w:eastAsia="仿宋" w:cs="仿宋"/>
          <w:iCs/>
          <w:kern w:val="0"/>
          <w:szCs w:val="21"/>
        </w:rPr>
      </w:pPr>
      <w:r>
        <w:rPr>
          <w:rFonts w:hint="eastAsia" w:ascii="仿宋" w:hAnsi="仿宋" w:eastAsia="仿宋" w:cs="仿宋"/>
          <w:iCs/>
          <w:kern w:val="0"/>
          <w:szCs w:val="21"/>
          <w:lang w:bidi="ar"/>
        </w:rPr>
        <w:t>法定代表人（单位负责人）或其委托代理人：</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（签字）</w:t>
      </w:r>
    </w:p>
    <w:p>
      <w:pPr>
        <w:wordWrap w:val="0"/>
        <w:spacing w:line="360" w:lineRule="auto"/>
        <w:jc w:val="right"/>
        <w:rPr>
          <w:rFonts w:hint="eastAsia" w:ascii="仿宋" w:hAnsi="仿宋" w:eastAsia="仿宋" w:cs="仿宋"/>
          <w:iCs/>
          <w:kern w:val="0"/>
          <w:szCs w:val="21"/>
          <w:u w:val="single"/>
        </w:rPr>
      </w:pPr>
      <w:r>
        <w:rPr>
          <w:rFonts w:hint="eastAsia" w:ascii="仿宋" w:hAnsi="仿宋" w:eastAsia="仿宋" w:cs="仿宋"/>
          <w:iCs/>
          <w:kern w:val="0"/>
          <w:szCs w:val="21"/>
          <w:lang w:bidi="ar"/>
        </w:rPr>
        <w:t>地    址：</w:t>
      </w:r>
      <w:r>
        <w:rPr>
          <w:rFonts w:hint="eastAsia" w:ascii="仿宋" w:hAnsi="仿宋" w:eastAsia="仿宋" w:cs="仿宋"/>
          <w:iCs/>
          <w:kern w:val="0"/>
          <w:szCs w:val="21"/>
          <w:u w:val="single"/>
          <w:lang w:bidi="ar"/>
        </w:rPr>
        <w:t xml:space="preserve">                                                  </w:t>
      </w:r>
    </w:p>
    <w:p>
      <w:pPr>
        <w:wordWrap w:val="0"/>
        <w:spacing w:line="360" w:lineRule="auto"/>
        <w:jc w:val="right"/>
        <w:rPr>
          <w:rFonts w:hint="eastAsia" w:ascii="仿宋" w:hAnsi="仿宋" w:eastAsia="仿宋" w:cs="仿宋"/>
          <w:iCs/>
          <w:kern w:val="0"/>
          <w:szCs w:val="21"/>
          <w:u w:val="single"/>
        </w:rPr>
      </w:pPr>
      <w:r>
        <w:rPr>
          <w:rFonts w:hint="eastAsia" w:ascii="仿宋" w:hAnsi="仿宋" w:eastAsia="仿宋" w:cs="仿宋"/>
          <w:iCs/>
          <w:kern w:val="0"/>
          <w:szCs w:val="21"/>
          <w:lang w:bidi="ar"/>
        </w:rPr>
        <w:t>邮政编码：</w:t>
      </w:r>
      <w:r>
        <w:rPr>
          <w:rFonts w:hint="eastAsia" w:ascii="仿宋" w:hAnsi="仿宋" w:eastAsia="仿宋" w:cs="仿宋"/>
          <w:iCs/>
          <w:kern w:val="0"/>
          <w:szCs w:val="21"/>
          <w:u w:val="single"/>
          <w:lang w:bidi="ar"/>
        </w:rPr>
        <w:t xml:space="preserve">                                                  </w:t>
      </w:r>
    </w:p>
    <w:p>
      <w:pPr>
        <w:wordWrap w:val="0"/>
        <w:spacing w:line="360" w:lineRule="auto"/>
        <w:jc w:val="right"/>
        <w:rPr>
          <w:rFonts w:hint="eastAsia" w:ascii="仿宋" w:hAnsi="仿宋" w:eastAsia="仿宋" w:cs="仿宋"/>
          <w:iCs/>
          <w:kern w:val="0"/>
          <w:szCs w:val="21"/>
          <w:u w:val="single"/>
        </w:rPr>
      </w:pPr>
      <w:r>
        <w:rPr>
          <w:rFonts w:hint="eastAsia" w:ascii="仿宋" w:hAnsi="仿宋" w:eastAsia="仿宋" w:cs="仿宋"/>
          <w:iCs/>
          <w:kern w:val="0"/>
          <w:szCs w:val="21"/>
          <w:lang w:bidi="ar"/>
        </w:rPr>
        <w:t>电    话：</w:t>
      </w:r>
      <w:r>
        <w:rPr>
          <w:rFonts w:hint="eastAsia" w:ascii="仿宋" w:hAnsi="仿宋" w:eastAsia="仿宋" w:cs="仿宋"/>
          <w:iCs/>
          <w:kern w:val="0"/>
          <w:szCs w:val="21"/>
          <w:u w:val="single"/>
          <w:lang w:bidi="ar"/>
        </w:rPr>
        <w:t xml:space="preserve">                                                  </w:t>
      </w:r>
    </w:p>
    <w:p>
      <w:pPr>
        <w:wordWrap w:val="0"/>
        <w:spacing w:line="360" w:lineRule="auto"/>
        <w:jc w:val="right"/>
        <w:rPr>
          <w:rFonts w:hint="eastAsia" w:ascii="仿宋" w:hAnsi="仿宋" w:eastAsia="仿宋" w:cs="仿宋"/>
          <w:iCs/>
          <w:kern w:val="0"/>
          <w:szCs w:val="21"/>
          <w:u w:val="single"/>
        </w:rPr>
      </w:pP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年</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月</w:t>
      </w:r>
      <w:r>
        <w:rPr>
          <w:rFonts w:hint="eastAsia" w:ascii="仿宋" w:hAnsi="仿宋" w:eastAsia="仿宋" w:cs="仿宋"/>
          <w:iCs/>
          <w:kern w:val="0"/>
          <w:szCs w:val="21"/>
          <w:u w:val="single"/>
          <w:lang w:bidi="ar"/>
        </w:rPr>
        <w:t xml:space="preserve">    </w:t>
      </w:r>
      <w:r>
        <w:rPr>
          <w:rFonts w:hint="eastAsia" w:ascii="仿宋" w:hAnsi="仿宋" w:eastAsia="仿宋" w:cs="仿宋"/>
          <w:iCs/>
          <w:kern w:val="0"/>
          <w:szCs w:val="21"/>
          <w:lang w:bidi="ar"/>
        </w:rPr>
        <w:t>日</w:t>
      </w: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p>
    <w:p>
      <w:pPr>
        <w:pStyle w:val="19"/>
        <w:widowControl w:val="0"/>
        <w:snapToGrid w:val="0"/>
        <w:spacing w:before="0" w:beforeAutospacing="0" w:after="0" w:afterAutospacing="0" w:line="360" w:lineRule="auto"/>
        <w:ind w:firstLine="480" w:firstLineChars="200"/>
        <w:jc w:val="both"/>
        <w:rPr>
          <w:rFonts w:hint="eastAsia" w:ascii="仿宋" w:hAnsi="仿宋" w:eastAsia="仿宋" w:cs="仿宋"/>
          <w:szCs w:val="20"/>
        </w:rPr>
      </w:pPr>
    </w:p>
    <w:p>
      <w:pPr>
        <w:spacing w:line="360" w:lineRule="auto"/>
        <w:rPr>
          <w:rFonts w:hint="eastAsia" w:ascii="仿宋" w:hAnsi="仿宋" w:eastAsia="仿宋" w:cs="Times New Roman"/>
          <w:sz w:val="24"/>
          <w:szCs w:val="20"/>
          <w:lang w:bidi="ar"/>
        </w:rPr>
        <w:sectPr>
          <w:footerReference r:id="rId5" w:type="even"/>
          <w:pgSz w:w="11906" w:h="16838"/>
          <w:pgMar w:top="1702" w:right="1418" w:bottom="1418" w:left="1418" w:header="851" w:footer="992" w:gutter="0"/>
          <w:pgNumType w:start="1"/>
          <w:cols w:space="720" w:num="1"/>
          <w:docGrid w:type="lines" w:linePitch="312" w:charSpace="0"/>
        </w:sectPr>
      </w:pPr>
    </w:p>
    <w:p>
      <w:pPr>
        <w:pStyle w:val="3"/>
        <w:keepNext w:val="0"/>
        <w:widowControl/>
      </w:pPr>
      <w:bookmarkStart w:id="222" w:name="_Toc14856853"/>
      <w:bookmarkStart w:id="223" w:name="_Toc393963316"/>
      <w:bookmarkStart w:id="224" w:name="_Toc426320041"/>
      <w:bookmarkStart w:id="225" w:name="_Toc514751549"/>
      <w:r>
        <w:t>附件三：廉政责任书</w:t>
      </w:r>
      <w:bookmarkEnd w:id="222"/>
      <w:bookmarkEnd w:id="223"/>
      <w:bookmarkEnd w:id="224"/>
      <w:bookmarkEnd w:id="225"/>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根据工程建设、物资采购、廉政建设的有关规定，为做好招标采购中的廉政建设，保证工程建设、物资采购高效优质，保证国有资金的安全、有效及效益，（以下简称买方）与承包人（以下简称卖方），特订立如下合同：</w:t>
      </w:r>
    </w:p>
    <w:p>
      <w:pPr>
        <w:spacing w:line="360" w:lineRule="auto"/>
        <w:rPr>
          <w:rFonts w:hint="eastAsia" w:ascii="仿宋" w:hAnsi="仿宋" w:eastAsia="仿宋" w:cs="仿宋"/>
          <w:b/>
          <w:sz w:val="24"/>
          <w:szCs w:val="24"/>
        </w:rPr>
      </w:pPr>
      <w:bookmarkStart w:id="226" w:name="_Toc363557425"/>
      <w:bookmarkStart w:id="227" w:name="_Toc363736816"/>
      <w:bookmarkStart w:id="228" w:name="_Toc363162252"/>
      <w:bookmarkStart w:id="229" w:name="_Toc363738325"/>
      <w:bookmarkStart w:id="230" w:name="_Toc361668460"/>
      <w:bookmarkStart w:id="231" w:name="_Toc361405259"/>
      <w:bookmarkStart w:id="232" w:name="_Toc361404578"/>
      <w:r>
        <w:rPr>
          <w:rFonts w:hint="eastAsia" w:ascii="仿宋" w:hAnsi="仿宋" w:eastAsia="仿宋" w:cs="仿宋"/>
          <w:b/>
          <w:sz w:val="24"/>
          <w:szCs w:val="24"/>
          <w:lang w:bidi="ar"/>
        </w:rPr>
        <w:t>第</w:t>
      </w:r>
      <w:bookmarkStart w:id="233" w:name="_Toc349767265"/>
      <w:bookmarkStart w:id="234" w:name="_Toc349833085"/>
      <w:bookmarkStart w:id="235" w:name="_Toc350785814"/>
      <w:r>
        <w:rPr>
          <w:rFonts w:hint="eastAsia" w:ascii="仿宋" w:hAnsi="仿宋" w:eastAsia="仿宋" w:cs="仿宋"/>
          <w:b/>
          <w:sz w:val="24"/>
          <w:szCs w:val="24"/>
          <w:lang w:bidi="ar"/>
        </w:rPr>
        <w:t>一条  买卖双方的权利和义务</w:t>
      </w:r>
      <w:bookmarkEnd w:id="226"/>
      <w:bookmarkEnd w:id="227"/>
      <w:bookmarkEnd w:id="228"/>
      <w:bookmarkEnd w:id="229"/>
      <w:bookmarkEnd w:id="230"/>
      <w:bookmarkEnd w:id="231"/>
      <w:bookmarkEnd w:id="232"/>
    </w:p>
    <w:bookmarkEnd w:id="233"/>
    <w:bookmarkEnd w:id="234"/>
    <w:bookmarkEnd w:id="235"/>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（一）严格遵守国家有关法律法规及国资委对资金使用的有关规定。</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（二）严格执行合同文件，自觉按合同办事。</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（三）双方的业务活动坚持公开、公正、诚信、透明的原则（除法律认定的商业秘密和合同文件另有规定之外），不得损害国家和集体利益，违反工程建设管理规章制度。</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（四）建立健全廉政制度，开展廉政教育，设立廉政告示牌，公布举报电话，监督并认真查处违法违纪行为。</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（五）发现对方在业务活动中有违反廉政规定的行为，有及时提醒对方纠正的权利和义务</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（六）发现对方严重违反本合同义务条款的行为，有向其上级有关部门举报、建议给予处理并要求告知处理结果的权利。</w:t>
      </w:r>
    </w:p>
    <w:p>
      <w:pPr>
        <w:spacing w:line="360" w:lineRule="auto"/>
        <w:rPr>
          <w:rFonts w:hint="eastAsia" w:ascii="仿宋" w:hAnsi="仿宋" w:eastAsia="仿宋" w:cs="仿宋"/>
          <w:b/>
          <w:sz w:val="24"/>
          <w:szCs w:val="24"/>
        </w:rPr>
      </w:pPr>
      <w:bookmarkStart w:id="236" w:name="_Toc363162253"/>
      <w:bookmarkStart w:id="237" w:name="_Toc363736817"/>
      <w:bookmarkStart w:id="238" w:name="_Toc363738326"/>
      <w:bookmarkStart w:id="239" w:name="_Toc361404579"/>
      <w:bookmarkStart w:id="240" w:name="_Toc363557426"/>
      <w:bookmarkStart w:id="241" w:name="_Toc361405260"/>
      <w:bookmarkStart w:id="242" w:name="_Toc361668461"/>
      <w:r>
        <w:rPr>
          <w:rFonts w:hint="eastAsia" w:ascii="仿宋" w:hAnsi="仿宋" w:eastAsia="仿宋" w:cs="仿宋"/>
          <w:b/>
          <w:sz w:val="24"/>
          <w:szCs w:val="24"/>
          <w:lang w:bidi="ar"/>
        </w:rPr>
        <w:t>第</w:t>
      </w:r>
      <w:bookmarkStart w:id="243" w:name="_Toc349833086"/>
      <w:bookmarkStart w:id="244" w:name="_Toc350785815"/>
      <w:bookmarkStart w:id="245" w:name="_Toc349767266"/>
      <w:r>
        <w:rPr>
          <w:rFonts w:hint="eastAsia" w:ascii="仿宋" w:hAnsi="仿宋" w:eastAsia="仿宋" w:cs="仿宋"/>
          <w:b/>
          <w:sz w:val="24"/>
          <w:szCs w:val="24"/>
          <w:lang w:bidi="ar"/>
        </w:rPr>
        <w:t>二条  买方的义务</w:t>
      </w:r>
      <w:bookmarkEnd w:id="236"/>
      <w:bookmarkEnd w:id="237"/>
      <w:bookmarkEnd w:id="238"/>
      <w:bookmarkEnd w:id="239"/>
      <w:bookmarkEnd w:id="240"/>
      <w:bookmarkEnd w:id="241"/>
      <w:bookmarkEnd w:id="242"/>
    </w:p>
    <w:bookmarkEnd w:id="243"/>
    <w:bookmarkEnd w:id="244"/>
    <w:bookmarkEnd w:id="245"/>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（一）买方及其工作人员不得索要或接受卖方的礼金、有价证券和贵重物品，不得在卖方报销任何应由买方或个人支付的费用等。</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（二）买方工作人员不得参加卖方安排的超标准宴请和娱乐活动，不得接受卖方提供的通讯工具、交通工具和高档办公用品等。</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（三）买方及其工作人员不得要求或者接受卖方为其住房装修、婚丧嫁娶活动、配偶子女的工作安排以及出国出境、旅游等提供方便等。</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（四）买方工作人员的配偶、子女不得从事与买方工程有关的材料设备供应、工程分包、劳务等经济活动等。</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（五）买方及其工作人员不得以任何理由向卖方推荐分包单位，不得要求卖方购买合同外的材料和设备。</w:t>
      </w:r>
    </w:p>
    <w:p>
      <w:pPr>
        <w:spacing w:line="360" w:lineRule="auto"/>
        <w:rPr>
          <w:rFonts w:hint="eastAsia" w:ascii="仿宋" w:hAnsi="仿宋" w:eastAsia="仿宋" w:cs="仿宋"/>
          <w:b/>
          <w:sz w:val="24"/>
          <w:szCs w:val="24"/>
        </w:rPr>
      </w:pPr>
      <w:bookmarkStart w:id="246" w:name="_Toc361404580"/>
      <w:bookmarkStart w:id="247" w:name="_Toc361405261"/>
      <w:bookmarkStart w:id="248" w:name="_Toc361668462"/>
      <w:bookmarkStart w:id="249" w:name="_Toc363162254"/>
      <w:bookmarkStart w:id="250" w:name="_Toc363557427"/>
      <w:bookmarkStart w:id="251" w:name="_Toc363736818"/>
      <w:bookmarkStart w:id="252" w:name="_Toc363738327"/>
      <w:r>
        <w:rPr>
          <w:rFonts w:hint="eastAsia" w:ascii="仿宋" w:hAnsi="仿宋" w:eastAsia="仿宋" w:cs="仿宋"/>
          <w:b/>
          <w:sz w:val="24"/>
          <w:szCs w:val="24"/>
          <w:lang w:bidi="ar"/>
        </w:rPr>
        <w:t>第</w:t>
      </w:r>
      <w:bookmarkStart w:id="253" w:name="_Toc349767267"/>
      <w:bookmarkStart w:id="254" w:name="_Toc349833087"/>
      <w:bookmarkStart w:id="255" w:name="_Toc350785816"/>
      <w:r>
        <w:rPr>
          <w:rFonts w:hint="eastAsia" w:ascii="仿宋" w:hAnsi="仿宋" w:eastAsia="仿宋" w:cs="仿宋"/>
          <w:b/>
          <w:sz w:val="24"/>
          <w:szCs w:val="24"/>
          <w:lang w:bidi="ar"/>
        </w:rPr>
        <w:t>三条  卖方义务</w:t>
      </w:r>
      <w:bookmarkEnd w:id="246"/>
      <w:bookmarkEnd w:id="247"/>
      <w:bookmarkEnd w:id="248"/>
      <w:bookmarkEnd w:id="249"/>
      <w:bookmarkEnd w:id="250"/>
      <w:bookmarkEnd w:id="251"/>
      <w:bookmarkEnd w:id="252"/>
    </w:p>
    <w:bookmarkEnd w:id="253"/>
    <w:bookmarkEnd w:id="254"/>
    <w:bookmarkEnd w:id="255"/>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（一）卖方不得以任何理由向买方及其工作人员行贿或馈赠礼金，有价证券、贵重礼品。</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（二）卖方不得以任何名义为买方及其工作人员报销应由买方单位或个人支付的任何费用。</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（三）卖方不得以任何理由安排买方工作人员参加超标准宴请及娱乐活动。</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（四）卖方不得为买方单位和个人购置或提供通讯工具、交通工具和高档办公用品等。</w:t>
      </w:r>
    </w:p>
    <w:p>
      <w:pPr>
        <w:spacing w:line="360" w:lineRule="auto"/>
        <w:rPr>
          <w:rFonts w:hint="eastAsia" w:ascii="仿宋" w:hAnsi="仿宋" w:eastAsia="仿宋" w:cs="仿宋"/>
          <w:b/>
          <w:sz w:val="24"/>
          <w:szCs w:val="24"/>
        </w:rPr>
      </w:pPr>
      <w:bookmarkStart w:id="256" w:name="_Toc361404581"/>
      <w:bookmarkStart w:id="257" w:name="_Toc361405262"/>
      <w:bookmarkStart w:id="258" w:name="_Toc361668463"/>
      <w:bookmarkStart w:id="259" w:name="_Toc363162255"/>
      <w:bookmarkStart w:id="260" w:name="_Toc363557428"/>
      <w:bookmarkStart w:id="261" w:name="_Toc363736819"/>
      <w:bookmarkStart w:id="262" w:name="_Toc363738328"/>
      <w:r>
        <w:rPr>
          <w:rFonts w:hint="eastAsia" w:ascii="仿宋" w:hAnsi="仿宋" w:eastAsia="仿宋" w:cs="仿宋"/>
          <w:b/>
          <w:sz w:val="24"/>
          <w:szCs w:val="24"/>
          <w:lang w:bidi="ar"/>
        </w:rPr>
        <w:t>第</w:t>
      </w:r>
      <w:bookmarkStart w:id="263" w:name="_Toc349767268"/>
      <w:bookmarkStart w:id="264" w:name="_Toc349833088"/>
      <w:bookmarkStart w:id="265" w:name="_Toc350785817"/>
      <w:r>
        <w:rPr>
          <w:rFonts w:hint="eastAsia" w:ascii="仿宋" w:hAnsi="仿宋" w:eastAsia="仿宋" w:cs="仿宋"/>
          <w:b/>
          <w:sz w:val="24"/>
          <w:szCs w:val="24"/>
          <w:lang w:bidi="ar"/>
        </w:rPr>
        <w:t>四条  违约责任</w:t>
      </w:r>
      <w:bookmarkEnd w:id="256"/>
      <w:bookmarkEnd w:id="257"/>
      <w:bookmarkEnd w:id="258"/>
      <w:bookmarkEnd w:id="259"/>
      <w:bookmarkEnd w:id="260"/>
      <w:bookmarkEnd w:id="261"/>
      <w:bookmarkEnd w:id="262"/>
    </w:p>
    <w:bookmarkEnd w:id="263"/>
    <w:bookmarkEnd w:id="264"/>
    <w:bookmarkEnd w:id="265"/>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（一）买方及其工作人员违反本合同第一、二条，按管理权限，依据有关规定给予党纪、政纪或组织处理；涉嫌犯罪的，移交司法机关追究刑事责任；给卖方单位造成经济损失的，应予以赔偿。</w:t>
      </w:r>
    </w:p>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二）卖方及其工作人员违反本合同第一、三条，按管理权限，依据有关规定、给予党纪、政纪或组织处理；给买方单位造成经济损失的，应予以赔偿；情节严重的，买方建议上级给予卖方若干年内禁止参加中国电力建设股份有限公司和其成员企业及三级子公司组织的招标投标活动。</w:t>
      </w:r>
    </w:p>
    <w:p>
      <w:pPr>
        <w:spacing w:line="360" w:lineRule="auto"/>
        <w:rPr>
          <w:rFonts w:hint="eastAsia" w:ascii="仿宋" w:hAnsi="仿宋" w:eastAsia="仿宋" w:cs="仿宋"/>
          <w:b/>
          <w:sz w:val="24"/>
          <w:szCs w:val="24"/>
        </w:rPr>
      </w:pPr>
      <w:bookmarkStart w:id="266" w:name="_Toc361404582"/>
      <w:bookmarkStart w:id="267" w:name="_Toc361405263"/>
      <w:bookmarkStart w:id="268" w:name="_Toc361668464"/>
      <w:bookmarkStart w:id="269" w:name="_Toc363162256"/>
      <w:bookmarkStart w:id="270" w:name="_Toc363557429"/>
      <w:bookmarkStart w:id="271" w:name="_Toc363736820"/>
      <w:bookmarkStart w:id="272" w:name="_Toc363738329"/>
      <w:r>
        <w:rPr>
          <w:rFonts w:hint="eastAsia" w:ascii="仿宋" w:hAnsi="仿宋" w:eastAsia="仿宋" w:cs="仿宋"/>
          <w:b/>
          <w:sz w:val="24"/>
          <w:szCs w:val="24"/>
          <w:lang w:bidi="ar"/>
        </w:rPr>
        <w:t>第</w:t>
      </w:r>
      <w:bookmarkStart w:id="273" w:name="_Toc349767269"/>
      <w:bookmarkStart w:id="274" w:name="_Toc349833089"/>
      <w:bookmarkStart w:id="275" w:name="_Toc350785818"/>
      <w:r>
        <w:rPr>
          <w:rFonts w:hint="eastAsia" w:ascii="仿宋" w:hAnsi="仿宋" w:eastAsia="仿宋" w:cs="仿宋"/>
          <w:b/>
          <w:sz w:val="24"/>
          <w:szCs w:val="24"/>
          <w:lang w:bidi="ar"/>
        </w:rPr>
        <w:t>五条  双方约定</w:t>
      </w:r>
      <w:bookmarkEnd w:id="266"/>
      <w:bookmarkEnd w:id="267"/>
      <w:bookmarkEnd w:id="268"/>
      <w:bookmarkEnd w:id="269"/>
      <w:bookmarkEnd w:id="270"/>
      <w:bookmarkEnd w:id="271"/>
      <w:bookmarkEnd w:id="272"/>
    </w:p>
    <w:bookmarkEnd w:id="273"/>
    <w:bookmarkEnd w:id="274"/>
    <w:bookmarkEnd w:id="275"/>
    <w:p>
      <w:pPr>
        <w:spacing w:line="360" w:lineRule="auto"/>
        <w:ind w:firstLine="482"/>
        <w:rPr>
          <w:rFonts w:hint="eastAsia" w:ascii="仿宋" w:hAnsi="仿宋" w:eastAsia="仿宋" w:cs="仿宋"/>
          <w:color w:val="000000"/>
          <w:sz w:val="24"/>
          <w:szCs w:val="24"/>
        </w:rPr>
      </w:pPr>
      <w:r>
        <w:rPr>
          <w:rFonts w:hint="eastAsia" w:ascii="仿宋" w:hAnsi="仿宋" w:eastAsia="仿宋" w:cs="仿宋"/>
          <w:color w:val="000000"/>
          <w:sz w:val="24"/>
          <w:szCs w:val="24"/>
          <w:lang w:bidi="ar"/>
        </w:rPr>
        <w:t>本责任书由双方或双方上级单位的纪检监察机关负责监督。由买方或买方上级单位的纪检监察机关约请卖方或卖方上级单位纪检监察机关对本合同履行情况进行检查。</w:t>
      </w:r>
    </w:p>
    <w:p>
      <w:pPr>
        <w:spacing w:line="360" w:lineRule="auto"/>
        <w:rPr>
          <w:rFonts w:hint="eastAsia" w:ascii="仿宋" w:hAnsi="仿宋" w:eastAsia="仿宋" w:cs="仿宋"/>
          <w:b/>
          <w:sz w:val="24"/>
          <w:szCs w:val="24"/>
        </w:rPr>
      </w:pPr>
      <w:bookmarkStart w:id="276" w:name="_Toc361404583"/>
      <w:bookmarkStart w:id="277" w:name="_Toc361405264"/>
      <w:bookmarkStart w:id="278" w:name="_Toc361668465"/>
      <w:bookmarkStart w:id="279" w:name="_Toc363162257"/>
      <w:bookmarkStart w:id="280" w:name="_Toc363557430"/>
      <w:bookmarkStart w:id="281" w:name="_Toc363736821"/>
      <w:bookmarkStart w:id="282" w:name="_Toc363738330"/>
      <w:r>
        <w:rPr>
          <w:rFonts w:hint="eastAsia" w:ascii="仿宋" w:hAnsi="仿宋" w:eastAsia="仿宋" w:cs="仿宋"/>
          <w:b/>
          <w:sz w:val="24"/>
          <w:szCs w:val="24"/>
          <w:lang w:bidi="ar"/>
        </w:rPr>
        <w:t>第</w:t>
      </w:r>
      <w:bookmarkStart w:id="283" w:name="_Toc349767270"/>
      <w:bookmarkStart w:id="284" w:name="_Toc349833090"/>
      <w:bookmarkStart w:id="285" w:name="_Toc350785819"/>
      <w:r>
        <w:rPr>
          <w:rFonts w:hint="eastAsia" w:ascii="仿宋" w:hAnsi="仿宋" w:eastAsia="仿宋" w:cs="仿宋"/>
          <w:b/>
          <w:sz w:val="24"/>
          <w:szCs w:val="24"/>
          <w:lang w:bidi="ar"/>
        </w:rPr>
        <w:t>六条  本责任书有效期与合同有效期一致。</w:t>
      </w:r>
      <w:bookmarkEnd w:id="276"/>
      <w:bookmarkEnd w:id="277"/>
      <w:bookmarkEnd w:id="278"/>
      <w:bookmarkEnd w:id="279"/>
      <w:bookmarkEnd w:id="280"/>
      <w:bookmarkEnd w:id="281"/>
      <w:bookmarkEnd w:id="282"/>
    </w:p>
    <w:bookmarkEnd w:id="283"/>
    <w:bookmarkEnd w:id="284"/>
    <w:bookmarkEnd w:id="285"/>
    <w:p>
      <w:pPr>
        <w:spacing w:line="360" w:lineRule="auto"/>
        <w:rPr>
          <w:rFonts w:hint="eastAsia" w:ascii="仿宋" w:hAnsi="仿宋" w:eastAsia="仿宋" w:cs="仿宋"/>
          <w:b/>
          <w:sz w:val="24"/>
          <w:szCs w:val="24"/>
        </w:rPr>
      </w:pPr>
      <w:bookmarkStart w:id="286" w:name="_Toc361404584"/>
      <w:bookmarkStart w:id="287" w:name="_Toc361405265"/>
      <w:bookmarkStart w:id="288" w:name="_Toc361668466"/>
      <w:bookmarkStart w:id="289" w:name="_Toc363162258"/>
      <w:bookmarkStart w:id="290" w:name="_Toc363557431"/>
      <w:bookmarkStart w:id="291" w:name="_Toc363736822"/>
      <w:bookmarkStart w:id="292" w:name="_Toc363738331"/>
      <w:r>
        <w:rPr>
          <w:rFonts w:hint="eastAsia" w:ascii="仿宋" w:hAnsi="仿宋" w:eastAsia="仿宋" w:cs="仿宋"/>
          <w:b/>
          <w:sz w:val="24"/>
          <w:szCs w:val="24"/>
          <w:lang w:bidi="ar"/>
        </w:rPr>
        <w:t>第</w:t>
      </w:r>
      <w:bookmarkStart w:id="293" w:name="_Toc349767271"/>
      <w:bookmarkStart w:id="294" w:name="_Toc349833091"/>
      <w:bookmarkStart w:id="295" w:name="_Toc350785820"/>
      <w:r>
        <w:rPr>
          <w:rFonts w:hint="eastAsia" w:ascii="仿宋" w:hAnsi="仿宋" w:eastAsia="仿宋" w:cs="仿宋"/>
          <w:b/>
          <w:sz w:val="24"/>
          <w:szCs w:val="24"/>
          <w:lang w:bidi="ar"/>
        </w:rPr>
        <w:t>七条  本责任书经双方盖章签署后生效。</w:t>
      </w:r>
      <w:bookmarkEnd w:id="286"/>
      <w:bookmarkEnd w:id="287"/>
      <w:bookmarkEnd w:id="288"/>
      <w:bookmarkEnd w:id="289"/>
      <w:bookmarkEnd w:id="290"/>
      <w:bookmarkEnd w:id="291"/>
      <w:bookmarkEnd w:id="292"/>
    </w:p>
    <w:bookmarkEnd w:id="293"/>
    <w:bookmarkEnd w:id="294"/>
    <w:bookmarkEnd w:id="295"/>
    <w:p>
      <w:pPr>
        <w:spacing w:line="360" w:lineRule="auto"/>
        <w:rPr>
          <w:rFonts w:hint="eastAsia" w:ascii="仿宋" w:hAnsi="仿宋" w:eastAsia="仿宋" w:cs="仿宋"/>
          <w:color w:val="000000"/>
          <w:sz w:val="24"/>
          <w:szCs w:val="24"/>
        </w:rPr>
      </w:pP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bidi="ar"/>
        </w:rPr>
        <w:t>买方：</w:t>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卖方：</w:t>
      </w:r>
    </w:p>
    <w:p>
      <w:pPr>
        <w:spacing w:line="360" w:lineRule="auto"/>
        <w:ind w:firstLine="2280" w:firstLineChars="950"/>
        <w:rPr>
          <w:rFonts w:hint="eastAsia" w:ascii="仿宋" w:hAnsi="仿宋" w:eastAsia="仿宋" w:cs="仿宋"/>
          <w:color w:val="000000"/>
          <w:sz w:val="24"/>
          <w:szCs w:val="24"/>
        </w:rPr>
      </w:pPr>
      <w:r>
        <w:rPr>
          <w:rFonts w:hint="eastAsia" w:ascii="仿宋" w:hAnsi="仿宋" w:eastAsia="仿宋" w:cs="仿宋"/>
          <w:color w:val="000000"/>
          <w:sz w:val="24"/>
          <w:szCs w:val="24"/>
          <w:lang w:bidi="ar"/>
        </w:rPr>
        <w:t>（盖章）                                （盖章）</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bidi="ar"/>
        </w:rPr>
        <w:t>法定代表人</w:t>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法定代表人</w:t>
      </w:r>
    </w:p>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bidi="ar"/>
        </w:rPr>
        <w:t>或委托代理人：</w:t>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或委托代理人：</w:t>
      </w:r>
    </w:p>
    <w:p>
      <w:pPr>
        <w:adjustRightInd w:val="0"/>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bidi="ar"/>
        </w:rPr>
        <w:t>201  年  月  日</w:t>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ab/>
      </w:r>
      <w:r>
        <w:rPr>
          <w:rFonts w:hint="eastAsia" w:ascii="仿宋" w:hAnsi="仿宋" w:eastAsia="仿宋" w:cs="仿宋"/>
          <w:color w:val="000000"/>
          <w:sz w:val="24"/>
          <w:szCs w:val="24"/>
          <w:lang w:bidi="ar"/>
        </w:rPr>
        <w:t>201  年  月  日</w:t>
      </w:r>
    </w:p>
    <w:p>
      <w:pPr>
        <w:widowControl/>
        <w:jc w:val="left"/>
      </w:pPr>
    </w:p>
    <w:p>
      <w:pPr>
        <w:spacing w:line="360" w:lineRule="exact"/>
        <w:rPr>
          <w:rFonts w:ascii="仿宋" w:hAnsi="仿宋" w:eastAsia="仿宋"/>
          <w:sz w:val="24"/>
        </w:rPr>
      </w:pPr>
    </w:p>
    <w:p>
      <w:pPr>
        <w:spacing w:line="360" w:lineRule="exact"/>
        <w:rPr>
          <w:rFonts w:hint="eastAsia" w:ascii="仿宋" w:hAnsi="仿宋" w:eastAsia="仿宋"/>
          <w:sz w:val="24"/>
        </w:rPr>
      </w:pPr>
    </w:p>
    <w:p>
      <w:pPr>
        <w:widowControl/>
        <w:spacing w:line="336" w:lineRule="auto"/>
        <w:rPr>
          <w:rFonts w:ascii="仿宋" w:hAnsi="仿宋" w:eastAsia="仿宋" w:cs="宋体"/>
          <w:sz w:val="24"/>
          <w:szCs w:val="24"/>
        </w:rPr>
      </w:pPr>
    </w:p>
    <w:p>
      <w:pPr>
        <w:pStyle w:val="2"/>
        <w:rPr>
          <w:rFonts w:hint="eastAsia"/>
        </w:rPr>
      </w:pPr>
      <w:bookmarkStart w:id="296" w:name="货物主要技术指标和性能详细说明"/>
      <w:bookmarkStart w:id="297" w:name="第六章"/>
      <w:r>
        <w:br w:type="page"/>
      </w:r>
      <w:bookmarkStart w:id="298" w:name="_Toc14856854"/>
      <w:r>
        <w:rPr>
          <w:rFonts w:hint="eastAsia"/>
        </w:rPr>
        <w:t>第四章</w:t>
      </w:r>
      <w:bookmarkEnd w:id="296"/>
      <w:bookmarkEnd w:id="297"/>
      <w:r>
        <w:rPr>
          <w:rFonts w:hint="eastAsia"/>
        </w:rPr>
        <w:t xml:space="preserve">  响应文件格式</w:t>
      </w:r>
      <w:bookmarkEnd w:id="298"/>
      <w:r>
        <w:rPr>
          <w:rFonts w:hint="eastAsia"/>
        </w:rPr>
        <w:t xml:space="preserve"> </w:t>
      </w:r>
    </w:p>
    <w:p>
      <w:pPr>
        <w:jc w:val="center"/>
        <w:rPr>
          <w:rFonts w:hint="eastAsia" w:ascii="仿宋" w:hAnsi="仿宋" w:eastAsia="仿宋"/>
          <w:b/>
          <w:sz w:val="52"/>
          <w:szCs w:val="52"/>
        </w:rPr>
      </w:pPr>
    </w:p>
    <w:p>
      <w:pPr>
        <w:jc w:val="center"/>
        <w:rPr>
          <w:rFonts w:hint="eastAsia" w:ascii="仿宋" w:hAnsi="仿宋" w:eastAsia="仿宋"/>
          <w:b/>
          <w:sz w:val="52"/>
          <w:szCs w:val="52"/>
        </w:rPr>
      </w:pPr>
    </w:p>
    <w:p>
      <w:pPr>
        <w:jc w:val="center"/>
        <w:rPr>
          <w:rFonts w:ascii="仿宋" w:hAnsi="仿宋" w:eastAsia="仿宋"/>
          <w:b/>
          <w:sz w:val="52"/>
          <w:szCs w:val="52"/>
        </w:rPr>
      </w:pPr>
      <w:r>
        <w:rPr>
          <w:rFonts w:hint="eastAsia" w:ascii="仿宋" w:hAnsi="仿宋" w:eastAsia="仿宋"/>
          <w:b/>
          <w:sz w:val="52"/>
          <w:szCs w:val="52"/>
          <w:u w:val="single"/>
        </w:rPr>
        <w:t xml:space="preserve">   （项目名称）    </w:t>
      </w: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jc w:val="center"/>
        <w:rPr>
          <w:rFonts w:ascii="仿宋" w:hAnsi="仿宋" w:eastAsia="仿宋"/>
          <w:b/>
          <w:sz w:val="52"/>
          <w:szCs w:val="52"/>
        </w:rPr>
      </w:pPr>
      <w:r>
        <w:rPr>
          <w:rFonts w:hint="eastAsia" w:ascii="仿宋" w:hAnsi="仿宋" w:eastAsia="仿宋"/>
          <w:b/>
          <w:sz w:val="84"/>
        </w:rPr>
        <w:t>竞争性</w:t>
      </w:r>
      <w:r>
        <w:rPr>
          <w:rFonts w:ascii="仿宋" w:hAnsi="仿宋" w:eastAsia="仿宋"/>
          <w:b/>
          <w:sz w:val="84"/>
        </w:rPr>
        <w:t>谈判</w:t>
      </w:r>
      <w:r>
        <w:rPr>
          <w:rFonts w:hint="eastAsia" w:ascii="仿宋" w:hAnsi="仿宋" w:eastAsia="仿宋"/>
          <w:b/>
          <w:sz w:val="84"/>
        </w:rPr>
        <w:t>响应</w:t>
      </w:r>
      <w:r>
        <w:rPr>
          <w:rFonts w:ascii="仿宋" w:hAnsi="仿宋" w:eastAsia="仿宋"/>
          <w:b/>
          <w:sz w:val="84"/>
        </w:rPr>
        <w:t>文件</w:t>
      </w: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tabs>
          <w:tab w:val="left" w:pos="0"/>
          <w:tab w:val="left" w:pos="709"/>
          <w:tab w:val="left" w:pos="851"/>
          <w:tab w:val="left" w:pos="2751"/>
        </w:tabs>
        <w:autoSpaceDE w:val="0"/>
        <w:autoSpaceDN w:val="0"/>
        <w:adjustRightInd w:val="0"/>
        <w:snapToGrid w:val="0"/>
        <w:spacing w:line="360" w:lineRule="auto"/>
        <w:ind w:firstLine="480" w:firstLineChars="200"/>
        <w:textAlignment w:val="bottom"/>
        <w:rPr>
          <w:rFonts w:hint="eastAsia" w:ascii="仿宋" w:hAnsi="仿宋" w:eastAsia="仿宋"/>
          <w:sz w:val="24"/>
          <w:szCs w:val="24"/>
        </w:rPr>
      </w:pPr>
    </w:p>
    <w:p>
      <w:pPr>
        <w:tabs>
          <w:tab w:val="left" w:pos="0"/>
          <w:tab w:val="left" w:pos="709"/>
          <w:tab w:val="left" w:pos="851"/>
          <w:tab w:val="left" w:pos="2751"/>
        </w:tabs>
        <w:autoSpaceDE w:val="0"/>
        <w:autoSpaceDN w:val="0"/>
        <w:adjustRightInd w:val="0"/>
        <w:snapToGrid w:val="0"/>
        <w:spacing w:line="360" w:lineRule="auto"/>
        <w:textAlignment w:val="bottom"/>
        <w:rPr>
          <w:rFonts w:hint="eastAsia" w:ascii="仿宋" w:hAnsi="仿宋" w:eastAsia="仿宋"/>
          <w:sz w:val="24"/>
          <w:szCs w:val="24"/>
        </w:rPr>
      </w:pPr>
    </w:p>
    <w:p>
      <w:pPr>
        <w:ind w:left="2" w:firstLine="536" w:firstLineChars="167"/>
        <w:rPr>
          <w:rFonts w:hint="eastAsia" w:ascii="仿宋" w:hAnsi="仿宋" w:eastAsia="仿宋"/>
          <w:b/>
          <w:bCs/>
          <w:sz w:val="32"/>
          <w:u w:val="single"/>
        </w:rPr>
      </w:pPr>
      <w:r>
        <w:rPr>
          <w:rFonts w:ascii="仿宋" w:hAnsi="仿宋" w:eastAsia="仿宋"/>
          <w:b/>
          <w:bCs/>
          <w:sz w:val="32"/>
        </w:rPr>
        <w:t>响应人</w:t>
      </w:r>
      <w:r>
        <w:rPr>
          <w:rFonts w:ascii="仿宋" w:hAnsi="仿宋" w:eastAsia="仿宋"/>
          <w:sz w:val="32"/>
        </w:rPr>
        <w:t>：</w:t>
      </w:r>
      <w:r>
        <w:rPr>
          <w:rFonts w:ascii="仿宋" w:hAnsi="仿宋" w:eastAsia="仿宋"/>
          <w:sz w:val="32"/>
          <w:u w:val="single"/>
        </w:rPr>
        <w:t xml:space="preserve">                            </w:t>
      </w:r>
      <w:r>
        <w:rPr>
          <w:rFonts w:ascii="仿宋" w:hAnsi="仿宋" w:eastAsia="仿宋"/>
          <w:b/>
          <w:bCs/>
          <w:sz w:val="32"/>
          <w:u w:val="single"/>
        </w:rPr>
        <w:t>（盖公章）</w:t>
      </w:r>
    </w:p>
    <w:p>
      <w:pPr>
        <w:ind w:left="2" w:firstLine="534" w:firstLineChars="167"/>
        <w:rPr>
          <w:rFonts w:hint="eastAsia" w:ascii="仿宋" w:hAnsi="仿宋" w:eastAsia="仿宋"/>
          <w:sz w:val="32"/>
          <w:u w:val="single"/>
        </w:rPr>
      </w:pPr>
    </w:p>
    <w:p>
      <w:pPr>
        <w:ind w:firstLine="536" w:firstLineChars="167"/>
        <w:rPr>
          <w:rFonts w:ascii="仿宋" w:hAnsi="仿宋" w:eastAsia="仿宋"/>
          <w:b/>
          <w:bCs/>
          <w:sz w:val="32"/>
          <w:u w:val="single"/>
        </w:rPr>
      </w:pPr>
      <w:r>
        <w:rPr>
          <w:rFonts w:ascii="仿宋" w:hAnsi="仿宋" w:eastAsia="仿宋"/>
          <w:b/>
          <w:bCs/>
          <w:sz w:val="32"/>
        </w:rPr>
        <w:t>法定代表人或其委托代理人：</w:t>
      </w:r>
      <w:r>
        <w:rPr>
          <w:rFonts w:ascii="仿宋" w:hAnsi="仿宋" w:eastAsia="仿宋"/>
          <w:b/>
          <w:bCs/>
          <w:sz w:val="32"/>
          <w:u w:val="single"/>
        </w:rPr>
        <w:t xml:space="preserve">           （签字）</w:t>
      </w:r>
    </w:p>
    <w:p>
      <w:pPr>
        <w:jc w:val="center"/>
        <w:rPr>
          <w:rFonts w:hint="eastAsia" w:ascii="仿宋" w:hAnsi="仿宋" w:eastAsia="仿宋"/>
          <w:b/>
          <w:bCs/>
          <w:sz w:val="32"/>
        </w:rPr>
      </w:pPr>
      <w:r>
        <w:rPr>
          <w:rFonts w:hint="eastAsia" w:ascii="仿宋" w:hAnsi="仿宋" w:eastAsia="仿宋"/>
          <w:b/>
          <w:bCs/>
          <w:sz w:val="32"/>
        </w:rPr>
        <w:t xml:space="preserve">   </w:t>
      </w:r>
    </w:p>
    <w:p>
      <w:pPr>
        <w:jc w:val="center"/>
        <w:rPr>
          <w:rFonts w:hint="eastAsia" w:ascii="仿宋" w:hAnsi="仿宋" w:eastAsia="仿宋"/>
          <w:b/>
          <w:bCs/>
          <w:sz w:val="32"/>
        </w:rPr>
      </w:pPr>
    </w:p>
    <w:p>
      <w:pPr>
        <w:jc w:val="center"/>
        <w:rPr>
          <w:rFonts w:ascii="仿宋" w:hAnsi="仿宋" w:eastAsia="仿宋"/>
          <w:b/>
          <w:bCs/>
          <w:sz w:val="32"/>
        </w:rPr>
      </w:pPr>
      <w:r>
        <w:rPr>
          <w:rFonts w:hint="eastAsia" w:ascii="仿宋" w:hAnsi="仿宋" w:eastAsia="仿宋"/>
          <w:b/>
          <w:bCs/>
          <w:sz w:val="32"/>
        </w:rPr>
        <w:t xml:space="preserve"> </w:t>
      </w:r>
      <w:r>
        <w:rPr>
          <w:rFonts w:ascii="仿宋" w:hAnsi="仿宋" w:eastAsia="仿宋"/>
          <w:b/>
          <w:bCs/>
          <w:sz w:val="32"/>
        </w:rPr>
        <w:t>年  月  日</w:t>
      </w:r>
    </w:p>
    <w:p>
      <w:pPr>
        <w:tabs>
          <w:tab w:val="left" w:pos="0"/>
          <w:tab w:val="left" w:pos="709"/>
          <w:tab w:val="left" w:pos="851"/>
          <w:tab w:val="left" w:pos="2751"/>
        </w:tabs>
        <w:autoSpaceDE w:val="0"/>
        <w:autoSpaceDN w:val="0"/>
        <w:adjustRightInd w:val="0"/>
        <w:snapToGrid w:val="0"/>
        <w:spacing w:line="360" w:lineRule="auto"/>
        <w:textAlignment w:val="bottom"/>
        <w:rPr>
          <w:rFonts w:hint="eastAsia" w:ascii="仿宋" w:hAnsi="仿宋" w:eastAsia="仿宋"/>
          <w:sz w:val="24"/>
          <w:szCs w:val="24"/>
        </w:rPr>
      </w:pPr>
    </w:p>
    <w:p>
      <w:pPr>
        <w:pStyle w:val="3"/>
      </w:pPr>
      <w:bookmarkStart w:id="299" w:name="附件一"/>
      <w:bookmarkStart w:id="300" w:name="_Toc433814131"/>
      <w:bookmarkStart w:id="301" w:name="_Toc14856855"/>
      <w:bookmarkStart w:id="302" w:name="附件一、竞争性谈判报价函"/>
      <w:r>
        <w:t>一</w:t>
      </w:r>
      <w:bookmarkEnd w:id="299"/>
      <w:r>
        <w:rPr>
          <w:rFonts w:hint="eastAsia"/>
        </w:rPr>
        <w:t>、竞争性谈判</w:t>
      </w:r>
      <w:r>
        <w:t>报价</w:t>
      </w:r>
      <w:r>
        <w:rPr>
          <w:rFonts w:hint="eastAsia"/>
        </w:rPr>
        <w:t>函</w:t>
      </w:r>
      <w:bookmarkEnd w:id="300"/>
      <w:bookmarkEnd w:id="301"/>
    </w:p>
    <w:bookmarkEnd w:id="302"/>
    <w:p>
      <w:pPr>
        <w:spacing w:line="360" w:lineRule="auto"/>
        <w:jc w:val="center"/>
        <w:rPr>
          <w:rFonts w:hint="eastAsia" w:ascii="仿宋" w:hAnsi="仿宋" w:eastAsia="仿宋"/>
          <w:b/>
          <w:sz w:val="36"/>
          <w:szCs w:val="36"/>
        </w:rPr>
      </w:pPr>
    </w:p>
    <w:p>
      <w:pPr>
        <w:spacing w:line="360" w:lineRule="auto"/>
        <w:jc w:val="center"/>
        <w:rPr>
          <w:rFonts w:hint="eastAsia" w:ascii="仿宋" w:hAnsi="仿宋" w:eastAsia="仿宋"/>
          <w:b/>
          <w:sz w:val="36"/>
          <w:szCs w:val="36"/>
        </w:rPr>
      </w:pPr>
      <w:r>
        <w:rPr>
          <w:rFonts w:hint="eastAsia" w:ascii="仿宋" w:hAnsi="仿宋" w:eastAsia="仿宋"/>
          <w:b/>
          <w:sz w:val="36"/>
          <w:szCs w:val="36"/>
        </w:rPr>
        <w:t>竞争性谈判报价</w:t>
      </w:r>
      <w:r>
        <w:rPr>
          <w:rFonts w:ascii="仿宋" w:hAnsi="仿宋" w:eastAsia="仿宋"/>
          <w:b/>
          <w:sz w:val="36"/>
          <w:szCs w:val="36"/>
        </w:rPr>
        <w:t>函</w:t>
      </w:r>
    </w:p>
    <w:p>
      <w:pPr>
        <w:spacing w:line="360" w:lineRule="auto"/>
        <w:jc w:val="center"/>
        <w:rPr>
          <w:rFonts w:hint="eastAsia" w:ascii="仿宋" w:hAnsi="仿宋" w:eastAsia="仿宋"/>
          <w:b/>
          <w:sz w:val="36"/>
          <w:szCs w:val="36"/>
        </w:rPr>
      </w:pPr>
    </w:p>
    <w:p>
      <w:pPr>
        <w:adjustRightInd w:val="0"/>
        <w:snapToGrid w:val="0"/>
        <w:spacing w:line="420" w:lineRule="exact"/>
        <w:rPr>
          <w:rFonts w:ascii="仿宋" w:hAnsi="仿宋" w:eastAsia="仿宋"/>
          <w:sz w:val="24"/>
        </w:rPr>
      </w:pPr>
      <w:r>
        <w:rPr>
          <w:rFonts w:ascii="仿宋" w:hAnsi="仿宋" w:eastAsia="仿宋"/>
          <w:sz w:val="24"/>
        </w:rPr>
        <w:t>致：</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全称）    </w:t>
      </w:r>
      <w:r>
        <w:rPr>
          <w:rFonts w:ascii="仿宋" w:hAnsi="仿宋" w:eastAsia="仿宋"/>
          <w:sz w:val="24"/>
        </w:rPr>
        <w:t>：</w:t>
      </w:r>
    </w:p>
    <w:p>
      <w:pPr>
        <w:adjustRightInd w:val="0"/>
        <w:snapToGrid w:val="0"/>
        <w:spacing w:line="420" w:lineRule="exact"/>
        <w:ind w:firstLine="480" w:firstLineChars="200"/>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我</w:t>
      </w:r>
      <w:r>
        <w:rPr>
          <w:rFonts w:hint="eastAsia" w:ascii="仿宋" w:hAnsi="仿宋" w:eastAsia="仿宋"/>
          <w:kern w:val="0"/>
          <w:sz w:val="24"/>
        </w:rPr>
        <w:t>方</w:t>
      </w:r>
      <w:r>
        <w:rPr>
          <w:rFonts w:ascii="仿宋" w:hAnsi="仿宋" w:eastAsia="仿宋"/>
          <w:kern w:val="0"/>
          <w:sz w:val="24"/>
        </w:rPr>
        <w:t>已经仔细的研究了</w:t>
      </w:r>
      <w:r>
        <w:rPr>
          <w:rFonts w:ascii="仿宋" w:hAnsi="仿宋" w:eastAsia="仿宋"/>
          <w:kern w:val="0"/>
          <w:sz w:val="24"/>
          <w:u w:val="single"/>
        </w:rPr>
        <w:t xml:space="preserve">      （项目名称）      </w:t>
      </w:r>
      <w:r>
        <w:rPr>
          <w:rFonts w:hint="eastAsia" w:ascii="仿宋" w:hAnsi="仿宋" w:eastAsia="仿宋"/>
          <w:kern w:val="0"/>
          <w:sz w:val="24"/>
        </w:rPr>
        <w:t>竞争性谈判</w:t>
      </w:r>
      <w:r>
        <w:rPr>
          <w:rFonts w:ascii="仿宋" w:hAnsi="仿宋" w:eastAsia="仿宋"/>
          <w:kern w:val="0"/>
          <w:sz w:val="24"/>
        </w:rPr>
        <w:t>文件的全部内容，包括但不限于合同文件、技术要求、附表、澄清、补遗以及</w:t>
      </w:r>
      <w:r>
        <w:rPr>
          <w:rFonts w:hint="eastAsia" w:ascii="仿宋" w:hAnsi="仿宋" w:eastAsia="仿宋"/>
          <w:kern w:val="0"/>
          <w:sz w:val="24"/>
        </w:rPr>
        <w:t>竞争性谈判</w:t>
      </w:r>
      <w:r>
        <w:rPr>
          <w:rFonts w:ascii="仿宋" w:hAnsi="仿宋" w:eastAsia="仿宋"/>
          <w:kern w:val="0"/>
          <w:sz w:val="24"/>
        </w:rPr>
        <w:t>文件中所列的事项，并完全理解和同意放弃对这方面有不明及误解的权利。</w:t>
      </w:r>
    </w:p>
    <w:p>
      <w:pPr>
        <w:adjustRightInd w:val="0"/>
        <w:snapToGrid w:val="0"/>
        <w:spacing w:line="420" w:lineRule="exact"/>
        <w:ind w:firstLine="480" w:firstLineChars="200"/>
        <w:jc w:val="left"/>
        <w:rPr>
          <w:rFonts w:ascii="仿宋" w:hAnsi="仿宋" w:eastAsia="仿宋"/>
          <w:kern w:val="0"/>
          <w:sz w:val="24"/>
        </w:rPr>
      </w:pPr>
      <w:r>
        <w:rPr>
          <w:rFonts w:ascii="仿宋" w:hAnsi="仿宋" w:eastAsia="仿宋"/>
          <w:kern w:val="0"/>
          <w:sz w:val="24"/>
        </w:rPr>
        <w:t>我方愿意以人民币（大写）</w:t>
      </w:r>
      <w:r>
        <w:rPr>
          <w:rFonts w:ascii="仿宋" w:hAnsi="仿宋" w:eastAsia="仿宋"/>
          <w:kern w:val="0"/>
          <w:sz w:val="24"/>
          <w:u w:val="single"/>
        </w:rPr>
        <w:t xml:space="preserve">           </w:t>
      </w:r>
      <w:r>
        <w:rPr>
          <w:rFonts w:ascii="仿宋" w:hAnsi="仿宋" w:eastAsia="仿宋"/>
          <w:kern w:val="0"/>
          <w:sz w:val="24"/>
        </w:rPr>
        <w:t>元（￥</w:t>
      </w:r>
      <w:r>
        <w:rPr>
          <w:rFonts w:ascii="仿宋" w:hAnsi="仿宋" w:eastAsia="仿宋"/>
          <w:kern w:val="0"/>
          <w:sz w:val="24"/>
          <w:u w:val="single"/>
        </w:rPr>
        <w:t xml:space="preserve">       </w:t>
      </w:r>
      <w:r>
        <w:rPr>
          <w:rFonts w:ascii="仿宋" w:hAnsi="仿宋" w:eastAsia="仿宋"/>
          <w:kern w:val="0"/>
          <w:sz w:val="24"/>
        </w:rPr>
        <w:t>）</w:t>
      </w:r>
      <w:r>
        <w:rPr>
          <w:rFonts w:hint="eastAsia" w:ascii="仿宋" w:hAnsi="仿宋" w:eastAsia="仿宋"/>
          <w:kern w:val="0"/>
          <w:sz w:val="24"/>
        </w:rPr>
        <w:t>的</w:t>
      </w:r>
      <w:r>
        <w:rPr>
          <w:rFonts w:ascii="仿宋" w:hAnsi="仿宋" w:eastAsia="仿宋"/>
          <w:kern w:val="0"/>
          <w:sz w:val="24"/>
        </w:rPr>
        <w:t>总报价</w:t>
      </w:r>
      <w:r>
        <w:rPr>
          <w:rFonts w:hint="eastAsia" w:ascii="仿宋" w:hAnsi="仿宋" w:eastAsia="仿宋"/>
          <w:kern w:val="0"/>
          <w:sz w:val="24"/>
        </w:rPr>
        <w:t>，税率</w:t>
      </w:r>
      <w:r>
        <w:rPr>
          <w:rFonts w:ascii="仿宋" w:hAnsi="仿宋" w:eastAsia="仿宋"/>
          <w:kern w:val="0"/>
          <w:sz w:val="24"/>
          <w:u w:val="single"/>
        </w:rPr>
        <w:t xml:space="preserve">   </w:t>
      </w:r>
      <w:r>
        <w:rPr>
          <w:rFonts w:ascii="仿宋" w:hAnsi="仿宋" w:eastAsia="仿宋"/>
          <w:kern w:val="0"/>
          <w:sz w:val="24"/>
        </w:rPr>
        <w:t>%</w:t>
      </w:r>
      <w:r>
        <w:rPr>
          <w:rFonts w:hint="eastAsia" w:ascii="仿宋" w:hAnsi="仿宋" w:eastAsia="仿宋"/>
          <w:kern w:val="0"/>
          <w:sz w:val="24"/>
        </w:rPr>
        <w:t>，</w:t>
      </w:r>
      <w:r>
        <w:rPr>
          <w:rFonts w:ascii="仿宋" w:hAnsi="仿宋" w:eastAsia="仿宋"/>
          <w:kern w:val="0"/>
          <w:sz w:val="24"/>
        </w:rPr>
        <w:t>交货地点为</w:t>
      </w:r>
      <w:r>
        <w:rPr>
          <w:rFonts w:hint="eastAsia" w:ascii="仿宋" w:hAnsi="仿宋" w:eastAsia="仿宋"/>
          <w:kern w:val="0"/>
          <w:sz w:val="24"/>
          <w:u w:val="single"/>
        </w:rPr>
        <w:t xml:space="preserve"> </w:t>
      </w:r>
      <w:r>
        <w:rPr>
          <w:rFonts w:ascii="仿宋" w:hAnsi="仿宋" w:eastAsia="仿宋"/>
          <w:kern w:val="0"/>
          <w:sz w:val="24"/>
          <w:u w:val="single"/>
        </w:rPr>
        <w:t xml:space="preserve">          </w:t>
      </w:r>
      <w:r>
        <w:rPr>
          <w:rFonts w:ascii="仿宋" w:hAnsi="仿宋" w:eastAsia="仿宋"/>
          <w:kern w:val="0"/>
          <w:sz w:val="24"/>
        </w:rPr>
        <w:t>，按合同约定</w:t>
      </w:r>
      <w:r>
        <w:rPr>
          <w:rFonts w:hint="eastAsia" w:ascii="仿宋" w:hAnsi="仿宋" w:eastAsia="仿宋"/>
          <w:kern w:val="0"/>
          <w:sz w:val="24"/>
        </w:rPr>
        <w:t>提供</w:t>
      </w:r>
      <w:r>
        <w:rPr>
          <w:rFonts w:ascii="仿宋" w:hAnsi="仿宋" w:eastAsia="仿宋"/>
          <w:kern w:val="0"/>
          <w:sz w:val="24"/>
        </w:rPr>
        <w:t>货物和技术服务</w:t>
      </w:r>
      <w:r>
        <w:rPr>
          <w:rFonts w:hint="eastAsia" w:ascii="仿宋" w:hAnsi="仿宋" w:eastAsia="仿宋"/>
          <w:kern w:val="0"/>
          <w:sz w:val="24"/>
        </w:rPr>
        <w:t>。</w:t>
      </w:r>
    </w:p>
    <w:p>
      <w:pPr>
        <w:adjustRightInd w:val="0"/>
        <w:snapToGrid w:val="0"/>
        <w:spacing w:line="420" w:lineRule="exact"/>
        <w:ind w:firstLine="480" w:firstLineChars="200"/>
        <w:jc w:val="left"/>
        <w:rPr>
          <w:rFonts w:ascii="仿宋" w:hAnsi="仿宋" w:eastAsia="仿宋"/>
          <w:sz w:val="24"/>
        </w:rPr>
      </w:pPr>
      <w:r>
        <w:rPr>
          <w:rFonts w:hint="eastAsia" w:ascii="仿宋" w:hAnsi="仿宋" w:eastAsia="仿宋"/>
          <w:sz w:val="24"/>
        </w:rPr>
        <w:t>2、</w:t>
      </w:r>
      <w:r>
        <w:rPr>
          <w:rFonts w:ascii="仿宋" w:hAnsi="仿宋" w:eastAsia="仿宋"/>
          <w:sz w:val="24"/>
        </w:rPr>
        <w:t>如我方</w:t>
      </w:r>
      <w:r>
        <w:rPr>
          <w:rFonts w:hint="eastAsia" w:ascii="仿宋" w:hAnsi="仿宋" w:eastAsia="仿宋"/>
          <w:sz w:val="24"/>
        </w:rPr>
        <w:t>成交</w:t>
      </w:r>
      <w:r>
        <w:rPr>
          <w:rFonts w:ascii="仿宋" w:hAnsi="仿宋" w:eastAsia="仿宋"/>
          <w:sz w:val="24"/>
        </w:rPr>
        <w:t>：</w:t>
      </w:r>
    </w:p>
    <w:p>
      <w:pPr>
        <w:adjustRightInd w:val="0"/>
        <w:snapToGrid w:val="0"/>
        <w:spacing w:line="420" w:lineRule="exact"/>
        <w:ind w:firstLine="480" w:firstLineChars="200"/>
        <w:rPr>
          <w:rFonts w:ascii="仿宋" w:hAnsi="仿宋" w:eastAsia="仿宋"/>
          <w:sz w:val="24"/>
        </w:rPr>
      </w:pPr>
      <w:r>
        <w:rPr>
          <w:rFonts w:ascii="仿宋" w:hAnsi="仿宋" w:eastAsia="仿宋"/>
          <w:sz w:val="24"/>
        </w:rPr>
        <w:t>（1）我方承诺在收到成交通知书后，在成交通知书规定的期限内与你方签订合同。</w:t>
      </w:r>
    </w:p>
    <w:p>
      <w:pPr>
        <w:adjustRightInd w:val="0"/>
        <w:snapToGrid w:val="0"/>
        <w:spacing w:line="420" w:lineRule="exact"/>
        <w:ind w:firstLine="480" w:firstLineChars="200"/>
        <w:rPr>
          <w:rFonts w:ascii="仿宋" w:hAnsi="仿宋" w:eastAsia="仿宋"/>
          <w:sz w:val="24"/>
        </w:rPr>
      </w:pPr>
      <w:r>
        <w:rPr>
          <w:rFonts w:ascii="仿宋" w:hAnsi="仿宋" w:eastAsia="仿宋"/>
          <w:sz w:val="24"/>
        </w:rPr>
        <w:t>（2）我方承诺按照</w:t>
      </w:r>
      <w:r>
        <w:rPr>
          <w:rFonts w:hint="eastAsia" w:ascii="仿宋" w:hAnsi="仿宋" w:eastAsia="仿宋"/>
          <w:sz w:val="24"/>
        </w:rPr>
        <w:t>竞争性谈判</w:t>
      </w:r>
      <w:r>
        <w:rPr>
          <w:rFonts w:ascii="仿宋" w:hAnsi="仿宋" w:eastAsia="仿宋"/>
          <w:sz w:val="24"/>
        </w:rPr>
        <w:t>文件要求向你方递交履约担保。</w:t>
      </w:r>
    </w:p>
    <w:p>
      <w:pPr>
        <w:adjustRightInd w:val="0"/>
        <w:snapToGrid w:val="0"/>
        <w:spacing w:line="420" w:lineRule="exact"/>
        <w:ind w:firstLine="480" w:firstLineChars="200"/>
        <w:rPr>
          <w:rFonts w:ascii="仿宋" w:hAnsi="仿宋" w:eastAsia="仿宋"/>
          <w:sz w:val="24"/>
        </w:rPr>
      </w:pPr>
      <w:r>
        <w:rPr>
          <w:rFonts w:ascii="仿宋" w:hAnsi="仿宋" w:eastAsia="仿宋"/>
          <w:sz w:val="24"/>
        </w:rPr>
        <w:t>（3）我方承诺在合同约定的期限内</w:t>
      </w:r>
      <w:r>
        <w:rPr>
          <w:rFonts w:hint="eastAsia" w:ascii="仿宋" w:hAnsi="仿宋" w:eastAsia="仿宋"/>
          <w:sz w:val="24"/>
        </w:rPr>
        <w:t>供货</w:t>
      </w:r>
      <w:r>
        <w:rPr>
          <w:rFonts w:ascii="仿宋" w:hAnsi="仿宋" w:eastAsia="仿宋"/>
          <w:sz w:val="24"/>
        </w:rPr>
        <w:t>。</w:t>
      </w:r>
    </w:p>
    <w:p>
      <w:pPr>
        <w:adjustRightInd w:val="0"/>
        <w:snapToGrid w:val="0"/>
        <w:spacing w:line="420" w:lineRule="exact"/>
        <w:ind w:firstLine="480" w:firstLineChars="200"/>
        <w:rPr>
          <w:rFonts w:ascii="仿宋" w:hAnsi="仿宋" w:eastAsia="仿宋"/>
          <w:sz w:val="24"/>
        </w:rPr>
      </w:pPr>
      <w:r>
        <w:rPr>
          <w:rFonts w:ascii="仿宋" w:hAnsi="仿宋" w:eastAsia="仿宋"/>
          <w:sz w:val="24"/>
        </w:rPr>
        <w:t>（4）保证忠实地执行双方所签的经济合同，并承担合同规定的责任义务。</w:t>
      </w:r>
    </w:p>
    <w:p>
      <w:pPr>
        <w:adjustRightInd w:val="0"/>
        <w:snapToGrid w:val="0"/>
        <w:spacing w:line="420" w:lineRule="exact"/>
        <w:ind w:firstLine="480" w:firstLineChars="200"/>
        <w:rPr>
          <w:rFonts w:ascii="仿宋" w:hAnsi="仿宋" w:eastAsia="仿宋"/>
          <w:sz w:val="24"/>
        </w:rPr>
      </w:pPr>
      <w:r>
        <w:rPr>
          <w:rFonts w:ascii="仿宋" w:hAnsi="仿宋" w:eastAsia="仿宋"/>
          <w:sz w:val="24"/>
        </w:rPr>
        <w:t>（5）</w:t>
      </w:r>
      <w:r>
        <w:rPr>
          <w:rFonts w:hint="eastAsia" w:ascii="仿宋" w:hAnsi="仿宋" w:eastAsia="仿宋"/>
          <w:sz w:val="24"/>
        </w:rPr>
        <w:t>我方</w:t>
      </w:r>
      <w:r>
        <w:rPr>
          <w:rFonts w:ascii="仿宋" w:hAnsi="仿宋" w:eastAsia="仿宋"/>
          <w:sz w:val="24"/>
        </w:rPr>
        <w:t>愿意向贵方提供任何与该项</w:t>
      </w:r>
      <w:r>
        <w:rPr>
          <w:rFonts w:hint="eastAsia" w:ascii="仿宋" w:hAnsi="仿宋" w:eastAsia="仿宋"/>
          <w:sz w:val="24"/>
        </w:rPr>
        <w:t>竞争性谈判</w:t>
      </w:r>
      <w:r>
        <w:rPr>
          <w:rFonts w:ascii="仿宋" w:hAnsi="仿宋" w:eastAsia="仿宋"/>
          <w:sz w:val="24"/>
        </w:rPr>
        <w:t>有关的数据、情况和技术数据。</w:t>
      </w:r>
    </w:p>
    <w:p>
      <w:pPr>
        <w:adjustRightInd w:val="0"/>
        <w:snapToGrid w:val="0"/>
        <w:spacing w:line="420" w:lineRule="exact"/>
        <w:ind w:firstLine="480" w:firstLineChars="200"/>
        <w:rPr>
          <w:rFonts w:ascii="仿宋" w:hAnsi="仿宋" w:eastAsia="仿宋"/>
          <w:sz w:val="24"/>
        </w:rPr>
      </w:pPr>
      <w:r>
        <w:rPr>
          <w:rFonts w:hint="eastAsia" w:ascii="仿宋" w:hAnsi="仿宋" w:eastAsia="仿宋"/>
          <w:sz w:val="24"/>
        </w:rPr>
        <w:t>4</w:t>
      </w:r>
      <w:r>
        <w:rPr>
          <w:rFonts w:ascii="仿宋" w:hAnsi="仿宋" w:eastAsia="仿宋"/>
          <w:sz w:val="24"/>
        </w:rPr>
        <w:t>、本</w:t>
      </w:r>
      <w:r>
        <w:rPr>
          <w:rFonts w:hint="eastAsia" w:ascii="仿宋" w:hAnsi="仿宋" w:eastAsia="仿宋"/>
          <w:sz w:val="24"/>
        </w:rPr>
        <w:t>报价</w:t>
      </w:r>
      <w:r>
        <w:rPr>
          <w:rFonts w:ascii="仿宋" w:hAnsi="仿宋" w:eastAsia="仿宋"/>
          <w:sz w:val="24"/>
        </w:rPr>
        <w:t>自</w:t>
      </w:r>
      <w:r>
        <w:rPr>
          <w:rFonts w:hint="eastAsia" w:ascii="仿宋" w:hAnsi="仿宋" w:eastAsia="仿宋"/>
          <w:sz w:val="24"/>
        </w:rPr>
        <w:t>响应</w:t>
      </w:r>
      <w:r>
        <w:rPr>
          <w:rFonts w:ascii="仿宋" w:hAnsi="仿宋" w:eastAsia="仿宋"/>
          <w:sz w:val="24"/>
        </w:rPr>
        <w:t>截止之日起</w:t>
      </w:r>
      <w:r>
        <w:rPr>
          <w:rFonts w:ascii="仿宋" w:hAnsi="仿宋" w:eastAsia="仿宋"/>
          <w:b/>
          <w:sz w:val="24"/>
          <w:u w:val="single"/>
        </w:rPr>
        <w:t>**</w:t>
      </w:r>
      <w:r>
        <w:rPr>
          <w:rFonts w:ascii="仿宋" w:hAnsi="仿宋" w:eastAsia="仿宋"/>
          <w:sz w:val="24"/>
        </w:rPr>
        <w:t>日内有效。</w:t>
      </w:r>
    </w:p>
    <w:p>
      <w:pPr>
        <w:adjustRightInd w:val="0"/>
        <w:snapToGrid w:val="0"/>
        <w:spacing w:line="420" w:lineRule="exact"/>
        <w:ind w:firstLine="480" w:firstLineChars="200"/>
        <w:rPr>
          <w:rFonts w:ascii="仿宋" w:hAnsi="仿宋" w:eastAsia="仿宋"/>
          <w:sz w:val="24"/>
        </w:rPr>
      </w:pPr>
    </w:p>
    <w:p>
      <w:pPr>
        <w:spacing w:before="60" w:after="60" w:line="420" w:lineRule="exact"/>
        <w:ind w:firstLine="3960" w:firstLineChars="1650"/>
        <w:rPr>
          <w:rFonts w:ascii="仿宋" w:hAnsi="仿宋" w:eastAsia="仿宋"/>
          <w:sz w:val="24"/>
        </w:rPr>
      </w:pPr>
      <w:r>
        <w:rPr>
          <w:rFonts w:ascii="仿宋" w:hAnsi="仿宋" w:eastAsia="仿宋"/>
          <w:sz w:val="24"/>
        </w:rPr>
        <w:t>响应人（章）：</w:t>
      </w:r>
    </w:p>
    <w:p>
      <w:pPr>
        <w:spacing w:before="60" w:after="60" w:line="420" w:lineRule="exact"/>
        <w:ind w:firstLine="3960" w:firstLineChars="1650"/>
        <w:rPr>
          <w:rFonts w:ascii="仿宋" w:hAnsi="仿宋" w:eastAsia="仿宋"/>
          <w:sz w:val="24"/>
        </w:rPr>
      </w:pPr>
      <w:r>
        <w:rPr>
          <w:rFonts w:ascii="仿宋" w:hAnsi="仿宋" w:eastAsia="仿宋"/>
          <w:sz w:val="24"/>
        </w:rPr>
        <w:t>法定代表人或</w:t>
      </w:r>
      <w:r>
        <w:rPr>
          <w:rFonts w:hint="eastAsia" w:ascii="仿宋" w:hAnsi="仿宋" w:eastAsia="仿宋"/>
          <w:sz w:val="24"/>
        </w:rPr>
        <w:t>委托代理</w:t>
      </w:r>
      <w:r>
        <w:rPr>
          <w:rFonts w:ascii="仿宋" w:hAnsi="仿宋" w:eastAsia="仿宋"/>
          <w:sz w:val="24"/>
        </w:rPr>
        <w:t>人（签字）：</w:t>
      </w:r>
    </w:p>
    <w:p>
      <w:pPr>
        <w:spacing w:before="60" w:after="60" w:line="420" w:lineRule="exact"/>
        <w:ind w:firstLine="3960" w:firstLineChars="1650"/>
        <w:rPr>
          <w:rFonts w:ascii="仿宋" w:hAnsi="仿宋" w:eastAsia="仿宋"/>
          <w:sz w:val="24"/>
        </w:rPr>
      </w:pPr>
      <w:r>
        <w:rPr>
          <w:rFonts w:ascii="仿宋" w:hAnsi="仿宋" w:eastAsia="仿宋"/>
          <w:sz w:val="24"/>
        </w:rPr>
        <w:t xml:space="preserve">联系人：                </w:t>
      </w:r>
    </w:p>
    <w:p>
      <w:pPr>
        <w:spacing w:before="60" w:after="60" w:line="420" w:lineRule="exact"/>
        <w:ind w:firstLine="3960" w:firstLineChars="1650"/>
        <w:rPr>
          <w:rFonts w:ascii="仿宋" w:hAnsi="仿宋" w:eastAsia="仿宋"/>
          <w:sz w:val="24"/>
        </w:rPr>
      </w:pPr>
      <w:r>
        <w:rPr>
          <w:rFonts w:ascii="仿宋" w:hAnsi="仿宋" w:eastAsia="仿宋"/>
          <w:sz w:val="24"/>
        </w:rPr>
        <w:t xml:space="preserve">电话：                  </w:t>
      </w:r>
    </w:p>
    <w:p>
      <w:pPr>
        <w:spacing w:before="60" w:after="60" w:line="420" w:lineRule="exact"/>
        <w:ind w:firstLine="3960" w:firstLineChars="1650"/>
        <w:rPr>
          <w:rFonts w:ascii="仿宋" w:hAnsi="仿宋" w:eastAsia="仿宋"/>
          <w:sz w:val="24"/>
        </w:rPr>
      </w:pPr>
      <w:r>
        <w:rPr>
          <w:rFonts w:ascii="仿宋" w:hAnsi="仿宋" w:eastAsia="仿宋"/>
          <w:sz w:val="24"/>
        </w:rPr>
        <w:t>传真：</w:t>
      </w:r>
    </w:p>
    <w:p>
      <w:pPr>
        <w:spacing w:before="60" w:after="60" w:line="420" w:lineRule="exact"/>
        <w:ind w:firstLine="3960" w:firstLineChars="1650"/>
        <w:rPr>
          <w:rFonts w:ascii="仿宋" w:hAnsi="仿宋" w:eastAsia="仿宋"/>
          <w:sz w:val="24"/>
        </w:rPr>
      </w:pPr>
      <w:r>
        <w:rPr>
          <w:rFonts w:ascii="仿宋" w:hAnsi="仿宋" w:eastAsia="仿宋"/>
          <w:sz w:val="24"/>
        </w:rPr>
        <w:t xml:space="preserve">开户银行：              </w:t>
      </w:r>
    </w:p>
    <w:p>
      <w:pPr>
        <w:spacing w:before="60" w:after="60" w:line="420" w:lineRule="exact"/>
        <w:ind w:firstLine="3960" w:firstLineChars="1650"/>
        <w:rPr>
          <w:rFonts w:ascii="仿宋" w:hAnsi="仿宋" w:eastAsia="仿宋"/>
          <w:sz w:val="24"/>
        </w:rPr>
      </w:pPr>
      <w:r>
        <w:rPr>
          <w:rFonts w:ascii="仿宋" w:hAnsi="仿宋" w:eastAsia="仿宋"/>
          <w:sz w:val="24"/>
        </w:rPr>
        <w:t>帐号：</w:t>
      </w:r>
    </w:p>
    <w:p>
      <w:pPr>
        <w:spacing w:line="500" w:lineRule="exact"/>
        <w:rPr>
          <w:rFonts w:hint="eastAsia" w:ascii="仿宋" w:hAnsi="仿宋" w:eastAsia="仿宋"/>
          <w:b/>
          <w:sz w:val="44"/>
          <w:szCs w:val="44"/>
        </w:rPr>
      </w:pPr>
      <w:r>
        <w:rPr>
          <w:rFonts w:ascii="仿宋" w:hAnsi="仿宋" w:eastAsia="仿宋"/>
          <w:sz w:val="24"/>
        </w:rPr>
        <w:t xml:space="preserve">                                 年  月   日</w:t>
      </w:r>
    </w:p>
    <w:p>
      <w:pPr>
        <w:pStyle w:val="3"/>
        <w:rPr>
          <w:rFonts w:hint="eastAsia"/>
        </w:rPr>
      </w:pPr>
      <w:bookmarkStart w:id="303" w:name="_Toc433814133"/>
      <w:bookmarkStart w:id="304" w:name="附件二、法定代表人授权委托书"/>
      <w:r>
        <w:br w:type="page"/>
      </w:r>
      <w:bookmarkStart w:id="305" w:name="_Toc14856856"/>
      <w:r>
        <w:rPr>
          <w:rFonts w:hint="eastAsia"/>
        </w:rPr>
        <w:t>二、法定代表人授权委托书</w:t>
      </w:r>
      <w:bookmarkEnd w:id="303"/>
      <w:bookmarkEnd w:id="305"/>
      <w:r>
        <w:t xml:space="preserve"> </w:t>
      </w:r>
    </w:p>
    <w:bookmarkEnd w:id="304"/>
    <w:p>
      <w:pPr>
        <w:spacing w:after="156" w:afterLines="50" w:line="360" w:lineRule="auto"/>
        <w:jc w:val="center"/>
        <w:rPr>
          <w:rFonts w:ascii="仿宋" w:hAnsi="仿宋" w:eastAsia="仿宋"/>
          <w:b/>
          <w:sz w:val="36"/>
          <w:szCs w:val="36"/>
        </w:rPr>
      </w:pPr>
      <w:r>
        <w:rPr>
          <w:rFonts w:ascii="仿宋" w:hAnsi="仿宋" w:eastAsia="仿宋"/>
          <w:b/>
          <w:sz w:val="36"/>
          <w:szCs w:val="36"/>
        </w:rPr>
        <w:t>法定代表人授权委托书</w:t>
      </w:r>
    </w:p>
    <w:p>
      <w:pPr>
        <w:widowControl/>
        <w:adjustRightInd w:val="0"/>
        <w:snapToGrid w:val="0"/>
        <w:spacing w:line="360" w:lineRule="auto"/>
        <w:ind w:firstLine="480" w:firstLineChars="200"/>
        <w:jc w:val="left"/>
        <w:rPr>
          <w:rFonts w:hint="eastAsia" w:ascii="仿宋" w:hAnsi="仿宋" w:eastAsia="仿宋"/>
          <w:sz w:val="24"/>
        </w:rPr>
      </w:pPr>
      <w:r>
        <w:rPr>
          <w:rFonts w:ascii="仿宋" w:hAnsi="仿宋" w:eastAsia="仿宋"/>
          <w:sz w:val="24"/>
        </w:rPr>
        <w:t>本人</w:t>
      </w:r>
      <w:r>
        <w:rPr>
          <w:rFonts w:ascii="仿宋" w:hAnsi="仿宋" w:eastAsia="仿宋"/>
          <w:sz w:val="24"/>
          <w:u w:val="single"/>
        </w:rPr>
        <w:t xml:space="preserve">   （姓名）  </w:t>
      </w:r>
      <w:r>
        <w:rPr>
          <w:rFonts w:ascii="仿宋" w:hAnsi="仿宋" w:eastAsia="仿宋"/>
          <w:sz w:val="24"/>
        </w:rPr>
        <w:t>系</w:t>
      </w:r>
      <w:r>
        <w:rPr>
          <w:rFonts w:ascii="仿宋" w:hAnsi="仿宋" w:eastAsia="仿宋"/>
          <w:sz w:val="24"/>
          <w:u w:val="single"/>
        </w:rPr>
        <w:t xml:space="preserve">     （</w:t>
      </w:r>
      <w:r>
        <w:rPr>
          <w:rFonts w:hint="eastAsia" w:ascii="仿宋" w:hAnsi="仿宋" w:eastAsia="仿宋"/>
          <w:sz w:val="24"/>
          <w:u w:val="single"/>
        </w:rPr>
        <w:t>响应</w:t>
      </w:r>
      <w:r>
        <w:rPr>
          <w:rFonts w:ascii="仿宋" w:hAnsi="仿宋" w:eastAsia="仿宋"/>
          <w:sz w:val="24"/>
          <w:u w:val="single"/>
        </w:rPr>
        <w:t xml:space="preserve">人）      </w:t>
      </w:r>
      <w:r>
        <w:rPr>
          <w:rFonts w:ascii="仿宋" w:hAnsi="仿宋" w:eastAsia="仿宋"/>
          <w:sz w:val="24"/>
        </w:rPr>
        <w:t>的法定代表人，现委托</w:t>
      </w:r>
      <w:r>
        <w:rPr>
          <w:rFonts w:ascii="仿宋" w:hAnsi="仿宋" w:eastAsia="仿宋"/>
          <w:sz w:val="24"/>
          <w:u w:val="single"/>
        </w:rPr>
        <w:t xml:space="preserve">  （姓名） </w:t>
      </w:r>
      <w:r>
        <w:rPr>
          <w:rFonts w:ascii="仿宋" w:hAnsi="仿宋" w:eastAsia="仿宋"/>
          <w:sz w:val="24"/>
        </w:rPr>
        <w:t>为我方代理人。代理人根据授权，以我方名义签署、澄清、</w:t>
      </w:r>
      <w:r>
        <w:rPr>
          <w:rFonts w:hint="eastAsia" w:ascii="仿宋" w:hAnsi="仿宋" w:eastAsia="仿宋"/>
          <w:sz w:val="24"/>
        </w:rPr>
        <w:t>说明、补正</w:t>
      </w:r>
      <w:r>
        <w:rPr>
          <w:rFonts w:ascii="仿宋" w:hAnsi="仿宋" w:eastAsia="仿宋"/>
          <w:sz w:val="24"/>
        </w:rPr>
        <w:t>、递交、撤回、修改</w:t>
      </w:r>
      <w:r>
        <w:rPr>
          <w:rFonts w:ascii="仿宋" w:hAnsi="仿宋" w:eastAsia="仿宋"/>
          <w:sz w:val="24"/>
          <w:u w:val="single"/>
        </w:rPr>
        <w:t xml:space="preserve">     （项目名称）    </w:t>
      </w:r>
      <w:r>
        <w:rPr>
          <w:rFonts w:hint="eastAsia" w:ascii="仿宋" w:hAnsi="仿宋" w:eastAsia="仿宋"/>
          <w:sz w:val="24"/>
        </w:rPr>
        <w:t>竞争性谈判响应</w:t>
      </w:r>
      <w:r>
        <w:rPr>
          <w:rFonts w:ascii="仿宋" w:hAnsi="仿宋" w:eastAsia="仿宋"/>
          <w:sz w:val="24"/>
        </w:rPr>
        <w:t>文件，其提交的</w:t>
      </w:r>
      <w:r>
        <w:rPr>
          <w:rFonts w:hint="eastAsia" w:ascii="仿宋" w:hAnsi="仿宋" w:eastAsia="仿宋"/>
          <w:sz w:val="24"/>
        </w:rPr>
        <w:t>竞争性谈判响应</w:t>
      </w:r>
      <w:r>
        <w:rPr>
          <w:rFonts w:ascii="仿宋" w:hAnsi="仿宋" w:eastAsia="仿宋"/>
          <w:sz w:val="24"/>
        </w:rPr>
        <w:t>文件内容我方均承认，法律后果由我方承担。</w:t>
      </w:r>
    </w:p>
    <w:p>
      <w:pPr>
        <w:widowControl/>
        <w:adjustRightInd w:val="0"/>
        <w:snapToGrid w:val="0"/>
        <w:spacing w:line="360" w:lineRule="auto"/>
        <w:ind w:firstLine="480" w:firstLineChars="200"/>
        <w:jc w:val="left"/>
        <w:rPr>
          <w:rFonts w:hint="eastAsia" w:ascii="仿宋" w:hAnsi="仿宋" w:eastAsia="仿宋"/>
          <w:sz w:val="24"/>
        </w:rPr>
      </w:pPr>
    </w:p>
    <w:p>
      <w:pPr>
        <w:widowControl/>
        <w:adjustRightInd w:val="0"/>
        <w:snapToGrid w:val="0"/>
        <w:spacing w:line="360" w:lineRule="auto"/>
        <w:ind w:firstLine="480" w:firstLineChars="200"/>
        <w:jc w:val="left"/>
        <w:rPr>
          <w:rFonts w:hint="eastAsia" w:ascii="仿宋" w:hAnsi="仿宋" w:eastAsia="仿宋"/>
          <w:sz w:val="24"/>
        </w:rPr>
      </w:pPr>
    </w:p>
    <w:p>
      <w:pPr>
        <w:widowControl/>
        <w:adjustRightInd w:val="0"/>
        <w:snapToGrid w:val="0"/>
        <w:spacing w:line="360" w:lineRule="auto"/>
        <w:ind w:firstLine="480" w:firstLineChars="200"/>
        <w:jc w:val="left"/>
        <w:rPr>
          <w:rFonts w:ascii="仿宋" w:hAnsi="仿宋" w:eastAsia="仿宋"/>
          <w:sz w:val="24"/>
        </w:rPr>
      </w:pPr>
      <w:r>
        <w:rPr>
          <w:rFonts w:ascii="仿宋" w:hAnsi="仿宋" w:eastAsia="仿宋"/>
          <w:sz w:val="24"/>
        </w:rPr>
        <w:t>委托期限：</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年</w:t>
      </w:r>
      <w:r>
        <w:rPr>
          <w:rFonts w:hint="eastAsia" w:ascii="仿宋" w:hAnsi="仿宋" w:eastAsia="仿宋"/>
          <w:sz w:val="24"/>
          <w:u w:val="single"/>
        </w:rPr>
        <w:t xml:space="preserve">  </w:t>
      </w:r>
      <w:r>
        <w:rPr>
          <w:rFonts w:ascii="仿宋" w:hAnsi="仿宋" w:eastAsia="仿宋"/>
          <w:sz w:val="24"/>
          <w:u w:val="single"/>
        </w:rPr>
        <w:t>月</w:t>
      </w:r>
      <w:r>
        <w:rPr>
          <w:rFonts w:hint="eastAsia" w:ascii="仿宋" w:hAnsi="仿宋" w:eastAsia="仿宋"/>
          <w:sz w:val="24"/>
          <w:u w:val="single"/>
        </w:rPr>
        <w:t xml:space="preserve">  </w:t>
      </w:r>
      <w:r>
        <w:rPr>
          <w:rFonts w:ascii="仿宋" w:hAnsi="仿宋" w:eastAsia="仿宋"/>
          <w:sz w:val="24"/>
          <w:u w:val="single"/>
        </w:rPr>
        <w:t>日</w:t>
      </w:r>
      <w:r>
        <w:rPr>
          <w:rFonts w:hint="eastAsia" w:ascii="仿宋" w:hAnsi="仿宋" w:eastAsia="仿宋"/>
          <w:sz w:val="24"/>
          <w:u w:val="single"/>
        </w:rPr>
        <w:t>——    年  月  日</w:t>
      </w:r>
      <w:r>
        <w:rPr>
          <w:rFonts w:ascii="仿宋" w:hAnsi="仿宋" w:eastAsia="仿宋"/>
          <w:sz w:val="24"/>
          <w:u w:val="single"/>
        </w:rPr>
        <w:t xml:space="preserve"> </w:t>
      </w:r>
      <w:r>
        <w:rPr>
          <w:rFonts w:hint="eastAsia" w:ascii="仿宋" w:hAnsi="仿宋" w:eastAsia="仿宋"/>
          <w:sz w:val="24"/>
        </w:rPr>
        <w:t>。</w:t>
      </w:r>
    </w:p>
    <w:p>
      <w:pPr>
        <w:widowControl/>
        <w:adjustRightInd w:val="0"/>
        <w:snapToGrid w:val="0"/>
        <w:spacing w:line="360" w:lineRule="auto"/>
        <w:ind w:firstLine="480" w:firstLineChars="200"/>
        <w:jc w:val="left"/>
        <w:rPr>
          <w:rFonts w:ascii="仿宋" w:hAnsi="仿宋" w:eastAsia="仿宋"/>
          <w:sz w:val="24"/>
        </w:rPr>
      </w:pPr>
      <w:r>
        <w:rPr>
          <w:rFonts w:ascii="仿宋" w:hAnsi="仿宋" w:eastAsia="仿宋"/>
          <w:sz w:val="24"/>
        </w:rPr>
        <w:t>代理人无转委托权。</w:t>
      </w:r>
    </w:p>
    <w:p>
      <w:pPr>
        <w:widowControl/>
        <w:spacing w:line="360" w:lineRule="auto"/>
        <w:jc w:val="left"/>
        <w:rPr>
          <w:rFonts w:ascii="仿宋" w:hAnsi="仿宋" w:eastAsia="仿宋"/>
          <w:sz w:val="24"/>
        </w:rPr>
      </w:pPr>
    </w:p>
    <w:p>
      <w:pPr>
        <w:adjustRightInd w:val="0"/>
        <w:snapToGrid w:val="0"/>
        <w:spacing w:after="156" w:line="360" w:lineRule="auto"/>
        <w:ind w:firstLine="540" w:firstLineChars="225"/>
        <w:rPr>
          <w:rFonts w:ascii="仿宋" w:hAnsi="仿宋" w:eastAsia="仿宋"/>
          <w:sz w:val="24"/>
          <w:u w:val="single"/>
        </w:rPr>
      </w:pPr>
      <w:r>
        <w:rPr>
          <w:rFonts w:ascii="仿宋" w:hAnsi="仿宋" w:eastAsia="仿宋"/>
          <w:sz w:val="24"/>
        </w:rPr>
        <w:t>响应人（盖</w:t>
      </w:r>
      <w:r>
        <w:rPr>
          <w:rFonts w:hint="eastAsia" w:ascii="仿宋" w:hAnsi="仿宋" w:eastAsia="仿宋"/>
          <w:sz w:val="24"/>
        </w:rPr>
        <w:t>单位</w:t>
      </w:r>
      <w:r>
        <w:rPr>
          <w:rFonts w:ascii="仿宋" w:hAnsi="仿宋" w:eastAsia="仿宋"/>
          <w:sz w:val="24"/>
        </w:rPr>
        <w:t>章）：</w:t>
      </w:r>
      <w:r>
        <w:rPr>
          <w:rFonts w:hint="eastAsia" w:ascii="仿宋" w:hAnsi="仿宋" w:eastAsia="仿宋"/>
          <w:sz w:val="24"/>
          <w:u w:val="single"/>
        </w:rPr>
        <w:t xml:space="preserve">                               </w:t>
      </w:r>
    </w:p>
    <w:p>
      <w:pPr>
        <w:adjustRightInd w:val="0"/>
        <w:snapToGrid w:val="0"/>
        <w:spacing w:line="360" w:lineRule="auto"/>
        <w:ind w:firstLine="540" w:firstLineChars="225"/>
        <w:rPr>
          <w:rFonts w:ascii="仿宋" w:hAnsi="仿宋" w:eastAsia="仿宋"/>
          <w:sz w:val="24"/>
        </w:rPr>
      </w:pPr>
    </w:p>
    <w:p>
      <w:pPr>
        <w:adjustRightInd w:val="0"/>
        <w:snapToGrid w:val="0"/>
        <w:spacing w:line="360" w:lineRule="auto"/>
        <w:ind w:firstLine="540" w:firstLineChars="225"/>
        <w:rPr>
          <w:rFonts w:ascii="仿宋" w:hAnsi="仿宋" w:eastAsia="仿宋"/>
          <w:sz w:val="24"/>
          <w:u w:val="single"/>
        </w:rPr>
      </w:pPr>
      <w:r>
        <w:rPr>
          <w:rFonts w:ascii="仿宋" w:hAnsi="仿宋" w:eastAsia="仿宋"/>
          <w:sz w:val="24"/>
        </w:rPr>
        <w:t>法定代表人（签字）：</w:t>
      </w:r>
      <w:r>
        <w:rPr>
          <w:rFonts w:ascii="仿宋" w:hAnsi="仿宋" w:eastAsia="仿宋"/>
          <w:sz w:val="24"/>
          <w:u w:val="single"/>
        </w:rPr>
        <w:t xml:space="preserve">              </w:t>
      </w:r>
      <w:r>
        <w:rPr>
          <w:rFonts w:hint="eastAsia" w:ascii="仿宋" w:hAnsi="仿宋" w:eastAsia="仿宋"/>
          <w:sz w:val="24"/>
          <w:u w:val="single"/>
        </w:rPr>
        <w:t xml:space="preserve">             </w:t>
      </w:r>
      <w:r>
        <w:rPr>
          <w:rFonts w:ascii="仿宋" w:hAnsi="仿宋" w:eastAsia="仿宋"/>
          <w:sz w:val="24"/>
          <w:u w:val="single"/>
        </w:rPr>
        <w:t xml:space="preserve">    </w:t>
      </w:r>
    </w:p>
    <w:p>
      <w:pPr>
        <w:adjustRightInd w:val="0"/>
        <w:snapToGrid w:val="0"/>
        <w:spacing w:line="360" w:lineRule="auto"/>
        <w:ind w:firstLine="540" w:firstLineChars="225"/>
        <w:rPr>
          <w:rFonts w:ascii="仿宋" w:hAnsi="仿宋" w:eastAsia="仿宋"/>
          <w:sz w:val="24"/>
        </w:rPr>
      </w:pPr>
    </w:p>
    <w:p>
      <w:pPr>
        <w:adjustRightInd w:val="0"/>
        <w:snapToGrid w:val="0"/>
        <w:spacing w:line="360" w:lineRule="auto"/>
        <w:ind w:firstLine="540" w:firstLineChars="225"/>
        <w:rPr>
          <w:rFonts w:ascii="仿宋" w:hAnsi="仿宋" w:eastAsia="仿宋"/>
          <w:sz w:val="24"/>
        </w:rPr>
      </w:pPr>
      <w:r>
        <w:rPr>
          <w:rFonts w:ascii="仿宋" w:hAnsi="仿宋" w:eastAsia="仿宋"/>
          <w:sz w:val="24"/>
        </w:rPr>
        <w:t>身份证号码：</w:t>
      </w:r>
      <w:r>
        <w:rPr>
          <w:rFonts w:hint="eastAsia" w:ascii="仿宋" w:hAnsi="仿宋" w:eastAsia="仿宋"/>
          <w:sz w:val="24"/>
          <w:u w:val="single"/>
        </w:rPr>
        <w:t xml:space="preserve">                                     </w:t>
      </w:r>
      <w:r>
        <w:rPr>
          <w:rFonts w:ascii="仿宋" w:hAnsi="仿宋" w:eastAsia="仿宋"/>
          <w:sz w:val="24"/>
          <w:u w:val="single"/>
        </w:rPr>
        <w:t xml:space="preserve"> </w:t>
      </w:r>
    </w:p>
    <w:p>
      <w:pPr>
        <w:adjustRightInd w:val="0"/>
        <w:snapToGrid w:val="0"/>
        <w:spacing w:line="360" w:lineRule="auto"/>
        <w:ind w:firstLine="540" w:firstLineChars="225"/>
        <w:rPr>
          <w:rFonts w:ascii="仿宋" w:hAnsi="仿宋" w:eastAsia="仿宋"/>
          <w:sz w:val="24"/>
        </w:rPr>
      </w:pPr>
    </w:p>
    <w:p>
      <w:pPr>
        <w:adjustRightInd w:val="0"/>
        <w:snapToGrid w:val="0"/>
        <w:spacing w:line="360" w:lineRule="auto"/>
        <w:ind w:firstLine="540" w:firstLineChars="225"/>
        <w:rPr>
          <w:rFonts w:ascii="仿宋" w:hAnsi="仿宋" w:eastAsia="仿宋"/>
          <w:sz w:val="24"/>
        </w:rPr>
      </w:pPr>
      <w:r>
        <w:rPr>
          <w:rFonts w:ascii="仿宋" w:hAnsi="仿宋" w:eastAsia="仿宋"/>
          <w:sz w:val="24"/>
        </w:rPr>
        <w:t>委托代理人（签字）：</w:t>
      </w:r>
      <w:r>
        <w:rPr>
          <w:rFonts w:ascii="仿宋" w:hAnsi="仿宋" w:eastAsia="仿宋"/>
          <w:sz w:val="24"/>
          <w:u w:val="single"/>
        </w:rPr>
        <w:t xml:space="preserve">                </w:t>
      </w:r>
      <w:r>
        <w:rPr>
          <w:rFonts w:hint="eastAsia" w:ascii="仿宋" w:hAnsi="仿宋" w:eastAsia="仿宋"/>
          <w:sz w:val="24"/>
          <w:u w:val="single"/>
        </w:rPr>
        <w:t xml:space="preserve">               </w:t>
      </w:r>
    </w:p>
    <w:p>
      <w:pPr>
        <w:adjustRightInd w:val="0"/>
        <w:snapToGrid w:val="0"/>
        <w:spacing w:line="360" w:lineRule="auto"/>
        <w:ind w:firstLine="540" w:firstLineChars="225"/>
        <w:rPr>
          <w:rFonts w:ascii="仿宋" w:hAnsi="仿宋" w:eastAsia="仿宋"/>
          <w:sz w:val="24"/>
        </w:rPr>
      </w:pPr>
    </w:p>
    <w:p>
      <w:pPr>
        <w:widowControl/>
        <w:spacing w:after="156" w:line="360" w:lineRule="auto"/>
        <w:ind w:firstLine="540" w:firstLineChars="225"/>
        <w:jc w:val="left"/>
        <w:rPr>
          <w:rFonts w:ascii="仿宋" w:hAnsi="仿宋" w:eastAsia="仿宋"/>
          <w:sz w:val="24"/>
          <w:u w:val="single"/>
        </w:rPr>
      </w:pPr>
      <w:r>
        <w:rPr>
          <w:rFonts w:ascii="仿宋" w:hAnsi="仿宋" w:eastAsia="仿宋"/>
          <w:sz w:val="24"/>
        </w:rPr>
        <w:t>身份证号码：</w:t>
      </w:r>
      <w:r>
        <w:rPr>
          <w:rFonts w:hint="eastAsia" w:ascii="仿宋" w:hAnsi="仿宋" w:eastAsia="仿宋"/>
          <w:sz w:val="24"/>
          <w:u w:val="single"/>
        </w:rPr>
        <w:t xml:space="preserve">                                     </w:t>
      </w:r>
      <w:r>
        <w:rPr>
          <w:rFonts w:ascii="仿宋" w:hAnsi="仿宋" w:eastAsia="仿宋"/>
          <w:sz w:val="24"/>
          <w:u w:val="single"/>
        </w:rPr>
        <w:t xml:space="preserve"> </w:t>
      </w:r>
    </w:p>
    <w:p>
      <w:pPr>
        <w:widowControl/>
        <w:spacing w:after="156" w:line="360" w:lineRule="auto"/>
        <w:ind w:firstLine="540" w:firstLineChars="225"/>
        <w:jc w:val="left"/>
        <w:rPr>
          <w:rFonts w:ascii="仿宋" w:hAnsi="仿宋" w:eastAsia="仿宋"/>
          <w:sz w:val="24"/>
          <w:u w:val="single"/>
        </w:rPr>
      </w:pPr>
    </w:p>
    <w:p>
      <w:pPr>
        <w:widowControl/>
        <w:spacing w:after="156" w:line="360" w:lineRule="auto"/>
        <w:ind w:firstLine="540" w:firstLineChars="225"/>
        <w:jc w:val="left"/>
        <w:rPr>
          <w:rFonts w:ascii="仿宋" w:hAnsi="仿宋" w:eastAsia="仿宋"/>
          <w:sz w:val="24"/>
          <w:u w:val="single"/>
        </w:rPr>
      </w:pPr>
      <w:r>
        <w:rPr>
          <w:rFonts w:hint="eastAsia" w:ascii="仿宋" w:hAnsi="仿宋" w:eastAsia="仿宋"/>
          <w:sz w:val="24"/>
          <w:u w:val="single"/>
        </w:rPr>
        <w:t xml:space="preserve">      </w:t>
      </w:r>
      <w:r>
        <w:rPr>
          <w:rFonts w:ascii="仿宋" w:hAnsi="仿宋" w:eastAsia="仿宋"/>
          <w:sz w:val="24"/>
        </w:rPr>
        <w:t>年</w:t>
      </w:r>
      <w:r>
        <w:rPr>
          <w:rFonts w:ascii="仿宋" w:hAnsi="仿宋" w:eastAsia="仿宋"/>
          <w:sz w:val="24"/>
          <w:u w:val="single"/>
        </w:rPr>
        <w:t xml:space="preserve">   </w:t>
      </w:r>
      <w:r>
        <w:rPr>
          <w:rFonts w:ascii="仿宋" w:hAnsi="仿宋" w:eastAsia="仿宋"/>
          <w:sz w:val="24"/>
        </w:rPr>
        <w:t>月</w:t>
      </w:r>
      <w:r>
        <w:rPr>
          <w:rFonts w:ascii="仿宋" w:hAnsi="仿宋" w:eastAsia="仿宋"/>
          <w:sz w:val="24"/>
          <w:u w:val="single"/>
        </w:rPr>
        <w:t xml:space="preserve">   </w:t>
      </w:r>
      <w:r>
        <w:rPr>
          <w:rFonts w:ascii="仿宋" w:hAnsi="仿宋" w:eastAsia="仿宋"/>
          <w:sz w:val="24"/>
        </w:rPr>
        <w:t>日</w:t>
      </w:r>
    </w:p>
    <w:p>
      <w:pPr>
        <w:widowControl/>
        <w:spacing w:after="156" w:line="360" w:lineRule="auto"/>
        <w:ind w:firstLine="540" w:firstLineChars="225"/>
        <w:jc w:val="left"/>
        <w:rPr>
          <w:rFonts w:ascii="仿宋" w:hAnsi="仿宋" w:eastAsia="仿宋"/>
          <w:sz w:val="24"/>
        </w:rPr>
      </w:pPr>
    </w:p>
    <w:p>
      <w:pPr>
        <w:widowControl/>
        <w:spacing w:after="156" w:line="360" w:lineRule="auto"/>
        <w:ind w:firstLine="540" w:firstLineChars="225"/>
        <w:jc w:val="left"/>
        <w:rPr>
          <w:rFonts w:ascii="仿宋" w:hAnsi="仿宋" w:eastAsia="仿宋"/>
          <w:sz w:val="24"/>
        </w:rPr>
      </w:pPr>
      <w:r>
        <w:rPr>
          <w:rFonts w:hint="eastAsia" w:ascii="仿宋" w:hAnsi="仿宋" w:eastAsia="仿宋"/>
          <w:sz w:val="24"/>
        </w:rPr>
        <w:t>附身份证复印件</w:t>
      </w:r>
    </w:p>
    <w:p>
      <w:pPr>
        <w:pStyle w:val="3"/>
      </w:pPr>
      <w:r>
        <w:br w:type="page"/>
      </w:r>
      <w:bookmarkStart w:id="306" w:name="_Toc14856857"/>
      <w:r>
        <w:rPr>
          <w:rFonts w:hint="eastAsia"/>
        </w:rPr>
        <w:t>三</w:t>
      </w:r>
      <w:r>
        <w:t>、保证金</w:t>
      </w:r>
      <w:bookmarkEnd w:id="306"/>
    </w:p>
    <w:p>
      <w:pPr>
        <w:rPr>
          <w:rFonts w:hint="eastAsia" w:ascii="仿宋" w:hAnsi="仿宋" w:eastAsia="仿宋"/>
          <w:sz w:val="24"/>
        </w:rPr>
      </w:pPr>
      <w:r>
        <w:rPr>
          <w:rFonts w:hint="eastAsia" w:ascii="仿宋" w:hAnsi="仿宋" w:eastAsia="仿宋"/>
          <w:sz w:val="24"/>
        </w:rPr>
        <w:t>附</w:t>
      </w:r>
      <w:r>
        <w:rPr>
          <w:rFonts w:ascii="仿宋" w:hAnsi="仿宋" w:eastAsia="仿宋"/>
          <w:sz w:val="24"/>
        </w:rPr>
        <w:t>汇款单复印件或保函原件</w:t>
      </w:r>
    </w:p>
    <w:p>
      <w:pPr>
        <w:rPr>
          <w:rFonts w:hint="eastAsia"/>
        </w:rPr>
      </w:pPr>
    </w:p>
    <w:p>
      <w:pPr>
        <w:pStyle w:val="3"/>
        <w:rPr>
          <w:rFonts w:hint="eastAsia"/>
        </w:rPr>
      </w:pPr>
      <w:r>
        <w:br w:type="page"/>
      </w:r>
      <w:bookmarkStart w:id="307" w:name="_Toc14856858"/>
      <w:r>
        <w:rPr>
          <w:rFonts w:hint="eastAsia"/>
        </w:rPr>
        <w:t>四、报价表</w:t>
      </w:r>
      <w:bookmarkEnd w:id="307"/>
    </w:p>
    <w:p>
      <w:pPr>
        <w:autoSpaceDE w:val="0"/>
        <w:autoSpaceDN w:val="0"/>
        <w:adjustRightInd w:val="0"/>
        <w:snapToGrid w:val="0"/>
        <w:spacing w:before="156" w:beforeLines="50" w:after="249" w:afterLines="80" w:line="240" w:lineRule="atLeast"/>
        <w:ind w:left="393" w:hanging="393" w:hangingChars="163"/>
        <w:rPr>
          <w:rFonts w:ascii="仿宋_GB2312" w:hAnsi="宋体" w:eastAsia="仿宋_GB2312"/>
          <w:b/>
          <w:kern w:val="0"/>
          <w:sz w:val="24"/>
          <w:u w:val="single"/>
        </w:rPr>
      </w:pPr>
      <w:bookmarkStart w:id="308" w:name="报价汇总表"/>
      <w:r>
        <w:rPr>
          <w:rFonts w:hint="eastAsia" w:ascii="仿宋_GB2312" w:hAnsi="宋体" w:eastAsia="仿宋_GB2312"/>
          <w:b/>
          <w:kern w:val="0"/>
          <w:sz w:val="24"/>
        </w:rPr>
        <w:t xml:space="preserve">1、竞谈报价汇总表                                           </w:t>
      </w:r>
      <w:r>
        <w:rPr>
          <w:rFonts w:hint="eastAsia" w:ascii="仿宋_GB2312" w:hAnsi="宋体" w:eastAsia="仿宋_GB2312"/>
          <w:kern w:val="0"/>
          <w:sz w:val="24"/>
        </w:rPr>
        <w:t>单位：</w:t>
      </w:r>
      <w:r>
        <w:rPr>
          <w:rFonts w:hint="eastAsia" w:ascii="仿宋_GB2312" w:hAnsi="宋体" w:eastAsia="仿宋_GB2312"/>
          <w:kern w:val="0"/>
          <w:sz w:val="24"/>
          <w:u w:val="single"/>
        </w:rPr>
        <w:t xml:space="preserve">         </w:t>
      </w:r>
    </w:p>
    <w:tbl>
      <w:tblPr>
        <w:tblStyle w:val="21"/>
        <w:tblW w:w="8362" w:type="dxa"/>
        <w:jc w:val="center"/>
        <w:tblLayout w:type="fixed"/>
        <w:tblCellMar>
          <w:top w:w="0" w:type="dxa"/>
          <w:left w:w="108" w:type="dxa"/>
          <w:bottom w:w="0" w:type="dxa"/>
          <w:right w:w="108" w:type="dxa"/>
        </w:tblCellMar>
      </w:tblPr>
      <w:tblGrid>
        <w:gridCol w:w="851"/>
        <w:gridCol w:w="1275"/>
        <w:gridCol w:w="1276"/>
        <w:gridCol w:w="991"/>
        <w:gridCol w:w="1418"/>
        <w:gridCol w:w="1134"/>
        <w:gridCol w:w="1417"/>
      </w:tblGrid>
      <w:tr>
        <w:tblPrEx>
          <w:tblCellMar>
            <w:top w:w="0" w:type="dxa"/>
            <w:left w:w="108" w:type="dxa"/>
            <w:bottom w:w="0" w:type="dxa"/>
            <w:right w:w="108" w:type="dxa"/>
          </w:tblCellMar>
        </w:tblPrEx>
        <w:trPr>
          <w:trHeight w:val="38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序号</w:t>
            </w:r>
          </w:p>
        </w:tc>
        <w:tc>
          <w:tcPr>
            <w:tcW w:w="127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材料名称</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规格型号</w:t>
            </w:r>
          </w:p>
        </w:tc>
        <w:tc>
          <w:tcPr>
            <w:tcW w:w="9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数量</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仿宋" w:eastAsia="仿宋" w:cs="仿宋"/>
                <w:kern w:val="0"/>
                <w:sz w:val="24"/>
              </w:rPr>
            </w:pPr>
            <w:r>
              <w:rPr>
                <w:rFonts w:hint="eastAsia" w:ascii="仿宋" w:hAnsi="仿宋" w:eastAsia="仿宋" w:cs="仿宋"/>
                <w:kern w:val="0"/>
                <w:sz w:val="24"/>
              </w:rPr>
              <w:t>综合单价</w:t>
            </w:r>
          </w:p>
          <w:p>
            <w:pPr>
              <w:widowControl/>
              <w:spacing w:line="240" w:lineRule="atLeast"/>
              <w:jc w:val="center"/>
              <w:rPr>
                <w:rFonts w:hint="eastAsia" w:ascii="仿宋" w:hAnsi="仿宋" w:eastAsia="仿宋" w:cs="仿宋"/>
                <w:kern w:val="0"/>
                <w:sz w:val="24"/>
              </w:rPr>
            </w:pPr>
            <w:r>
              <w:rPr>
                <w:rFonts w:ascii="仿宋" w:hAnsi="仿宋" w:eastAsia="仿宋" w:cs="仿宋"/>
                <w:kern w:val="0"/>
                <w:sz w:val="24"/>
              </w:rPr>
              <w:t>P</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合计</w:t>
            </w:r>
          </w:p>
        </w:tc>
        <w:tc>
          <w:tcPr>
            <w:tcW w:w="1417"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备注</w:t>
            </w:r>
          </w:p>
        </w:tc>
      </w:tr>
      <w:tr>
        <w:tblPrEx>
          <w:tblCellMar>
            <w:top w:w="0" w:type="dxa"/>
            <w:left w:w="108" w:type="dxa"/>
            <w:bottom w:w="0" w:type="dxa"/>
            <w:right w:w="108" w:type="dxa"/>
          </w:tblCellMar>
        </w:tblPrEx>
        <w:trPr>
          <w:trHeight w:val="389"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1</w:t>
            </w:r>
          </w:p>
        </w:tc>
        <w:tc>
          <w:tcPr>
            <w:tcW w:w="12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8"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134"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r>
      <w:tr>
        <w:tblPrEx>
          <w:tblCellMar>
            <w:top w:w="0" w:type="dxa"/>
            <w:left w:w="108" w:type="dxa"/>
            <w:bottom w:w="0" w:type="dxa"/>
            <w:right w:w="108" w:type="dxa"/>
          </w:tblCellMar>
        </w:tblPrEx>
        <w:trPr>
          <w:trHeight w:val="389"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2</w:t>
            </w:r>
          </w:p>
        </w:tc>
        <w:tc>
          <w:tcPr>
            <w:tcW w:w="12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8"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134"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r>
      <w:tr>
        <w:tblPrEx>
          <w:tblCellMar>
            <w:top w:w="0" w:type="dxa"/>
            <w:left w:w="108" w:type="dxa"/>
            <w:bottom w:w="0" w:type="dxa"/>
            <w:right w:w="108" w:type="dxa"/>
          </w:tblCellMar>
        </w:tblPrEx>
        <w:trPr>
          <w:trHeight w:val="389"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3</w:t>
            </w:r>
          </w:p>
        </w:tc>
        <w:tc>
          <w:tcPr>
            <w:tcW w:w="12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8"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134"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r>
      <w:tr>
        <w:tblPrEx>
          <w:tblCellMar>
            <w:top w:w="0" w:type="dxa"/>
            <w:left w:w="108" w:type="dxa"/>
            <w:bottom w:w="0" w:type="dxa"/>
            <w:right w:w="108" w:type="dxa"/>
          </w:tblCellMar>
        </w:tblPrEx>
        <w:trPr>
          <w:trHeight w:val="441"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4</w:t>
            </w:r>
          </w:p>
        </w:tc>
        <w:tc>
          <w:tcPr>
            <w:tcW w:w="12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8"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134"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r>
      <w:tr>
        <w:tblPrEx>
          <w:tblCellMar>
            <w:top w:w="0" w:type="dxa"/>
            <w:left w:w="108" w:type="dxa"/>
            <w:bottom w:w="0" w:type="dxa"/>
            <w:right w:w="108" w:type="dxa"/>
          </w:tblCellMar>
        </w:tblPrEx>
        <w:trPr>
          <w:trHeight w:val="441"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5</w:t>
            </w:r>
          </w:p>
        </w:tc>
        <w:tc>
          <w:tcPr>
            <w:tcW w:w="12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8"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134"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r>
      <w:tr>
        <w:tblPrEx>
          <w:tblCellMar>
            <w:top w:w="0" w:type="dxa"/>
            <w:left w:w="108" w:type="dxa"/>
            <w:bottom w:w="0" w:type="dxa"/>
            <w:right w:w="108" w:type="dxa"/>
          </w:tblCellMar>
        </w:tblPrEx>
        <w:trPr>
          <w:trHeight w:val="441"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6</w:t>
            </w:r>
          </w:p>
        </w:tc>
        <w:tc>
          <w:tcPr>
            <w:tcW w:w="12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22"/>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8"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134"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c>
          <w:tcPr>
            <w:tcW w:w="1417" w:type="dxa"/>
            <w:tcBorders>
              <w:top w:val="nil"/>
              <w:left w:val="nil"/>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p>
        </w:tc>
      </w:tr>
      <w:tr>
        <w:tblPrEx>
          <w:tblCellMar>
            <w:top w:w="0" w:type="dxa"/>
            <w:left w:w="108" w:type="dxa"/>
            <w:bottom w:w="0" w:type="dxa"/>
            <w:right w:w="108" w:type="dxa"/>
          </w:tblCellMar>
        </w:tblPrEx>
        <w:trPr>
          <w:trHeight w:val="441"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b/>
                <w:kern w:val="0"/>
                <w:sz w:val="24"/>
              </w:rPr>
            </w:pPr>
          </w:p>
        </w:tc>
        <w:tc>
          <w:tcPr>
            <w:tcW w:w="1275" w:type="dxa"/>
            <w:tcBorders>
              <w:top w:val="nil"/>
              <w:left w:val="nil"/>
              <w:bottom w:val="single" w:color="auto" w:sz="4" w:space="0"/>
              <w:right w:val="single" w:color="auto" w:sz="4" w:space="0"/>
            </w:tcBorders>
            <w:vAlign w:val="center"/>
          </w:tcPr>
          <w:p>
            <w:pPr>
              <w:widowControl/>
              <w:spacing w:line="240" w:lineRule="atLeast"/>
              <w:jc w:val="left"/>
              <w:rPr>
                <w:rFonts w:hint="eastAsia" w:ascii="仿宋" w:hAnsi="仿宋" w:eastAsia="仿宋" w:cs="仿宋"/>
                <w:b/>
                <w:kern w:val="0"/>
                <w:sz w:val="24"/>
              </w:rPr>
            </w:pPr>
            <w:r>
              <w:rPr>
                <w:rFonts w:hint="eastAsia" w:ascii="仿宋" w:hAnsi="仿宋" w:eastAsia="仿宋" w:cs="仿宋"/>
                <w:b/>
                <w:kern w:val="0"/>
                <w:sz w:val="24"/>
              </w:rPr>
              <w:t>总计</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仿宋" w:hAnsi="仿宋" w:eastAsia="仿宋" w:cs="仿宋"/>
                <w:b/>
                <w:kern w:val="0"/>
                <w:sz w:val="24"/>
              </w:rPr>
            </w:pPr>
          </w:p>
        </w:tc>
        <w:tc>
          <w:tcPr>
            <w:tcW w:w="9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sz w:val="22"/>
              </w:rPr>
            </w:pPr>
          </w:p>
        </w:tc>
        <w:tc>
          <w:tcPr>
            <w:tcW w:w="1418"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b/>
                <w:sz w:val="24"/>
              </w:rPr>
            </w:pPr>
          </w:p>
        </w:tc>
        <w:tc>
          <w:tcPr>
            <w:tcW w:w="1134" w:type="dxa"/>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b/>
                <w:sz w:val="24"/>
              </w:rPr>
            </w:pPr>
          </w:p>
        </w:tc>
        <w:tc>
          <w:tcPr>
            <w:tcW w:w="1417" w:type="dxa"/>
            <w:tcBorders>
              <w:top w:val="nil"/>
              <w:left w:val="nil"/>
              <w:bottom w:val="single" w:color="auto" w:sz="4" w:space="0"/>
              <w:right w:val="single" w:color="auto" w:sz="4" w:space="0"/>
            </w:tcBorders>
            <w:vAlign w:val="center"/>
          </w:tcPr>
          <w:p>
            <w:pPr>
              <w:spacing w:line="240" w:lineRule="atLeast"/>
              <w:ind w:left="-105" w:leftChars="-50" w:right="-105" w:rightChars="-50"/>
              <w:jc w:val="center"/>
              <w:rPr>
                <w:rFonts w:hint="eastAsia" w:ascii="仿宋" w:hAnsi="仿宋" w:eastAsia="仿宋" w:cs="仿宋"/>
                <w:b/>
                <w:sz w:val="24"/>
              </w:rPr>
            </w:pPr>
            <w:r>
              <w:rPr>
                <w:rFonts w:hint="eastAsia" w:ascii="仿宋" w:hAnsi="仿宋" w:eastAsia="仿宋" w:cs="仿宋"/>
                <w:b/>
                <w:sz w:val="24"/>
              </w:rPr>
              <w:t>金额填入报价函中</w:t>
            </w:r>
          </w:p>
        </w:tc>
      </w:tr>
      <w:tr>
        <w:tblPrEx>
          <w:tblCellMar>
            <w:top w:w="0" w:type="dxa"/>
            <w:left w:w="108" w:type="dxa"/>
            <w:bottom w:w="0" w:type="dxa"/>
            <w:right w:w="108" w:type="dxa"/>
          </w:tblCellMar>
        </w:tblPrEx>
        <w:trPr>
          <w:trHeight w:val="441"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b/>
                <w:kern w:val="0"/>
                <w:sz w:val="24"/>
              </w:rPr>
            </w:pPr>
          </w:p>
        </w:tc>
        <w:tc>
          <w:tcPr>
            <w:tcW w:w="1275" w:type="dxa"/>
            <w:tcBorders>
              <w:top w:val="nil"/>
              <w:left w:val="nil"/>
              <w:bottom w:val="single" w:color="auto" w:sz="4" w:space="0"/>
              <w:right w:val="single" w:color="auto" w:sz="4" w:space="0"/>
            </w:tcBorders>
            <w:vAlign w:val="center"/>
          </w:tcPr>
          <w:p>
            <w:pPr>
              <w:widowControl/>
              <w:spacing w:line="240" w:lineRule="atLeast"/>
              <w:jc w:val="left"/>
              <w:rPr>
                <w:rFonts w:hint="eastAsia" w:ascii="仿宋" w:hAnsi="仿宋" w:eastAsia="仿宋" w:cs="仿宋"/>
                <w:b/>
                <w:kern w:val="0"/>
                <w:sz w:val="24"/>
              </w:rPr>
            </w:pPr>
            <w:r>
              <w:rPr>
                <w:rFonts w:hint="eastAsia" w:ascii="仿宋" w:hAnsi="仿宋" w:eastAsia="仿宋" w:cs="仿宋"/>
                <w:b/>
                <w:kern w:val="0"/>
                <w:sz w:val="24"/>
              </w:rPr>
              <w:t>税率</w:t>
            </w:r>
          </w:p>
        </w:tc>
        <w:tc>
          <w:tcPr>
            <w:tcW w:w="127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p>
        </w:tc>
        <w:tc>
          <w:tcPr>
            <w:tcW w:w="9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p>
        </w:tc>
        <w:tc>
          <w:tcPr>
            <w:tcW w:w="2552" w:type="dxa"/>
            <w:gridSpan w:val="2"/>
            <w:tcBorders>
              <w:top w:val="nil"/>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sz w:val="24"/>
              </w:rPr>
            </w:pPr>
            <w:r>
              <w:rPr>
                <w:rFonts w:ascii="仿宋" w:hAnsi="仿宋" w:eastAsia="仿宋" w:cs="仿宋"/>
                <w:sz w:val="24"/>
              </w:rPr>
              <w:t>**</w:t>
            </w:r>
            <w:r>
              <w:rPr>
                <w:rFonts w:hint="eastAsia" w:ascii="仿宋" w:hAnsi="仿宋" w:eastAsia="仿宋" w:cs="仿宋"/>
                <w:sz w:val="24"/>
              </w:rPr>
              <w:t>%</w:t>
            </w:r>
          </w:p>
        </w:tc>
        <w:tc>
          <w:tcPr>
            <w:tcW w:w="1417" w:type="dxa"/>
            <w:tcBorders>
              <w:top w:val="nil"/>
              <w:left w:val="nil"/>
              <w:bottom w:val="single" w:color="auto" w:sz="4" w:space="0"/>
              <w:right w:val="single" w:color="auto" w:sz="4" w:space="0"/>
            </w:tcBorders>
            <w:vAlign w:val="center"/>
          </w:tcPr>
          <w:p>
            <w:pPr>
              <w:rPr>
                <w:rFonts w:hint="eastAsia" w:ascii="仿宋" w:hAnsi="仿宋" w:eastAsia="仿宋" w:cs="仿宋"/>
                <w:sz w:val="24"/>
              </w:rPr>
            </w:pPr>
          </w:p>
        </w:tc>
      </w:tr>
    </w:tbl>
    <w:p>
      <w:pPr>
        <w:spacing w:line="440" w:lineRule="exact"/>
        <w:jc w:val="left"/>
        <w:rPr>
          <w:rFonts w:hint="eastAsia" w:ascii="仿宋" w:hAnsi="仿宋" w:eastAsia="仿宋" w:cs="仿宋"/>
          <w:b/>
          <w:bCs/>
        </w:rPr>
      </w:pPr>
      <w:r>
        <w:rPr>
          <w:rFonts w:hint="eastAsia" w:ascii="仿宋" w:hAnsi="仿宋" w:eastAsia="仿宋" w:cs="仿宋"/>
          <w:b/>
          <w:bCs/>
        </w:rPr>
        <w:t>注：1、到站含税总计=不含税金额总计+不含税金额总计×增值税率；</w:t>
      </w:r>
    </w:p>
    <w:p>
      <w:pPr>
        <w:spacing w:line="440" w:lineRule="exact"/>
        <w:jc w:val="left"/>
        <w:rPr>
          <w:rFonts w:hint="eastAsia" w:ascii="仿宋" w:hAnsi="仿宋" w:eastAsia="仿宋" w:cs="仿宋"/>
        </w:rPr>
      </w:pPr>
      <w:r>
        <w:rPr>
          <w:rFonts w:hint="eastAsia" w:ascii="仿宋" w:hAnsi="仿宋" w:eastAsia="仿宋" w:cs="仿宋"/>
          <w:b/>
          <w:bCs/>
        </w:rPr>
        <w:t xml:space="preserve">    2、税款总计=不含税金额总计×增值税率。</w:t>
      </w:r>
    </w:p>
    <w:p>
      <w:pPr>
        <w:topLinePunct/>
        <w:ind w:firstLine="480" w:firstLineChars="200"/>
        <w:rPr>
          <w:rFonts w:ascii="仿宋" w:hAnsi="仿宋" w:eastAsia="仿宋"/>
          <w:sz w:val="24"/>
        </w:rPr>
      </w:pPr>
    </w:p>
    <w:p>
      <w:pPr>
        <w:spacing w:line="440" w:lineRule="exact"/>
        <w:ind w:firstLine="3675" w:firstLineChars="1750"/>
      </w:pPr>
    </w:p>
    <w:p>
      <w:pPr>
        <w:spacing w:line="440" w:lineRule="exact"/>
        <w:ind w:firstLine="3675" w:firstLineChars="1750"/>
      </w:pPr>
    </w:p>
    <w:p>
      <w:pPr>
        <w:spacing w:line="360" w:lineRule="auto"/>
        <w:ind w:firstLine="3120" w:firstLineChars="1300"/>
        <w:rPr>
          <w:rFonts w:ascii="仿宋_GB2312" w:eastAsia="仿宋_GB2312"/>
          <w:sz w:val="24"/>
        </w:rPr>
      </w:pPr>
      <w:r>
        <w:rPr>
          <w:rFonts w:hint="eastAsia" w:ascii="仿宋_GB2312" w:eastAsia="仿宋_GB2312"/>
          <w:sz w:val="24"/>
        </w:rPr>
        <w:t>投 标 人：</w:t>
      </w:r>
      <w:r>
        <w:rPr>
          <w:rFonts w:hint="eastAsia" w:ascii="仿宋_GB2312" w:eastAsia="仿宋_GB2312"/>
          <w:sz w:val="24"/>
          <w:u w:val="single"/>
        </w:rPr>
        <w:t xml:space="preserve">                   </w:t>
      </w:r>
      <w:r>
        <w:rPr>
          <w:rFonts w:hint="eastAsia" w:ascii="仿宋_GB2312" w:eastAsia="仿宋_GB2312"/>
          <w:sz w:val="24"/>
        </w:rPr>
        <w:t>（盖单位章）</w:t>
      </w:r>
    </w:p>
    <w:p>
      <w:pPr>
        <w:spacing w:line="360" w:lineRule="auto"/>
        <w:ind w:firstLine="3120" w:firstLineChars="1300"/>
        <w:rPr>
          <w:rFonts w:ascii="仿宋_GB2312" w:eastAsia="仿宋_GB2312"/>
          <w:sz w:val="24"/>
        </w:rPr>
      </w:pPr>
      <w:r>
        <w:rPr>
          <w:rFonts w:hint="eastAsia" w:ascii="仿宋_GB2312" w:eastAsia="仿宋_GB2312"/>
          <w:sz w:val="24"/>
        </w:rPr>
        <w:t>法定代表人或其委托代理人：</w:t>
      </w:r>
      <w:r>
        <w:rPr>
          <w:rFonts w:hint="eastAsia" w:ascii="仿宋_GB2312" w:eastAsia="仿宋_GB2312"/>
          <w:sz w:val="24"/>
          <w:u w:val="single"/>
        </w:rPr>
        <w:t xml:space="preserve">       </w:t>
      </w:r>
      <w:r>
        <w:rPr>
          <w:rFonts w:hint="eastAsia" w:ascii="仿宋_GB2312" w:eastAsia="仿宋_GB2312"/>
          <w:sz w:val="24"/>
        </w:rPr>
        <w:t>（签字）</w:t>
      </w:r>
    </w:p>
    <w:p>
      <w:pPr>
        <w:widowControl/>
        <w:autoSpaceDE w:val="0"/>
        <w:autoSpaceDN w:val="0"/>
        <w:adjustRightInd w:val="0"/>
        <w:snapToGrid w:val="0"/>
        <w:spacing w:before="156" w:beforeLines="50" w:after="249" w:afterLines="80" w:line="240" w:lineRule="atLeast"/>
        <w:ind w:left="315" w:leftChars="150" w:firstLine="3120" w:firstLineChars="1300"/>
        <w:jc w:val="left"/>
        <w:rPr>
          <w:rFonts w:ascii="仿宋" w:hAnsi="仿宋" w:eastAsia="仿宋"/>
          <w:b/>
          <w:kern w:val="0"/>
          <w:sz w:val="24"/>
          <w:szCs w:val="24"/>
        </w:rPr>
      </w:pP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autoSpaceDE w:val="0"/>
        <w:autoSpaceDN w:val="0"/>
        <w:adjustRightInd w:val="0"/>
        <w:snapToGrid w:val="0"/>
        <w:spacing w:before="156" w:beforeLines="50" w:after="249" w:afterLines="80" w:line="240" w:lineRule="atLeast"/>
        <w:ind w:left="393" w:hanging="393" w:hangingChars="163"/>
        <w:rPr>
          <w:rFonts w:ascii="仿宋" w:hAnsi="仿宋" w:eastAsia="仿宋"/>
          <w:b/>
          <w:kern w:val="0"/>
          <w:sz w:val="24"/>
          <w:szCs w:val="24"/>
        </w:rPr>
      </w:pPr>
    </w:p>
    <w:p>
      <w:pPr>
        <w:autoSpaceDE w:val="0"/>
        <w:autoSpaceDN w:val="0"/>
        <w:adjustRightInd w:val="0"/>
        <w:snapToGrid w:val="0"/>
        <w:spacing w:before="156" w:beforeLines="50" w:after="249" w:afterLines="80" w:line="240" w:lineRule="atLeast"/>
        <w:ind w:left="393" w:hanging="393" w:hangingChars="163"/>
        <w:rPr>
          <w:rFonts w:hint="eastAsia" w:ascii="仿宋_GB2312" w:hAnsi="宋体" w:eastAsia="仿宋_GB2312"/>
          <w:b/>
          <w:kern w:val="0"/>
          <w:sz w:val="24"/>
        </w:rPr>
      </w:pPr>
      <w:r>
        <w:rPr>
          <w:rFonts w:ascii="仿宋" w:hAnsi="仿宋" w:eastAsia="仿宋"/>
          <w:b/>
          <w:kern w:val="0"/>
          <w:sz w:val="24"/>
          <w:szCs w:val="24"/>
        </w:rPr>
        <w:br w:type="page"/>
      </w:r>
      <w:bookmarkEnd w:id="308"/>
      <w:r>
        <w:rPr>
          <w:rFonts w:hint="eastAsia" w:ascii="仿宋_GB2312" w:hAnsi="宋体" w:eastAsia="仿宋_GB2312"/>
          <w:b/>
          <w:kern w:val="0"/>
          <w:sz w:val="24"/>
        </w:rPr>
        <w:t xml:space="preserve">2、单价计算表       </w:t>
      </w:r>
      <w:r>
        <w:rPr>
          <w:rFonts w:hint="eastAsia" w:ascii="仿宋_GB2312" w:hAnsi="宋体" w:eastAsia="仿宋_GB2312"/>
          <w:kern w:val="0"/>
          <w:sz w:val="24"/>
        </w:rPr>
        <w:t>单位：</w:t>
      </w:r>
      <w:r>
        <w:rPr>
          <w:rFonts w:hint="eastAsia" w:ascii="仿宋_GB2312" w:hAnsi="宋体" w:eastAsia="仿宋_GB2312"/>
          <w:kern w:val="0"/>
          <w:sz w:val="24"/>
          <w:u w:val="single"/>
        </w:rPr>
        <w:t xml:space="preserve"> </w:t>
      </w:r>
    </w:p>
    <w:tbl>
      <w:tblPr>
        <w:tblStyle w:val="21"/>
        <w:tblW w:w="9061" w:type="dxa"/>
        <w:jc w:val="center"/>
        <w:tblLayout w:type="fixed"/>
        <w:tblCellMar>
          <w:top w:w="0" w:type="dxa"/>
          <w:left w:w="108" w:type="dxa"/>
          <w:bottom w:w="0" w:type="dxa"/>
          <w:right w:w="108" w:type="dxa"/>
        </w:tblCellMar>
      </w:tblPr>
      <w:tblGrid>
        <w:gridCol w:w="570"/>
        <w:gridCol w:w="992"/>
        <w:gridCol w:w="1417"/>
        <w:gridCol w:w="709"/>
        <w:gridCol w:w="1837"/>
        <w:gridCol w:w="1275"/>
        <w:gridCol w:w="1418"/>
        <w:gridCol w:w="843"/>
      </w:tblGrid>
      <w:tr>
        <w:tblPrEx>
          <w:tblCellMar>
            <w:top w:w="0" w:type="dxa"/>
            <w:left w:w="108" w:type="dxa"/>
            <w:bottom w:w="0" w:type="dxa"/>
            <w:right w:w="108" w:type="dxa"/>
          </w:tblCellMar>
        </w:tblPrEx>
        <w:trPr>
          <w:trHeight w:val="454"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hint="eastAsia" w:ascii="仿宋" w:hAnsi="仿宋" w:eastAsia="仿宋" w:cs="仿宋"/>
                <w:kern w:val="0"/>
                <w:sz w:val="24"/>
              </w:rPr>
            </w:pPr>
            <w:r>
              <w:rPr>
                <w:rFonts w:hint="eastAsia" w:ascii="仿宋" w:hAnsi="仿宋" w:eastAsia="仿宋" w:cs="仿宋"/>
                <w:kern w:val="0"/>
                <w:sz w:val="24"/>
              </w:rPr>
              <w:t>序号</w:t>
            </w:r>
          </w:p>
        </w:tc>
        <w:tc>
          <w:tcPr>
            <w:tcW w:w="992"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hint="eastAsia" w:ascii="仿宋" w:hAnsi="仿宋" w:eastAsia="仿宋" w:cs="仿宋"/>
                <w:kern w:val="0"/>
                <w:sz w:val="24"/>
              </w:rPr>
            </w:pPr>
            <w:r>
              <w:rPr>
                <w:rFonts w:hint="eastAsia" w:ascii="仿宋" w:hAnsi="仿宋" w:eastAsia="仿宋" w:cs="仿宋"/>
                <w:kern w:val="0"/>
                <w:sz w:val="24"/>
              </w:rPr>
              <w:t>材料名称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hint="eastAsia" w:ascii="仿宋" w:hAnsi="仿宋" w:eastAsia="仿宋" w:cs="仿宋"/>
                <w:kern w:val="0"/>
                <w:sz w:val="24"/>
              </w:rPr>
            </w:pPr>
            <w:r>
              <w:rPr>
                <w:rFonts w:hint="eastAsia" w:ascii="仿宋" w:hAnsi="仿宋" w:eastAsia="仿宋" w:cs="仿宋"/>
                <w:kern w:val="0"/>
                <w:sz w:val="24"/>
              </w:rPr>
              <w:t>规格型号</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105" w:leftChars="-50" w:right="-105" w:rightChars="-50"/>
              <w:jc w:val="center"/>
              <w:rPr>
                <w:rFonts w:hint="eastAsia" w:ascii="仿宋" w:hAnsi="仿宋" w:eastAsia="仿宋" w:cs="仿宋"/>
                <w:kern w:val="0"/>
                <w:sz w:val="24"/>
              </w:rPr>
            </w:pPr>
            <w:r>
              <w:rPr>
                <w:rFonts w:hint="eastAsia" w:ascii="仿宋" w:hAnsi="仿宋" w:eastAsia="仿宋" w:cs="仿宋"/>
                <w:kern w:val="0"/>
                <w:sz w:val="24"/>
              </w:rPr>
              <w:t>数量</w:t>
            </w:r>
          </w:p>
        </w:tc>
        <w:tc>
          <w:tcPr>
            <w:tcW w:w="183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kern w:val="0"/>
                <w:sz w:val="24"/>
              </w:rPr>
            </w:pPr>
            <w:r>
              <w:rPr>
                <w:rFonts w:hint="eastAsia" w:ascii="仿宋" w:hAnsi="仿宋" w:eastAsia="仿宋" w:cs="仿宋"/>
                <w:kern w:val="0"/>
                <w:sz w:val="24"/>
              </w:rPr>
              <w:t>信息价</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华文中宋" w:eastAsia="仿宋_GB2312"/>
                <w:kern w:val="0"/>
                <w:szCs w:val="21"/>
              </w:rPr>
            </w:pPr>
            <w:r>
              <w:rPr>
                <w:rFonts w:hint="eastAsia" w:ascii="仿宋_GB2312" w:hAnsi="华文中宋" w:eastAsia="仿宋_GB2312"/>
                <w:kern w:val="0"/>
                <w:szCs w:val="21"/>
              </w:rPr>
              <w:t>固定费用</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kern w:val="0"/>
                <w:szCs w:val="21"/>
              </w:rPr>
            </w:pPr>
            <w:r>
              <w:rPr>
                <w:rFonts w:hint="eastAsia" w:ascii="仿宋_GB2312" w:hAnsi="仿宋" w:eastAsia="仿宋_GB2312" w:cs="宋体"/>
                <w:kern w:val="0"/>
                <w:szCs w:val="21"/>
              </w:rPr>
              <w:t>综合单价</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Cs w:val="21"/>
              </w:rPr>
            </w:pPr>
            <w:r>
              <w:rPr>
                <w:rFonts w:hint="eastAsia" w:ascii="仿宋_GB2312" w:hAnsi="仿宋" w:eastAsia="仿宋_GB2312" w:cs="宋体"/>
                <w:kern w:val="0"/>
                <w:szCs w:val="21"/>
              </w:rPr>
              <w:t>备注</w:t>
            </w:r>
          </w:p>
        </w:tc>
      </w:tr>
      <w:tr>
        <w:tblPrEx>
          <w:tblCellMar>
            <w:top w:w="0" w:type="dxa"/>
            <w:left w:w="108" w:type="dxa"/>
            <w:bottom w:w="0" w:type="dxa"/>
            <w:right w:w="108" w:type="dxa"/>
          </w:tblCellMar>
        </w:tblPrEx>
        <w:trPr>
          <w:trHeight w:val="454"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hint="eastAsia" w:ascii="仿宋" w:hAnsi="仿宋" w:eastAsia="仿宋" w:cs="仿宋"/>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hint="eastAsia" w:ascii="仿宋" w:hAnsi="仿宋" w:eastAsia="仿宋" w:cs="仿宋"/>
                <w:kern w:val="0"/>
                <w:sz w:val="24"/>
              </w:rPr>
            </w:pPr>
          </w:p>
        </w:tc>
        <w:tc>
          <w:tcPr>
            <w:tcW w:w="1837" w:type="dxa"/>
            <w:tcBorders>
              <w:top w:val="single" w:color="auto" w:sz="4" w:space="0"/>
              <w:left w:val="single" w:color="auto" w:sz="4" w:space="0"/>
              <w:bottom w:val="single" w:color="auto" w:sz="4" w:space="0"/>
              <w:right w:val="single" w:color="auto" w:sz="4" w:space="0"/>
            </w:tcBorders>
            <w:vAlign w:val="top"/>
          </w:tcPr>
          <w:p>
            <w:pPr>
              <w:widowControl/>
              <w:ind w:right="-105" w:rightChars="-50"/>
              <w:jc w:val="center"/>
              <w:rPr>
                <w:rFonts w:hint="eastAsia" w:ascii="仿宋" w:hAnsi="仿宋" w:eastAsia="仿宋" w:cs="仿宋"/>
                <w:kern w:val="0"/>
                <w:sz w:val="24"/>
              </w:rPr>
            </w:pPr>
            <w:r>
              <w:rPr>
                <w:rFonts w:ascii="仿宋" w:hAnsi="仿宋" w:eastAsia="仿宋" w:cs="仿宋"/>
                <w:sz w:val="28"/>
                <w:szCs w:val="28"/>
              </w:rPr>
              <w:t>D</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ind w:right="-105" w:rightChars="-50"/>
              <w:jc w:val="center"/>
              <w:rPr>
                <w:rFonts w:hint="eastAsia" w:ascii="仿宋" w:hAnsi="仿宋" w:eastAsia="仿宋" w:cs="仿宋"/>
                <w:kern w:val="0"/>
                <w:sz w:val="24"/>
              </w:rPr>
            </w:pPr>
            <w:r>
              <w:rPr>
                <w:rFonts w:ascii="仿宋" w:hAnsi="仿宋" w:eastAsia="仿宋" w:cs="仿宋"/>
                <w:kern w:val="0"/>
                <w:sz w:val="24"/>
              </w:rPr>
              <w:t>E</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r>
              <w:rPr>
                <w:rFonts w:ascii="仿宋" w:hAnsi="仿宋" w:eastAsia="仿宋" w:cs="仿宋"/>
                <w:kern w:val="0"/>
                <w:sz w:val="24"/>
              </w:rPr>
              <w:t>P=D+E</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r>
      <w:tr>
        <w:tblPrEx>
          <w:tblCellMar>
            <w:top w:w="0" w:type="dxa"/>
            <w:left w:w="108" w:type="dxa"/>
            <w:bottom w:w="0" w:type="dxa"/>
            <w:right w:w="108" w:type="dxa"/>
          </w:tblCellMar>
        </w:tblPrEx>
        <w:trPr>
          <w:trHeight w:val="395"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210" w:leftChars="-100" w:right="-210" w:rightChars="-100"/>
              <w:jc w:val="center"/>
              <w:rPr>
                <w:rFonts w:hint="eastAsia" w:ascii="仿宋" w:hAnsi="仿宋" w:eastAsia="仿宋" w:cs="仿宋"/>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837" w:type="dxa"/>
            <w:tcBorders>
              <w:top w:val="single" w:color="auto" w:sz="4" w:space="0"/>
              <w:left w:val="single" w:color="auto" w:sz="4" w:space="0"/>
              <w:bottom w:val="single" w:color="auto" w:sz="4" w:space="0"/>
              <w:right w:val="single" w:color="auto" w:sz="4" w:space="0"/>
            </w:tcBorders>
            <w:vAlign w:val="top"/>
          </w:tcPr>
          <w:p>
            <w:pPr>
              <w:widowControl/>
              <w:spacing w:line="240" w:lineRule="atLeast"/>
              <w:jc w:val="center"/>
              <w:rPr>
                <w:rFonts w:hint="eastAsia" w:ascii="仿宋" w:hAnsi="仿宋" w:eastAsia="仿宋" w:cs="仿宋"/>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sz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kern w:val="0"/>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r>
      <w:tr>
        <w:tblPrEx>
          <w:tblCellMar>
            <w:top w:w="0" w:type="dxa"/>
            <w:left w:w="108" w:type="dxa"/>
            <w:bottom w:w="0" w:type="dxa"/>
            <w:right w:w="108" w:type="dxa"/>
          </w:tblCellMar>
        </w:tblPrEx>
        <w:trPr>
          <w:trHeight w:val="40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837" w:type="dxa"/>
            <w:tcBorders>
              <w:top w:val="single" w:color="auto" w:sz="4" w:space="0"/>
              <w:left w:val="single" w:color="auto" w:sz="4" w:space="0"/>
              <w:bottom w:val="single" w:color="auto" w:sz="4" w:space="0"/>
              <w:right w:val="single" w:color="auto" w:sz="4" w:space="0"/>
            </w:tcBorders>
            <w:vAlign w:val="top"/>
          </w:tcPr>
          <w:p>
            <w:pPr>
              <w:widowControl/>
              <w:spacing w:line="240" w:lineRule="atLeast"/>
              <w:jc w:val="center"/>
              <w:rPr>
                <w:rFonts w:hint="eastAsia" w:ascii="仿宋" w:hAnsi="仿宋" w:eastAsia="仿宋" w:cs="仿宋"/>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sz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r>
      <w:tr>
        <w:tblPrEx>
          <w:tblCellMar>
            <w:top w:w="0" w:type="dxa"/>
            <w:left w:w="108" w:type="dxa"/>
            <w:bottom w:w="0" w:type="dxa"/>
            <w:right w:w="108" w:type="dxa"/>
          </w:tblCellMar>
        </w:tblPrEx>
        <w:trPr>
          <w:trHeight w:val="454"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837" w:type="dxa"/>
            <w:tcBorders>
              <w:top w:val="single" w:color="auto" w:sz="4" w:space="0"/>
              <w:left w:val="single" w:color="auto" w:sz="4" w:space="0"/>
              <w:bottom w:val="single" w:color="auto" w:sz="4" w:space="0"/>
              <w:right w:val="single" w:color="auto" w:sz="4" w:space="0"/>
            </w:tcBorders>
            <w:vAlign w:val="top"/>
          </w:tcPr>
          <w:p>
            <w:pPr>
              <w:widowControl/>
              <w:spacing w:line="240" w:lineRule="atLeast"/>
              <w:jc w:val="center"/>
              <w:rPr>
                <w:rFonts w:hint="eastAsia" w:ascii="仿宋" w:hAnsi="仿宋" w:eastAsia="仿宋" w:cs="仿宋"/>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sz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r>
      <w:tr>
        <w:tblPrEx>
          <w:tblCellMar>
            <w:top w:w="0" w:type="dxa"/>
            <w:left w:w="108" w:type="dxa"/>
            <w:bottom w:w="0" w:type="dxa"/>
            <w:right w:w="108" w:type="dxa"/>
          </w:tblCellMar>
        </w:tblPrEx>
        <w:trPr>
          <w:trHeight w:val="454"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837" w:type="dxa"/>
            <w:tcBorders>
              <w:top w:val="single" w:color="auto" w:sz="4" w:space="0"/>
              <w:left w:val="single" w:color="auto" w:sz="4" w:space="0"/>
              <w:bottom w:val="single" w:color="auto" w:sz="4" w:space="0"/>
              <w:right w:val="single" w:color="auto" w:sz="4" w:space="0"/>
            </w:tcBorders>
            <w:vAlign w:val="top"/>
          </w:tcPr>
          <w:p>
            <w:pPr>
              <w:widowControl/>
              <w:spacing w:line="240" w:lineRule="atLeast"/>
              <w:jc w:val="center"/>
              <w:rPr>
                <w:rFonts w:hint="eastAsia" w:ascii="仿宋" w:hAnsi="仿宋" w:eastAsia="仿宋" w:cs="仿宋"/>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sz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r>
      <w:tr>
        <w:tblPrEx>
          <w:tblCellMar>
            <w:top w:w="0" w:type="dxa"/>
            <w:left w:w="108" w:type="dxa"/>
            <w:bottom w:w="0" w:type="dxa"/>
            <w:right w:w="108" w:type="dxa"/>
          </w:tblCellMar>
        </w:tblPrEx>
        <w:trPr>
          <w:trHeight w:val="454"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837" w:type="dxa"/>
            <w:tcBorders>
              <w:top w:val="single" w:color="auto" w:sz="4" w:space="0"/>
              <w:left w:val="single" w:color="auto" w:sz="4" w:space="0"/>
              <w:bottom w:val="single" w:color="auto" w:sz="4" w:space="0"/>
              <w:right w:val="single" w:color="auto" w:sz="4" w:space="0"/>
            </w:tcBorders>
            <w:vAlign w:val="top"/>
          </w:tcPr>
          <w:p>
            <w:pPr>
              <w:widowControl/>
              <w:spacing w:line="240" w:lineRule="atLeast"/>
              <w:jc w:val="center"/>
              <w:rPr>
                <w:rFonts w:hint="eastAsia" w:ascii="仿宋" w:hAnsi="仿宋" w:eastAsia="仿宋" w:cs="仿宋"/>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仿宋" w:hAnsi="仿宋" w:eastAsia="仿宋" w:cs="仿宋"/>
                <w:sz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r>
      <w:tr>
        <w:tblPrEx>
          <w:tblCellMar>
            <w:top w:w="0" w:type="dxa"/>
            <w:left w:w="108" w:type="dxa"/>
            <w:bottom w:w="0" w:type="dxa"/>
            <w:right w:w="108" w:type="dxa"/>
          </w:tblCellMar>
        </w:tblPrEx>
        <w:trPr>
          <w:trHeight w:val="454"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2"/>
              </w:rPr>
            </w:pPr>
          </w:p>
        </w:tc>
        <w:tc>
          <w:tcPr>
            <w:tcW w:w="1837" w:type="dxa"/>
            <w:tcBorders>
              <w:top w:val="single" w:color="auto" w:sz="4" w:space="0"/>
              <w:left w:val="single" w:color="auto" w:sz="4" w:space="0"/>
              <w:bottom w:val="single" w:color="auto" w:sz="4" w:space="0"/>
              <w:right w:val="single" w:color="auto" w:sz="4" w:space="0"/>
            </w:tcBorders>
            <w:vAlign w:val="top"/>
          </w:tcPr>
          <w:p>
            <w:pPr>
              <w:widowControl/>
              <w:ind w:left="-105" w:leftChars="-50" w:right="-105" w:rightChars="-50"/>
              <w:jc w:val="center"/>
              <w:rPr>
                <w:rFonts w:hint="eastAsia" w:ascii="仿宋" w:hAnsi="仿宋" w:eastAsia="仿宋" w:cs="仿宋"/>
                <w:sz w:val="22"/>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ind w:left="-105" w:leftChars="-50" w:right="-105" w:rightChars="-50"/>
              <w:jc w:val="center"/>
              <w:rPr>
                <w:rFonts w:hint="eastAsia" w:ascii="仿宋" w:hAnsi="仿宋" w:eastAsia="仿宋" w:cs="仿宋"/>
                <w:sz w:val="22"/>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 w:val="24"/>
              </w:rPr>
            </w:pPr>
          </w:p>
        </w:tc>
      </w:tr>
    </w:tbl>
    <w:p>
      <w:pPr>
        <w:widowControl/>
        <w:jc w:val="left"/>
        <w:rPr>
          <w:rFonts w:ascii="仿宋" w:hAnsi="仿宋" w:eastAsia="仿宋" w:cs="宋体"/>
          <w:b/>
          <w:sz w:val="24"/>
        </w:rPr>
      </w:pPr>
      <w:r>
        <w:rPr>
          <w:rFonts w:ascii="仿宋" w:hAnsi="仿宋" w:eastAsia="仿宋" w:cs="宋体"/>
          <w:b/>
          <w:kern w:val="0"/>
          <w:sz w:val="22"/>
        </w:rPr>
        <w:t>说明：</w:t>
      </w:r>
      <w:r>
        <w:rPr>
          <w:rFonts w:hint="eastAsia" w:ascii="仿宋" w:hAnsi="仿宋" w:eastAsia="仿宋" w:cs="宋体"/>
          <w:b/>
          <w:kern w:val="0"/>
          <w:sz w:val="22"/>
        </w:rPr>
        <w:t>1、</w:t>
      </w:r>
      <w:r>
        <w:rPr>
          <w:rFonts w:hint="eastAsia" w:ascii="仿宋" w:hAnsi="仿宋" w:eastAsia="仿宋" w:cs="宋体"/>
          <w:b/>
          <w:sz w:val="24"/>
        </w:rPr>
        <w:t>固定费用在合同执行过程中必须保持固定不变，采购人不考虑任何调整因素。</w:t>
      </w:r>
    </w:p>
    <w:p>
      <w:pPr>
        <w:widowControl/>
        <w:jc w:val="left"/>
        <w:rPr>
          <w:rFonts w:ascii="仿宋" w:hAnsi="仿宋" w:eastAsia="仿宋" w:cs="宋体"/>
          <w:b/>
          <w:sz w:val="24"/>
        </w:rPr>
      </w:pPr>
      <w:r>
        <w:rPr>
          <w:rFonts w:hint="eastAsia" w:ascii="仿宋" w:hAnsi="仿宋" w:eastAsia="仿宋" w:cs="宋体"/>
          <w:b/>
          <w:sz w:val="24"/>
        </w:rPr>
        <w:t xml:space="preserve">     2、固定费用为响应人根据信息价基础上浮动的金额，下浮为负数，上浮为正数。</w:t>
      </w:r>
    </w:p>
    <w:p>
      <w:pPr>
        <w:spacing w:line="360" w:lineRule="auto"/>
        <w:ind w:firstLine="880" w:firstLineChars="367"/>
        <w:rPr>
          <w:rFonts w:hint="eastAsia" w:ascii="仿宋" w:hAnsi="仿宋" w:eastAsia="仿宋" w:cs="仿宋"/>
          <w:sz w:val="24"/>
        </w:rPr>
      </w:pPr>
    </w:p>
    <w:p>
      <w:pPr>
        <w:spacing w:line="360" w:lineRule="auto"/>
        <w:ind w:firstLine="520" w:firstLineChars="217"/>
        <w:rPr>
          <w:rFonts w:hint="eastAsia" w:ascii="仿宋" w:hAnsi="仿宋" w:eastAsia="仿宋" w:cs="仿宋"/>
          <w:sz w:val="24"/>
        </w:rPr>
      </w:pPr>
      <w:r>
        <w:rPr>
          <w:rFonts w:hint="eastAsia" w:ascii="仿宋" w:hAnsi="仿宋" w:eastAsia="仿宋" w:cs="仿宋"/>
          <w:sz w:val="24"/>
        </w:rPr>
        <w:t>报价说明（由响应人自行编写）：</w:t>
      </w:r>
    </w:p>
    <w:p>
      <w:pPr>
        <w:spacing w:line="360" w:lineRule="auto"/>
        <w:ind w:firstLine="1360" w:firstLineChars="567"/>
        <w:rPr>
          <w:rFonts w:hint="eastAsia" w:ascii="仿宋" w:hAnsi="仿宋" w:eastAsia="仿宋" w:cs="仿宋"/>
          <w:sz w:val="24"/>
        </w:rPr>
      </w:pPr>
      <w:r>
        <w:rPr>
          <w:rFonts w:hint="eastAsia" w:ascii="仿宋" w:hAnsi="仿宋" w:eastAsia="仿宋" w:cs="仿宋"/>
          <w:sz w:val="24"/>
        </w:rPr>
        <w:t>1、</w:t>
      </w:r>
    </w:p>
    <w:p>
      <w:pPr>
        <w:spacing w:line="360" w:lineRule="auto"/>
        <w:ind w:firstLine="160" w:firstLineChars="67"/>
        <w:rPr>
          <w:rFonts w:hint="eastAsia" w:ascii="仿宋" w:hAnsi="仿宋" w:eastAsia="仿宋" w:cs="仿宋"/>
          <w:kern w:val="0"/>
          <w:szCs w:val="21"/>
        </w:rPr>
      </w:pPr>
      <w:r>
        <w:rPr>
          <w:rFonts w:hint="eastAsia" w:ascii="仿宋" w:hAnsi="仿宋" w:eastAsia="仿宋" w:cs="仿宋"/>
          <w:sz w:val="24"/>
        </w:rPr>
        <w:t xml:space="preserve">          2、</w:t>
      </w:r>
    </w:p>
    <w:p>
      <w:pPr>
        <w:spacing w:line="360" w:lineRule="auto"/>
        <w:ind w:firstLine="3120" w:firstLineChars="1300"/>
        <w:rPr>
          <w:rFonts w:ascii="仿宋_GB2312" w:eastAsia="仿宋_GB2312"/>
          <w:sz w:val="24"/>
        </w:rPr>
      </w:pPr>
      <w:r>
        <w:rPr>
          <w:rFonts w:hint="eastAsia" w:ascii="仿宋_GB2312" w:eastAsia="仿宋_GB2312"/>
          <w:sz w:val="24"/>
        </w:rPr>
        <w:t>响 应 人：</w:t>
      </w:r>
      <w:r>
        <w:rPr>
          <w:rFonts w:hint="eastAsia" w:ascii="仿宋_GB2312" w:eastAsia="仿宋_GB2312"/>
          <w:sz w:val="24"/>
          <w:u w:val="single"/>
        </w:rPr>
        <w:t xml:space="preserve">                   </w:t>
      </w:r>
      <w:r>
        <w:rPr>
          <w:rFonts w:hint="eastAsia" w:ascii="仿宋_GB2312" w:eastAsia="仿宋_GB2312"/>
          <w:sz w:val="24"/>
        </w:rPr>
        <w:t>（盖单位章）</w:t>
      </w:r>
    </w:p>
    <w:p>
      <w:pPr>
        <w:spacing w:line="360" w:lineRule="auto"/>
        <w:ind w:firstLine="3120" w:firstLineChars="1300"/>
        <w:rPr>
          <w:rFonts w:ascii="仿宋_GB2312" w:eastAsia="仿宋_GB2312"/>
          <w:sz w:val="24"/>
        </w:rPr>
      </w:pPr>
      <w:r>
        <w:rPr>
          <w:rFonts w:hint="eastAsia" w:ascii="仿宋_GB2312" w:eastAsia="仿宋_GB2312"/>
          <w:sz w:val="24"/>
        </w:rPr>
        <w:t>法定代表人或其委托代理人：</w:t>
      </w:r>
      <w:r>
        <w:rPr>
          <w:rFonts w:hint="eastAsia" w:ascii="仿宋_GB2312" w:eastAsia="仿宋_GB2312"/>
          <w:sz w:val="24"/>
          <w:u w:val="single"/>
        </w:rPr>
        <w:t xml:space="preserve">       </w:t>
      </w:r>
      <w:r>
        <w:rPr>
          <w:rFonts w:hint="eastAsia" w:ascii="仿宋_GB2312" w:eastAsia="仿宋_GB2312"/>
          <w:sz w:val="24"/>
        </w:rPr>
        <w:t>（签字）</w:t>
      </w:r>
    </w:p>
    <w:p>
      <w:pPr>
        <w:autoSpaceDE w:val="0"/>
        <w:autoSpaceDN w:val="0"/>
        <w:adjustRightInd w:val="0"/>
        <w:snapToGrid w:val="0"/>
        <w:spacing w:before="156" w:beforeLines="50" w:after="249" w:afterLines="80" w:line="240" w:lineRule="atLeast"/>
        <w:jc w:val="left"/>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autoSpaceDE w:val="0"/>
        <w:autoSpaceDN w:val="0"/>
        <w:adjustRightInd w:val="0"/>
        <w:snapToGrid w:val="0"/>
        <w:spacing w:before="156" w:beforeLines="50" w:after="249" w:afterLines="80" w:line="240" w:lineRule="atLeast"/>
        <w:jc w:val="left"/>
        <w:rPr>
          <w:rFonts w:hint="eastAsia" w:ascii="仿宋_GB2312" w:eastAsia="仿宋_GB2312"/>
          <w:sz w:val="24"/>
        </w:rPr>
      </w:pPr>
      <w:r>
        <w:rPr>
          <w:rFonts w:hint="eastAsia" w:ascii="仿宋_GB2312" w:eastAsia="仿宋_GB2312"/>
          <w:sz w:val="24"/>
        </w:rPr>
        <w:br w:type="page"/>
      </w:r>
    </w:p>
    <w:p>
      <w:pPr>
        <w:autoSpaceDE w:val="0"/>
        <w:autoSpaceDN w:val="0"/>
        <w:adjustRightInd w:val="0"/>
        <w:snapToGrid w:val="0"/>
        <w:spacing w:before="156" w:beforeLines="50" w:after="249" w:afterLines="80" w:line="240" w:lineRule="atLeast"/>
        <w:jc w:val="left"/>
        <w:outlineLvl w:val="1"/>
        <w:rPr>
          <w:rFonts w:hint="eastAsia" w:ascii="仿宋" w:hAnsi="仿宋" w:eastAsia="仿宋"/>
          <w:b/>
          <w:bCs/>
          <w:kern w:val="0"/>
          <w:sz w:val="28"/>
          <w:szCs w:val="28"/>
        </w:rPr>
      </w:pPr>
      <w:bookmarkStart w:id="309" w:name="_Toc14856859"/>
      <w:r>
        <w:rPr>
          <w:rFonts w:hint="eastAsia" w:ascii="仿宋" w:hAnsi="仿宋" w:eastAsia="仿宋"/>
          <w:b/>
          <w:bCs/>
          <w:kern w:val="0"/>
          <w:sz w:val="28"/>
          <w:szCs w:val="28"/>
        </w:rPr>
        <w:t>五</w:t>
      </w:r>
      <w:bookmarkStart w:id="310" w:name="附件六"/>
      <w:r>
        <w:rPr>
          <w:rFonts w:hint="eastAsia" w:ascii="仿宋" w:hAnsi="仿宋" w:eastAsia="仿宋"/>
          <w:b/>
          <w:bCs/>
          <w:kern w:val="0"/>
          <w:sz w:val="28"/>
          <w:szCs w:val="28"/>
        </w:rPr>
        <w:t>、响应人信息</w:t>
      </w:r>
      <w:bookmarkEnd w:id="309"/>
      <w:bookmarkEnd w:id="310"/>
    </w:p>
    <w:p>
      <w:pPr>
        <w:spacing w:line="360" w:lineRule="auto"/>
        <w:jc w:val="center"/>
        <w:rPr>
          <w:rFonts w:ascii="仿宋" w:hAnsi="仿宋" w:eastAsia="仿宋"/>
          <w:b/>
          <w:sz w:val="28"/>
          <w:szCs w:val="28"/>
        </w:rPr>
      </w:pPr>
      <w:bookmarkStart w:id="311" w:name="OLE_LINK1"/>
      <w:bookmarkStart w:id="312" w:name="OLE_LINK2"/>
      <w:bookmarkStart w:id="313" w:name="OLE_LINK3"/>
      <w:r>
        <w:rPr>
          <w:rFonts w:hint="eastAsia" w:ascii="仿宋" w:hAnsi="仿宋" w:eastAsia="仿宋"/>
          <w:b/>
          <w:sz w:val="30"/>
          <w:szCs w:val="30"/>
        </w:rPr>
        <w:t>响应人</w:t>
      </w:r>
      <w:r>
        <w:rPr>
          <w:rFonts w:hint="eastAsia" w:ascii="仿宋" w:hAnsi="仿宋" w:eastAsia="仿宋"/>
          <w:b/>
          <w:sz w:val="28"/>
          <w:szCs w:val="28"/>
        </w:rPr>
        <w:t>基本信息表</w:t>
      </w:r>
    </w:p>
    <w:bookmarkEnd w:id="311"/>
    <w:bookmarkEnd w:id="312"/>
    <w:bookmarkEnd w:id="313"/>
    <w:tbl>
      <w:tblPr>
        <w:tblStyle w:val="21"/>
        <w:tblW w:w="9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393"/>
        <w:gridCol w:w="1153"/>
        <w:gridCol w:w="345"/>
        <w:gridCol w:w="931"/>
        <w:gridCol w:w="1134"/>
        <w:gridCol w:w="1183"/>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企业名称</w:t>
            </w:r>
          </w:p>
        </w:tc>
        <w:tc>
          <w:tcPr>
            <w:tcW w:w="3822" w:type="dxa"/>
            <w:gridSpan w:val="4"/>
            <w:tcBorders>
              <w:right w:val="single" w:color="auto" w:sz="4" w:space="0"/>
            </w:tcBorders>
            <w:vAlign w:val="center"/>
          </w:tcPr>
          <w:p>
            <w:pPr>
              <w:jc w:val="center"/>
              <w:rPr>
                <w:rFonts w:ascii="仿宋" w:hAnsi="仿宋" w:eastAsia="仿宋"/>
              </w:rPr>
            </w:pPr>
          </w:p>
        </w:tc>
        <w:tc>
          <w:tcPr>
            <w:tcW w:w="1134" w:type="dxa"/>
            <w:tcBorders>
              <w:left w:val="single" w:color="auto" w:sz="4" w:space="0"/>
            </w:tcBorders>
            <w:vAlign w:val="center"/>
          </w:tcPr>
          <w:p>
            <w:pPr>
              <w:jc w:val="center"/>
              <w:rPr>
                <w:rFonts w:ascii="仿宋" w:hAnsi="仿宋" w:eastAsia="仿宋"/>
              </w:rPr>
            </w:pPr>
            <w:r>
              <w:rPr>
                <w:rFonts w:hint="eastAsia" w:ascii="仿宋" w:hAnsi="仿宋" w:eastAsia="仿宋"/>
              </w:rPr>
              <w:t>企业性质</w:t>
            </w:r>
          </w:p>
        </w:tc>
        <w:tc>
          <w:tcPr>
            <w:tcW w:w="2532" w:type="dxa"/>
            <w:gridSpan w:val="2"/>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企业地址</w:t>
            </w:r>
          </w:p>
        </w:tc>
        <w:tc>
          <w:tcPr>
            <w:tcW w:w="3822" w:type="dxa"/>
            <w:gridSpan w:val="4"/>
            <w:tcBorders>
              <w:right w:val="single" w:color="auto" w:sz="4" w:space="0"/>
            </w:tcBorders>
            <w:vAlign w:val="center"/>
          </w:tcPr>
          <w:p>
            <w:pPr>
              <w:jc w:val="center"/>
              <w:rPr>
                <w:rFonts w:ascii="仿宋" w:hAnsi="仿宋" w:eastAsia="仿宋"/>
              </w:rPr>
            </w:pPr>
          </w:p>
        </w:tc>
        <w:tc>
          <w:tcPr>
            <w:tcW w:w="1134" w:type="dxa"/>
            <w:tcBorders>
              <w:left w:val="single" w:color="auto" w:sz="4" w:space="0"/>
            </w:tcBorders>
            <w:vAlign w:val="center"/>
          </w:tcPr>
          <w:p>
            <w:pPr>
              <w:jc w:val="center"/>
              <w:rPr>
                <w:rFonts w:ascii="仿宋" w:hAnsi="仿宋" w:eastAsia="仿宋"/>
              </w:rPr>
            </w:pPr>
            <w:r>
              <w:rPr>
                <w:rFonts w:hint="eastAsia" w:ascii="仿宋" w:hAnsi="仿宋" w:eastAsia="仿宋"/>
              </w:rPr>
              <w:t>企业网址</w:t>
            </w:r>
          </w:p>
        </w:tc>
        <w:tc>
          <w:tcPr>
            <w:tcW w:w="2532" w:type="dxa"/>
            <w:gridSpan w:val="2"/>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注册资本金</w:t>
            </w:r>
          </w:p>
          <w:p>
            <w:pPr>
              <w:jc w:val="center"/>
              <w:rPr>
                <w:rFonts w:ascii="仿宋" w:hAnsi="仿宋" w:eastAsia="仿宋"/>
              </w:rPr>
            </w:pPr>
            <w:r>
              <w:rPr>
                <w:rFonts w:hint="eastAsia" w:ascii="仿宋" w:hAnsi="仿宋" w:eastAsia="仿宋"/>
              </w:rPr>
              <w:t>（万元）</w:t>
            </w:r>
          </w:p>
        </w:tc>
        <w:tc>
          <w:tcPr>
            <w:tcW w:w="1393" w:type="dxa"/>
            <w:vAlign w:val="center"/>
          </w:tcPr>
          <w:p>
            <w:pPr>
              <w:jc w:val="center"/>
              <w:rPr>
                <w:rFonts w:ascii="仿宋" w:hAnsi="仿宋" w:eastAsia="仿宋"/>
              </w:rPr>
            </w:pPr>
          </w:p>
        </w:tc>
        <w:tc>
          <w:tcPr>
            <w:tcW w:w="1153" w:type="dxa"/>
            <w:vAlign w:val="center"/>
          </w:tcPr>
          <w:p>
            <w:pPr>
              <w:jc w:val="center"/>
              <w:rPr>
                <w:rFonts w:ascii="仿宋" w:hAnsi="仿宋" w:eastAsia="仿宋"/>
              </w:rPr>
            </w:pPr>
            <w:r>
              <w:rPr>
                <w:rFonts w:hint="eastAsia" w:ascii="仿宋" w:hAnsi="仿宋" w:eastAsia="仿宋"/>
              </w:rPr>
              <w:t>实收资金</w:t>
            </w:r>
          </w:p>
          <w:p>
            <w:pPr>
              <w:jc w:val="center"/>
              <w:rPr>
                <w:rFonts w:ascii="仿宋" w:hAnsi="仿宋" w:eastAsia="仿宋"/>
              </w:rPr>
            </w:pPr>
            <w:r>
              <w:rPr>
                <w:rFonts w:hint="eastAsia" w:ascii="仿宋" w:hAnsi="仿宋" w:eastAsia="仿宋"/>
              </w:rPr>
              <w:t>（万元）</w:t>
            </w:r>
          </w:p>
        </w:tc>
        <w:tc>
          <w:tcPr>
            <w:tcW w:w="2410" w:type="dxa"/>
            <w:gridSpan w:val="3"/>
            <w:tcBorders>
              <w:right w:val="single" w:color="auto" w:sz="4" w:space="0"/>
            </w:tcBorders>
            <w:vAlign w:val="center"/>
          </w:tcPr>
          <w:p>
            <w:pPr>
              <w:jc w:val="center"/>
              <w:rPr>
                <w:rFonts w:ascii="仿宋" w:hAnsi="仿宋" w:eastAsia="仿宋"/>
              </w:rPr>
            </w:pPr>
          </w:p>
        </w:tc>
        <w:tc>
          <w:tcPr>
            <w:tcW w:w="1183" w:type="dxa"/>
            <w:tcBorders>
              <w:left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成立年月</w:t>
            </w:r>
          </w:p>
        </w:tc>
        <w:tc>
          <w:tcPr>
            <w:tcW w:w="1349" w:type="dxa"/>
            <w:tcBorders>
              <w:left w:val="single" w:color="auto" w:sz="4" w:space="0"/>
              <w:righ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年生产能力</w:t>
            </w:r>
          </w:p>
        </w:tc>
        <w:tc>
          <w:tcPr>
            <w:tcW w:w="1393" w:type="dxa"/>
            <w:vAlign w:val="center"/>
          </w:tcPr>
          <w:p>
            <w:pPr>
              <w:jc w:val="center"/>
              <w:rPr>
                <w:rFonts w:ascii="仿宋" w:hAnsi="仿宋" w:eastAsia="仿宋"/>
              </w:rPr>
            </w:pPr>
          </w:p>
        </w:tc>
        <w:tc>
          <w:tcPr>
            <w:tcW w:w="1153" w:type="dxa"/>
            <w:vAlign w:val="center"/>
          </w:tcPr>
          <w:p>
            <w:pPr>
              <w:jc w:val="center"/>
              <w:rPr>
                <w:rFonts w:ascii="仿宋" w:hAnsi="仿宋" w:eastAsia="仿宋"/>
              </w:rPr>
            </w:pPr>
            <w:r>
              <w:rPr>
                <w:rFonts w:hint="eastAsia" w:ascii="仿宋" w:hAnsi="仿宋" w:eastAsia="仿宋"/>
              </w:rPr>
              <w:t>员工总数（人）</w:t>
            </w:r>
          </w:p>
        </w:tc>
        <w:tc>
          <w:tcPr>
            <w:tcW w:w="2410" w:type="dxa"/>
            <w:gridSpan w:val="3"/>
            <w:tcBorders>
              <w:right w:val="single" w:color="auto" w:sz="4" w:space="0"/>
            </w:tcBorders>
            <w:vAlign w:val="center"/>
          </w:tcPr>
          <w:p>
            <w:pPr>
              <w:jc w:val="center"/>
              <w:rPr>
                <w:rFonts w:ascii="仿宋" w:hAnsi="仿宋" w:eastAsia="仿宋"/>
              </w:rPr>
            </w:pPr>
          </w:p>
        </w:tc>
        <w:tc>
          <w:tcPr>
            <w:tcW w:w="1183" w:type="dxa"/>
            <w:tcBorders>
              <w:left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其中管理人员（人）</w:t>
            </w:r>
          </w:p>
        </w:tc>
        <w:tc>
          <w:tcPr>
            <w:tcW w:w="1349" w:type="dxa"/>
            <w:tcBorders>
              <w:left w:val="single" w:color="auto" w:sz="4" w:space="0"/>
              <w:righ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邮编</w:t>
            </w:r>
          </w:p>
        </w:tc>
        <w:tc>
          <w:tcPr>
            <w:tcW w:w="1393" w:type="dxa"/>
            <w:vAlign w:val="center"/>
          </w:tcPr>
          <w:p>
            <w:pPr>
              <w:jc w:val="center"/>
              <w:rPr>
                <w:rFonts w:ascii="仿宋" w:hAnsi="仿宋" w:eastAsia="仿宋"/>
              </w:rPr>
            </w:pPr>
          </w:p>
        </w:tc>
        <w:tc>
          <w:tcPr>
            <w:tcW w:w="1153" w:type="dxa"/>
            <w:vAlign w:val="center"/>
          </w:tcPr>
          <w:p>
            <w:pPr>
              <w:jc w:val="center"/>
              <w:rPr>
                <w:rFonts w:ascii="仿宋" w:hAnsi="仿宋" w:eastAsia="仿宋"/>
              </w:rPr>
            </w:pPr>
            <w:r>
              <w:rPr>
                <w:rFonts w:hint="eastAsia" w:ascii="仿宋" w:hAnsi="仿宋" w:eastAsia="仿宋"/>
              </w:rPr>
              <w:t>企业电话</w:t>
            </w:r>
          </w:p>
        </w:tc>
        <w:tc>
          <w:tcPr>
            <w:tcW w:w="2410" w:type="dxa"/>
            <w:gridSpan w:val="3"/>
            <w:tcBorders>
              <w:right w:val="single" w:color="auto" w:sz="4" w:space="0"/>
            </w:tcBorders>
            <w:vAlign w:val="center"/>
          </w:tcPr>
          <w:p>
            <w:pPr>
              <w:jc w:val="center"/>
              <w:rPr>
                <w:rFonts w:ascii="仿宋" w:hAnsi="仿宋" w:eastAsia="仿宋"/>
              </w:rPr>
            </w:pPr>
          </w:p>
        </w:tc>
        <w:tc>
          <w:tcPr>
            <w:tcW w:w="1183" w:type="dxa"/>
            <w:tcBorders>
              <w:left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传真</w:t>
            </w:r>
          </w:p>
        </w:tc>
        <w:tc>
          <w:tcPr>
            <w:tcW w:w="1349" w:type="dxa"/>
            <w:tcBorders>
              <w:left w:val="single" w:color="auto" w:sz="4" w:space="0"/>
              <w:righ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主要人员</w:t>
            </w:r>
          </w:p>
        </w:tc>
        <w:tc>
          <w:tcPr>
            <w:tcW w:w="1393" w:type="dxa"/>
            <w:vAlign w:val="center"/>
          </w:tcPr>
          <w:p>
            <w:pPr>
              <w:jc w:val="center"/>
              <w:rPr>
                <w:rFonts w:ascii="仿宋" w:hAnsi="仿宋" w:eastAsia="仿宋"/>
              </w:rPr>
            </w:pPr>
            <w:r>
              <w:rPr>
                <w:rFonts w:hint="eastAsia" w:ascii="仿宋" w:hAnsi="仿宋" w:eastAsia="仿宋"/>
              </w:rPr>
              <w:t>姓名</w:t>
            </w:r>
          </w:p>
        </w:tc>
        <w:tc>
          <w:tcPr>
            <w:tcW w:w="1498" w:type="dxa"/>
            <w:gridSpan w:val="2"/>
            <w:tcBorders>
              <w:right w:val="single" w:color="auto" w:sz="4" w:space="0"/>
            </w:tcBorders>
            <w:vAlign w:val="center"/>
          </w:tcPr>
          <w:p>
            <w:pPr>
              <w:jc w:val="center"/>
              <w:rPr>
                <w:rFonts w:ascii="仿宋" w:hAnsi="仿宋" w:eastAsia="仿宋"/>
              </w:rPr>
            </w:pPr>
            <w:r>
              <w:rPr>
                <w:rFonts w:hint="eastAsia" w:ascii="仿宋" w:hAnsi="仿宋" w:eastAsia="仿宋"/>
              </w:rPr>
              <w:t>办公电话</w:t>
            </w:r>
          </w:p>
        </w:tc>
        <w:tc>
          <w:tcPr>
            <w:tcW w:w="2065" w:type="dxa"/>
            <w:gridSpan w:val="2"/>
            <w:tcBorders>
              <w:right w:val="single" w:color="auto" w:sz="4" w:space="0"/>
            </w:tcBorders>
            <w:vAlign w:val="center"/>
          </w:tcPr>
          <w:p>
            <w:pPr>
              <w:jc w:val="center"/>
              <w:rPr>
                <w:rFonts w:ascii="仿宋" w:hAnsi="仿宋" w:eastAsia="仿宋"/>
              </w:rPr>
            </w:pPr>
            <w:r>
              <w:rPr>
                <w:rFonts w:hint="eastAsia" w:ascii="仿宋" w:hAnsi="仿宋" w:eastAsia="仿宋"/>
              </w:rPr>
              <w:t>手机</w:t>
            </w:r>
          </w:p>
        </w:tc>
        <w:tc>
          <w:tcPr>
            <w:tcW w:w="2532" w:type="dxa"/>
            <w:gridSpan w:val="2"/>
            <w:tcBorders>
              <w:left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法定代表人</w:t>
            </w:r>
          </w:p>
        </w:tc>
        <w:tc>
          <w:tcPr>
            <w:tcW w:w="1393" w:type="dxa"/>
            <w:vAlign w:val="center"/>
          </w:tcPr>
          <w:p>
            <w:pPr>
              <w:jc w:val="center"/>
              <w:rPr>
                <w:rFonts w:ascii="仿宋" w:hAnsi="仿宋" w:eastAsia="仿宋"/>
              </w:rPr>
            </w:pPr>
          </w:p>
        </w:tc>
        <w:tc>
          <w:tcPr>
            <w:tcW w:w="1498" w:type="dxa"/>
            <w:gridSpan w:val="2"/>
            <w:tcBorders>
              <w:right w:val="single" w:color="auto" w:sz="4" w:space="0"/>
            </w:tcBorders>
            <w:vAlign w:val="center"/>
          </w:tcPr>
          <w:p>
            <w:pPr>
              <w:jc w:val="center"/>
              <w:rPr>
                <w:rFonts w:ascii="仿宋" w:hAnsi="仿宋" w:eastAsia="仿宋"/>
              </w:rPr>
            </w:pPr>
          </w:p>
        </w:tc>
        <w:tc>
          <w:tcPr>
            <w:tcW w:w="2065" w:type="dxa"/>
            <w:gridSpan w:val="2"/>
            <w:tcBorders>
              <w:right w:val="single" w:color="auto" w:sz="4" w:space="0"/>
            </w:tcBorders>
            <w:vAlign w:val="center"/>
          </w:tcPr>
          <w:p>
            <w:pPr>
              <w:jc w:val="center"/>
              <w:rPr>
                <w:rFonts w:ascii="仿宋" w:hAnsi="仿宋" w:eastAsia="仿宋"/>
              </w:rPr>
            </w:pPr>
          </w:p>
        </w:tc>
        <w:tc>
          <w:tcPr>
            <w:tcW w:w="2532" w:type="dxa"/>
            <w:gridSpan w:val="2"/>
            <w:tcBorders>
              <w:left w:val="single" w:color="auto" w:sz="4" w:space="0"/>
              <w:righ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技术负责人</w:t>
            </w:r>
          </w:p>
        </w:tc>
        <w:tc>
          <w:tcPr>
            <w:tcW w:w="1393" w:type="dxa"/>
            <w:vAlign w:val="center"/>
          </w:tcPr>
          <w:p>
            <w:pPr>
              <w:jc w:val="center"/>
              <w:rPr>
                <w:rFonts w:ascii="仿宋" w:hAnsi="仿宋" w:eastAsia="仿宋"/>
              </w:rPr>
            </w:pPr>
          </w:p>
        </w:tc>
        <w:tc>
          <w:tcPr>
            <w:tcW w:w="1498" w:type="dxa"/>
            <w:gridSpan w:val="2"/>
            <w:tcBorders>
              <w:right w:val="single" w:color="auto" w:sz="4" w:space="0"/>
            </w:tcBorders>
            <w:vAlign w:val="center"/>
          </w:tcPr>
          <w:p>
            <w:pPr>
              <w:jc w:val="center"/>
              <w:rPr>
                <w:rFonts w:ascii="仿宋" w:hAnsi="仿宋" w:eastAsia="仿宋"/>
              </w:rPr>
            </w:pPr>
          </w:p>
        </w:tc>
        <w:tc>
          <w:tcPr>
            <w:tcW w:w="2065" w:type="dxa"/>
            <w:gridSpan w:val="2"/>
            <w:tcBorders>
              <w:right w:val="single" w:color="auto" w:sz="4" w:space="0"/>
            </w:tcBorders>
            <w:vAlign w:val="center"/>
          </w:tcPr>
          <w:p>
            <w:pPr>
              <w:jc w:val="center"/>
              <w:rPr>
                <w:rFonts w:ascii="仿宋" w:hAnsi="仿宋" w:eastAsia="仿宋"/>
              </w:rPr>
            </w:pPr>
          </w:p>
        </w:tc>
        <w:tc>
          <w:tcPr>
            <w:tcW w:w="2532" w:type="dxa"/>
            <w:gridSpan w:val="2"/>
            <w:tcBorders>
              <w:left w:val="single" w:color="auto" w:sz="4" w:space="0"/>
              <w:righ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业务联系人</w:t>
            </w:r>
          </w:p>
        </w:tc>
        <w:tc>
          <w:tcPr>
            <w:tcW w:w="1393" w:type="dxa"/>
            <w:vAlign w:val="center"/>
          </w:tcPr>
          <w:p>
            <w:pPr>
              <w:jc w:val="center"/>
              <w:rPr>
                <w:rFonts w:ascii="仿宋" w:hAnsi="仿宋" w:eastAsia="仿宋"/>
              </w:rPr>
            </w:pPr>
          </w:p>
        </w:tc>
        <w:tc>
          <w:tcPr>
            <w:tcW w:w="1498" w:type="dxa"/>
            <w:gridSpan w:val="2"/>
            <w:tcBorders>
              <w:right w:val="single" w:color="auto" w:sz="4" w:space="0"/>
            </w:tcBorders>
            <w:vAlign w:val="center"/>
          </w:tcPr>
          <w:p>
            <w:pPr>
              <w:jc w:val="center"/>
              <w:rPr>
                <w:rFonts w:ascii="仿宋" w:hAnsi="仿宋" w:eastAsia="仿宋"/>
              </w:rPr>
            </w:pPr>
          </w:p>
        </w:tc>
        <w:tc>
          <w:tcPr>
            <w:tcW w:w="2065" w:type="dxa"/>
            <w:gridSpan w:val="2"/>
            <w:tcBorders>
              <w:right w:val="single" w:color="auto" w:sz="4" w:space="0"/>
            </w:tcBorders>
            <w:vAlign w:val="center"/>
          </w:tcPr>
          <w:p>
            <w:pPr>
              <w:jc w:val="center"/>
              <w:rPr>
                <w:rFonts w:ascii="仿宋" w:hAnsi="仿宋" w:eastAsia="仿宋"/>
              </w:rPr>
            </w:pPr>
          </w:p>
        </w:tc>
        <w:tc>
          <w:tcPr>
            <w:tcW w:w="2532" w:type="dxa"/>
            <w:gridSpan w:val="2"/>
            <w:tcBorders>
              <w:left w:val="single" w:color="auto" w:sz="4" w:space="0"/>
              <w:righ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企业资质等级</w:t>
            </w:r>
          </w:p>
        </w:tc>
        <w:tc>
          <w:tcPr>
            <w:tcW w:w="7488" w:type="dxa"/>
            <w:gridSpan w:val="7"/>
            <w:tcBorders>
              <w:right w:val="single" w:color="auto" w:sz="4" w:space="0"/>
            </w:tcBorders>
            <w:vAlign w:val="center"/>
          </w:tcPr>
          <w:p>
            <w:pPr>
              <w:rPr>
                <w:rFonts w:ascii="仿宋" w:hAnsi="仿宋" w:eastAsia="仿宋"/>
              </w:rPr>
            </w:pPr>
            <w:r>
              <w:rPr>
                <w:rFonts w:hint="eastAsia" w:ascii="仿宋" w:hAnsi="仿宋" w:eastAsia="仿宋"/>
              </w:rPr>
              <w:t>主项资质名称及等级：</w:t>
            </w:r>
          </w:p>
          <w:p>
            <w:pPr>
              <w:rPr>
                <w:rFonts w:ascii="仿宋" w:hAnsi="仿宋" w:eastAsia="仿宋"/>
              </w:rPr>
            </w:pPr>
            <w:r>
              <w:rPr>
                <w:rFonts w:hint="eastAsia" w:ascii="仿宋" w:hAnsi="仿宋" w:eastAsia="仿宋"/>
              </w:rPr>
              <w:t>专业承包资质名称及等级：</w:t>
            </w:r>
          </w:p>
          <w:p>
            <w:pPr>
              <w:rPr>
                <w:rFonts w:ascii="仿宋" w:hAnsi="仿宋" w:eastAsia="仿宋"/>
              </w:rPr>
            </w:pPr>
            <w:r>
              <w:rPr>
                <w:rFonts w:hint="eastAsia" w:ascii="仿宋" w:hAnsi="仿宋" w:eastAsia="仿宋"/>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主要服务范围</w:t>
            </w:r>
          </w:p>
        </w:tc>
        <w:tc>
          <w:tcPr>
            <w:tcW w:w="7488" w:type="dxa"/>
            <w:gridSpan w:val="7"/>
            <w:tcBorders>
              <w:right w:val="single" w:color="auto" w:sz="4" w:space="0"/>
            </w:tcBorders>
            <w:vAlign w:val="center"/>
          </w:tcPr>
          <w:p>
            <w:pPr>
              <w:jc w:val="center"/>
              <w:rPr>
                <w:rFonts w:ascii="仿宋" w:hAnsi="仿宋" w:eastAsia="仿宋"/>
              </w:rPr>
            </w:pPr>
          </w:p>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近期主要项目或业绩</w:t>
            </w:r>
          </w:p>
        </w:tc>
        <w:tc>
          <w:tcPr>
            <w:tcW w:w="7488" w:type="dxa"/>
            <w:gridSpan w:val="7"/>
            <w:tcBorders>
              <w:right w:val="single" w:color="auto" w:sz="4" w:space="0"/>
            </w:tcBorders>
            <w:vAlign w:val="center"/>
          </w:tcPr>
          <w:p>
            <w:pPr>
              <w:jc w:val="center"/>
              <w:rPr>
                <w:rFonts w:ascii="仿宋" w:hAnsi="仿宋" w:eastAsia="仿宋"/>
              </w:rPr>
            </w:pPr>
          </w:p>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基本开户账户号</w:t>
            </w:r>
          </w:p>
        </w:tc>
        <w:tc>
          <w:tcPr>
            <w:tcW w:w="2546" w:type="dxa"/>
            <w:gridSpan w:val="2"/>
            <w:vAlign w:val="center"/>
          </w:tcPr>
          <w:p>
            <w:pPr>
              <w:jc w:val="center"/>
              <w:rPr>
                <w:rFonts w:ascii="仿宋" w:hAnsi="仿宋" w:eastAsia="仿宋"/>
              </w:rPr>
            </w:pPr>
          </w:p>
        </w:tc>
        <w:tc>
          <w:tcPr>
            <w:tcW w:w="2410" w:type="dxa"/>
            <w:gridSpan w:val="3"/>
            <w:vAlign w:val="center"/>
          </w:tcPr>
          <w:p>
            <w:pPr>
              <w:jc w:val="center"/>
              <w:rPr>
                <w:rFonts w:ascii="仿宋" w:hAnsi="仿宋" w:eastAsia="仿宋"/>
              </w:rPr>
            </w:pPr>
            <w:r>
              <w:rPr>
                <w:rFonts w:hint="eastAsia" w:ascii="仿宋" w:hAnsi="仿宋" w:eastAsia="仿宋"/>
              </w:rPr>
              <w:t>开户银行</w:t>
            </w:r>
          </w:p>
        </w:tc>
        <w:tc>
          <w:tcPr>
            <w:tcW w:w="2532" w:type="dxa"/>
            <w:gridSpan w:val="2"/>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类别</w:t>
            </w:r>
          </w:p>
        </w:tc>
        <w:tc>
          <w:tcPr>
            <w:tcW w:w="2546" w:type="dxa"/>
            <w:gridSpan w:val="2"/>
            <w:vAlign w:val="center"/>
          </w:tcPr>
          <w:p>
            <w:pPr>
              <w:jc w:val="center"/>
              <w:rPr>
                <w:rFonts w:ascii="仿宋" w:hAnsi="仿宋" w:eastAsia="仿宋"/>
              </w:rPr>
            </w:pPr>
            <w:r>
              <w:rPr>
                <w:rFonts w:hint="eastAsia" w:ascii="仿宋" w:hAnsi="仿宋" w:eastAsia="仿宋"/>
              </w:rPr>
              <w:t>证书号</w:t>
            </w:r>
          </w:p>
        </w:tc>
        <w:tc>
          <w:tcPr>
            <w:tcW w:w="2410" w:type="dxa"/>
            <w:gridSpan w:val="3"/>
            <w:vAlign w:val="center"/>
          </w:tcPr>
          <w:p>
            <w:pPr>
              <w:jc w:val="center"/>
              <w:rPr>
                <w:rFonts w:ascii="仿宋" w:hAnsi="仿宋" w:eastAsia="仿宋"/>
              </w:rPr>
            </w:pPr>
            <w:r>
              <w:rPr>
                <w:rFonts w:hint="eastAsia" w:ascii="仿宋" w:hAnsi="仿宋" w:eastAsia="仿宋"/>
              </w:rPr>
              <w:t>发证机关</w:t>
            </w:r>
          </w:p>
        </w:tc>
        <w:tc>
          <w:tcPr>
            <w:tcW w:w="1183" w:type="dxa"/>
            <w:vAlign w:val="center"/>
          </w:tcPr>
          <w:p>
            <w:pPr>
              <w:jc w:val="center"/>
              <w:rPr>
                <w:rFonts w:ascii="仿宋" w:hAnsi="仿宋" w:eastAsia="仿宋"/>
              </w:rPr>
            </w:pPr>
            <w:r>
              <w:rPr>
                <w:rFonts w:hint="eastAsia" w:ascii="仿宋" w:hAnsi="仿宋" w:eastAsia="仿宋"/>
              </w:rPr>
              <w:t>发证时间</w:t>
            </w:r>
          </w:p>
        </w:tc>
        <w:tc>
          <w:tcPr>
            <w:tcW w:w="1349" w:type="dxa"/>
            <w:vAlign w:val="center"/>
          </w:tcPr>
          <w:p>
            <w:pPr>
              <w:jc w:val="center"/>
              <w:rPr>
                <w:rFonts w:ascii="仿宋" w:hAnsi="仿宋" w:eastAsia="仿宋"/>
              </w:rPr>
            </w:pPr>
            <w:r>
              <w:rPr>
                <w:rFonts w:hint="eastAsia" w:ascii="仿宋" w:hAnsi="仿宋" w:eastAsia="仿宋"/>
              </w:rPr>
              <w:t>有效期截至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营业执照号</w:t>
            </w:r>
          </w:p>
        </w:tc>
        <w:tc>
          <w:tcPr>
            <w:tcW w:w="2546" w:type="dxa"/>
            <w:gridSpan w:val="2"/>
            <w:vAlign w:val="center"/>
          </w:tcPr>
          <w:p>
            <w:pPr>
              <w:jc w:val="center"/>
              <w:rPr>
                <w:rFonts w:ascii="仿宋" w:hAnsi="仿宋" w:eastAsia="仿宋"/>
              </w:rPr>
            </w:pPr>
          </w:p>
        </w:tc>
        <w:tc>
          <w:tcPr>
            <w:tcW w:w="2410" w:type="dxa"/>
            <w:gridSpan w:val="3"/>
            <w:vAlign w:val="center"/>
          </w:tcPr>
          <w:p>
            <w:pPr>
              <w:jc w:val="center"/>
              <w:rPr>
                <w:rFonts w:ascii="仿宋" w:hAnsi="仿宋" w:eastAsia="仿宋"/>
              </w:rPr>
            </w:pPr>
          </w:p>
        </w:tc>
        <w:tc>
          <w:tcPr>
            <w:tcW w:w="1183" w:type="dxa"/>
            <w:vAlign w:val="center"/>
          </w:tcPr>
          <w:p>
            <w:pPr>
              <w:jc w:val="center"/>
              <w:rPr>
                <w:rFonts w:ascii="仿宋" w:hAnsi="仿宋" w:eastAsia="仿宋"/>
              </w:rPr>
            </w:pPr>
          </w:p>
        </w:tc>
        <w:tc>
          <w:tcPr>
            <w:tcW w:w="1349"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组织机构代码证</w:t>
            </w:r>
          </w:p>
        </w:tc>
        <w:tc>
          <w:tcPr>
            <w:tcW w:w="2546" w:type="dxa"/>
            <w:gridSpan w:val="2"/>
            <w:vAlign w:val="center"/>
          </w:tcPr>
          <w:p>
            <w:pPr>
              <w:jc w:val="center"/>
              <w:rPr>
                <w:rFonts w:ascii="仿宋" w:hAnsi="仿宋" w:eastAsia="仿宋"/>
              </w:rPr>
            </w:pPr>
          </w:p>
        </w:tc>
        <w:tc>
          <w:tcPr>
            <w:tcW w:w="2410" w:type="dxa"/>
            <w:gridSpan w:val="3"/>
            <w:vAlign w:val="center"/>
          </w:tcPr>
          <w:p>
            <w:pPr>
              <w:jc w:val="center"/>
              <w:rPr>
                <w:rFonts w:ascii="仿宋" w:hAnsi="仿宋" w:eastAsia="仿宋"/>
              </w:rPr>
            </w:pPr>
          </w:p>
        </w:tc>
        <w:tc>
          <w:tcPr>
            <w:tcW w:w="1183" w:type="dxa"/>
            <w:vAlign w:val="center"/>
          </w:tcPr>
          <w:p>
            <w:pPr>
              <w:jc w:val="center"/>
              <w:rPr>
                <w:rFonts w:ascii="仿宋" w:hAnsi="仿宋" w:eastAsia="仿宋"/>
              </w:rPr>
            </w:pPr>
          </w:p>
        </w:tc>
        <w:tc>
          <w:tcPr>
            <w:tcW w:w="1349"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税务登记证</w:t>
            </w:r>
          </w:p>
        </w:tc>
        <w:tc>
          <w:tcPr>
            <w:tcW w:w="2546" w:type="dxa"/>
            <w:gridSpan w:val="2"/>
            <w:vAlign w:val="center"/>
          </w:tcPr>
          <w:p>
            <w:pPr>
              <w:jc w:val="center"/>
              <w:rPr>
                <w:rFonts w:ascii="仿宋" w:hAnsi="仿宋" w:eastAsia="仿宋"/>
              </w:rPr>
            </w:pPr>
          </w:p>
        </w:tc>
        <w:tc>
          <w:tcPr>
            <w:tcW w:w="2410" w:type="dxa"/>
            <w:gridSpan w:val="3"/>
            <w:vAlign w:val="center"/>
          </w:tcPr>
          <w:p>
            <w:pPr>
              <w:jc w:val="center"/>
              <w:rPr>
                <w:rFonts w:ascii="仿宋" w:hAnsi="仿宋" w:eastAsia="仿宋"/>
              </w:rPr>
            </w:pPr>
          </w:p>
        </w:tc>
        <w:tc>
          <w:tcPr>
            <w:tcW w:w="1183" w:type="dxa"/>
            <w:vAlign w:val="center"/>
          </w:tcPr>
          <w:p>
            <w:pPr>
              <w:jc w:val="center"/>
              <w:rPr>
                <w:rFonts w:ascii="仿宋" w:hAnsi="仿宋" w:eastAsia="仿宋"/>
              </w:rPr>
            </w:pPr>
          </w:p>
        </w:tc>
        <w:tc>
          <w:tcPr>
            <w:tcW w:w="1349"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Align w:val="center"/>
          </w:tcPr>
          <w:p>
            <w:pPr>
              <w:jc w:val="center"/>
              <w:rPr>
                <w:rFonts w:ascii="仿宋" w:hAnsi="仿宋" w:eastAsia="仿宋"/>
              </w:rPr>
            </w:pPr>
            <w:r>
              <w:rPr>
                <w:rFonts w:hint="eastAsia" w:ascii="仿宋" w:hAnsi="仿宋" w:eastAsia="仿宋"/>
              </w:rPr>
              <w:t>安全生产许可证</w:t>
            </w:r>
          </w:p>
        </w:tc>
        <w:tc>
          <w:tcPr>
            <w:tcW w:w="2546" w:type="dxa"/>
            <w:gridSpan w:val="2"/>
            <w:vAlign w:val="center"/>
          </w:tcPr>
          <w:p>
            <w:pPr>
              <w:jc w:val="center"/>
              <w:rPr>
                <w:rFonts w:ascii="仿宋" w:hAnsi="仿宋" w:eastAsia="仿宋"/>
              </w:rPr>
            </w:pPr>
          </w:p>
        </w:tc>
        <w:tc>
          <w:tcPr>
            <w:tcW w:w="2410" w:type="dxa"/>
            <w:gridSpan w:val="3"/>
            <w:vAlign w:val="center"/>
          </w:tcPr>
          <w:p>
            <w:pPr>
              <w:jc w:val="center"/>
              <w:rPr>
                <w:rFonts w:ascii="仿宋" w:hAnsi="仿宋" w:eastAsia="仿宋"/>
              </w:rPr>
            </w:pPr>
          </w:p>
        </w:tc>
        <w:tc>
          <w:tcPr>
            <w:tcW w:w="1183" w:type="dxa"/>
            <w:vAlign w:val="center"/>
          </w:tcPr>
          <w:p>
            <w:pPr>
              <w:jc w:val="center"/>
              <w:rPr>
                <w:rFonts w:ascii="仿宋" w:hAnsi="仿宋" w:eastAsia="仿宋"/>
              </w:rPr>
            </w:pPr>
          </w:p>
        </w:tc>
        <w:tc>
          <w:tcPr>
            <w:tcW w:w="1349"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jc w:val="center"/>
              <w:rPr>
                <w:rFonts w:ascii="仿宋" w:hAnsi="仿宋" w:eastAsia="仿宋"/>
              </w:rPr>
            </w:pPr>
            <w:r>
              <w:rPr>
                <w:rFonts w:hint="eastAsia" w:ascii="仿宋" w:hAnsi="仿宋" w:eastAsia="仿宋"/>
              </w:rPr>
              <w:t>主项资质证书</w:t>
            </w:r>
          </w:p>
        </w:tc>
        <w:tc>
          <w:tcPr>
            <w:tcW w:w="2546" w:type="dxa"/>
            <w:gridSpan w:val="2"/>
            <w:vAlign w:val="center"/>
          </w:tcPr>
          <w:p>
            <w:pPr>
              <w:rPr>
                <w:rFonts w:ascii="仿宋" w:hAnsi="仿宋" w:eastAsia="仿宋"/>
              </w:rPr>
            </w:pPr>
            <w:r>
              <w:rPr>
                <w:rFonts w:hint="eastAsia" w:ascii="仿宋" w:hAnsi="仿宋" w:eastAsia="仿宋"/>
              </w:rPr>
              <w:t>1：</w:t>
            </w:r>
          </w:p>
        </w:tc>
        <w:tc>
          <w:tcPr>
            <w:tcW w:w="2410" w:type="dxa"/>
            <w:gridSpan w:val="3"/>
            <w:vAlign w:val="center"/>
          </w:tcPr>
          <w:p>
            <w:pPr>
              <w:jc w:val="center"/>
              <w:rPr>
                <w:rFonts w:ascii="仿宋" w:hAnsi="仿宋" w:eastAsia="仿宋"/>
              </w:rPr>
            </w:pPr>
          </w:p>
        </w:tc>
        <w:tc>
          <w:tcPr>
            <w:tcW w:w="1183" w:type="dxa"/>
            <w:vAlign w:val="center"/>
          </w:tcPr>
          <w:p>
            <w:pPr>
              <w:jc w:val="center"/>
              <w:rPr>
                <w:rFonts w:ascii="仿宋" w:hAnsi="仿宋" w:eastAsia="仿宋"/>
              </w:rPr>
            </w:pPr>
          </w:p>
        </w:tc>
        <w:tc>
          <w:tcPr>
            <w:tcW w:w="1349"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仿宋" w:hAnsi="仿宋" w:eastAsia="仿宋"/>
              </w:rPr>
            </w:pPr>
          </w:p>
        </w:tc>
        <w:tc>
          <w:tcPr>
            <w:tcW w:w="2546" w:type="dxa"/>
            <w:gridSpan w:val="2"/>
            <w:vAlign w:val="center"/>
          </w:tcPr>
          <w:p>
            <w:pPr>
              <w:rPr>
                <w:rFonts w:ascii="仿宋" w:hAnsi="仿宋" w:eastAsia="仿宋"/>
              </w:rPr>
            </w:pPr>
            <w:r>
              <w:rPr>
                <w:rFonts w:hint="eastAsia" w:ascii="仿宋" w:hAnsi="仿宋" w:eastAsia="仿宋"/>
              </w:rPr>
              <w:t>2：</w:t>
            </w:r>
          </w:p>
        </w:tc>
        <w:tc>
          <w:tcPr>
            <w:tcW w:w="2410" w:type="dxa"/>
            <w:gridSpan w:val="3"/>
            <w:vAlign w:val="center"/>
          </w:tcPr>
          <w:p>
            <w:pPr>
              <w:jc w:val="center"/>
              <w:rPr>
                <w:rFonts w:ascii="仿宋" w:hAnsi="仿宋" w:eastAsia="仿宋"/>
              </w:rPr>
            </w:pPr>
          </w:p>
        </w:tc>
        <w:tc>
          <w:tcPr>
            <w:tcW w:w="1183" w:type="dxa"/>
            <w:vAlign w:val="center"/>
          </w:tcPr>
          <w:p>
            <w:pPr>
              <w:jc w:val="center"/>
              <w:rPr>
                <w:rFonts w:ascii="仿宋" w:hAnsi="仿宋" w:eastAsia="仿宋"/>
              </w:rPr>
            </w:pPr>
          </w:p>
        </w:tc>
        <w:tc>
          <w:tcPr>
            <w:tcW w:w="1349"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jc w:val="center"/>
              <w:rPr>
                <w:rFonts w:ascii="仿宋" w:hAnsi="仿宋" w:eastAsia="仿宋"/>
              </w:rPr>
            </w:pPr>
            <w:r>
              <w:rPr>
                <w:rFonts w:hint="eastAsia" w:ascii="仿宋" w:hAnsi="仿宋" w:eastAsia="仿宋"/>
              </w:rPr>
              <w:t>管理体系认证证书</w:t>
            </w:r>
          </w:p>
        </w:tc>
        <w:tc>
          <w:tcPr>
            <w:tcW w:w="2546" w:type="dxa"/>
            <w:gridSpan w:val="2"/>
            <w:tcBorders>
              <w:right w:val="single" w:color="auto" w:sz="4" w:space="0"/>
            </w:tcBorders>
            <w:vAlign w:val="center"/>
          </w:tcPr>
          <w:p>
            <w:pPr>
              <w:jc w:val="left"/>
              <w:rPr>
                <w:rFonts w:ascii="仿宋" w:hAnsi="仿宋" w:eastAsia="仿宋"/>
              </w:rPr>
            </w:pPr>
            <w:r>
              <w:rPr>
                <w:rFonts w:hint="eastAsia" w:ascii="仿宋" w:hAnsi="仿宋" w:eastAsia="仿宋"/>
              </w:rPr>
              <w:t>1：</w:t>
            </w:r>
          </w:p>
        </w:tc>
        <w:tc>
          <w:tcPr>
            <w:tcW w:w="2410" w:type="dxa"/>
            <w:gridSpan w:val="3"/>
            <w:tcBorders>
              <w:left w:val="single" w:color="auto" w:sz="4" w:space="0"/>
            </w:tcBorders>
            <w:vAlign w:val="center"/>
          </w:tcPr>
          <w:p>
            <w:pPr>
              <w:jc w:val="center"/>
              <w:rPr>
                <w:rFonts w:ascii="仿宋" w:hAnsi="仿宋" w:eastAsia="仿宋"/>
              </w:rPr>
            </w:pPr>
          </w:p>
        </w:tc>
        <w:tc>
          <w:tcPr>
            <w:tcW w:w="1183" w:type="dxa"/>
            <w:tcBorders>
              <w:right w:val="single" w:color="auto" w:sz="4" w:space="0"/>
            </w:tcBorders>
            <w:vAlign w:val="center"/>
          </w:tcPr>
          <w:p>
            <w:pPr>
              <w:jc w:val="center"/>
              <w:rPr>
                <w:rFonts w:ascii="仿宋" w:hAnsi="仿宋" w:eastAsia="仿宋"/>
              </w:rPr>
            </w:pPr>
          </w:p>
        </w:tc>
        <w:tc>
          <w:tcPr>
            <w:tcW w:w="1349" w:type="dxa"/>
            <w:tcBorders>
              <w:lef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仿宋" w:hAnsi="仿宋" w:eastAsia="仿宋"/>
              </w:rPr>
            </w:pPr>
          </w:p>
        </w:tc>
        <w:tc>
          <w:tcPr>
            <w:tcW w:w="2546" w:type="dxa"/>
            <w:gridSpan w:val="2"/>
            <w:tcBorders>
              <w:right w:val="single" w:color="auto" w:sz="4" w:space="0"/>
            </w:tcBorders>
            <w:vAlign w:val="center"/>
          </w:tcPr>
          <w:p>
            <w:pPr>
              <w:jc w:val="left"/>
              <w:rPr>
                <w:rFonts w:ascii="仿宋" w:hAnsi="仿宋" w:eastAsia="仿宋"/>
              </w:rPr>
            </w:pPr>
            <w:r>
              <w:rPr>
                <w:rFonts w:hint="eastAsia" w:ascii="仿宋" w:hAnsi="仿宋" w:eastAsia="仿宋"/>
              </w:rPr>
              <w:t>2：</w:t>
            </w:r>
          </w:p>
        </w:tc>
        <w:tc>
          <w:tcPr>
            <w:tcW w:w="2410" w:type="dxa"/>
            <w:gridSpan w:val="3"/>
            <w:tcBorders>
              <w:left w:val="single" w:color="auto" w:sz="4" w:space="0"/>
            </w:tcBorders>
            <w:vAlign w:val="center"/>
          </w:tcPr>
          <w:p>
            <w:pPr>
              <w:jc w:val="center"/>
              <w:rPr>
                <w:rFonts w:ascii="仿宋" w:hAnsi="仿宋" w:eastAsia="仿宋"/>
              </w:rPr>
            </w:pPr>
          </w:p>
        </w:tc>
        <w:tc>
          <w:tcPr>
            <w:tcW w:w="1183" w:type="dxa"/>
            <w:tcBorders>
              <w:right w:val="single" w:color="auto" w:sz="4" w:space="0"/>
            </w:tcBorders>
            <w:vAlign w:val="center"/>
          </w:tcPr>
          <w:p>
            <w:pPr>
              <w:jc w:val="center"/>
              <w:rPr>
                <w:rFonts w:ascii="仿宋" w:hAnsi="仿宋" w:eastAsia="仿宋"/>
              </w:rPr>
            </w:pPr>
          </w:p>
        </w:tc>
        <w:tc>
          <w:tcPr>
            <w:tcW w:w="1349" w:type="dxa"/>
            <w:tcBorders>
              <w:lef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仿宋" w:hAnsi="仿宋" w:eastAsia="仿宋"/>
              </w:rPr>
            </w:pPr>
          </w:p>
        </w:tc>
        <w:tc>
          <w:tcPr>
            <w:tcW w:w="2546" w:type="dxa"/>
            <w:gridSpan w:val="2"/>
            <w:tcBorders>
              <w:right w:val="single" w:color="auto" w:sz="4" w:space="0"/>
            </w:tcBorders>
            <w:vAlign w:val="center"/>
          </w:tcPr>
          <w:p>
            <w:pPr>
              <w:jc w:val="left"/>
              <w:rPr>
                <w:rFonts w:ascii="仿宋" w:hAnsi="仿宋" w:eastAsia="仿宋"/>
              </w:rPr>
            </w:pPr>
            <w:r>
              <w:rPr>
                <w:rFonts w:hint="eastAsia" w:ascii="仿宋" w:hAnsi="仿宋" w:eastAsia="仿宋"/>
              </w:rPr>
              <w:t>3：</w:t>
            </w:r>
          </w:p>
        </w:tc>
        <w:tc>
          <w:tcPr>
            <w:tcW w:w="2410" w:type="dxa"/>
            <w:gridSpan w:val="3"/>
            <w:tcBorders>
              <w:left w:val="single" w:color="auto" w:sz="4" w:space="0"/>
            </w:tcBorders>
            <w:vAlign w:val="center"/>
          </w:tcPr>
          <w:p>
            <w:pPr>
              <w:jc w:val="center"/>
              <w:rPr>
                <w:rFonts w:ascii="仿宋" w:hAnsi="仿宋" w:eastAsia="仿宋"/>
              </w:rPr>
            </w:pPr>
          </w:p>
        </w:tc>
        <w:tc>
          <w:tcPr>
            <w:tcW w:w="1183" w:type="dxa"/>
            <w:tcBorders>
              <w:right w:val="single" w:color="auto" w:sz="4" w:space="0"/>
            </w:tcBorders>
            <w:vAlign w:val="center"/>
          </w:tcPr>
          <w:p>
            <w:pPr>
              <w:jc w:val="center"/>
              <w:rPr>
                <w:rFonts w:ascii="仿宋" w:hAnsi="仿宋" w:eastAsia="仿宋"/>
              </w:rPr>
            </w:pPr>
          </w:p>
        </w:tc>
        <w:tc>
          <w:tcPr>
            <w:tcW w:w="1349" w:type="dxa"/>
            <w:tcBorders>
              <w:lef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jc w:val="center"/>
              <w:rPr>
                <w:rFonts w:ascii="仿宋" w:hAnsi="仿宋" w:eastAsia="仿宋"/>
              </w:rPr>
            </w:pPr>
            <w:r>
              <w:rPr>
                <w:rFonts w:hint="eastAsia" w:ascii="仿宋" w:hAnsi="仿宋" w:eastAsia="仿宋"/>
              </w:rPr>
              <w:t>信用证书</w:t>
            </w:r>
          </w:p>
        </w:tc>
        <w:tc>
          <w:tcPr>
            <w:tcW w:w="2546" w:type="dxa"/>
            <w:gridSpan w:val="2"/>
            <w:tcBorders>
              <w:right w:val="single" w:color="auto" w:sz="4" w:space="0"/>
            </w:tcBorders>
            <w:vAlign w:val="center"/>
          </w:tcPr>
          <w:p>
            <w:pPr>
              <w:rPr>
                <w:rFonts w:ascii="仿宋" w:hAnsi="仿宋" w:eastAsia="仿宋"/>
              </w:rPr>
            </w:pPr>
            <w:r>
              <w:rPr>
                <w:rFonts w:hint="eastAsia" w:ascii="仿宋" w:hAnsi="仿宋" w:eastAsia="仿宋"/>
              </w:rPr>
              <w:t>1：</w:t>
            </w:r>
          </w:p>
        </w:tc>
        <w:tc>
          <w:tcPr>
            <w:tcW w:w="2410" w:type="dxa"/>
            <w:gridSpan w:val="3"/>
            <w:tcBorders>
              <w:left w:val="single" w:color="auto" w:sz="4" w:space="0"/>
            </w:tcBorders>
            <w:vAlign w:val="center"/>
          </w:tcPr>
          <w:p>
            <w:pPr>
              <w:jc w:val="center"/>
              <w:rPr>
                <w:rFonts w:ascii="仿宋" w:hAnsi="仿宋" w:eastAsia="仿宋"/>
              </w:rPr>
            </w:pPr>
          </w:p>
        </w:tc>
        <w:tc>
          <w:tcPr>
            <w:tcW w:w="1183" w:type="dxa"/>
            <w:tcBorders>
              <w:right w:val="single" w:color="auto" w:sz="4" w:space="0"/>
            </w:tcBorders>
            <w:vAlign w:val="center"/>
          </w:tcPr>
          <w:p>
            <w:pPr>
              <w:jc w:val="center"/>
              <w:rPr>
                <w:rFonts w:ascii="仿宋" w:hAnsi="仿宋" w:eastAsia="仿宋"/>
              </w:rPr>
            </w:pPr>
          </w:p>
        </w:tc>
        <w:tc>
          <w:tcPr>
            <w:tcW w:w="1349" w:type="dxa"/>
            <w:tcBorders>
              <w:left w:val="single" w:color="auto" w:sz="4" w:space="0"/>
            </w:tcBorders>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717" w:type="dxa"/>
            <w:vMerge w:val="continue"/>
            <w:vAlign w:val="center"/>
          </w:tcPr>
          <w:p>
            <w:pPr>
              <w:jc w:val="center"/>
              <w:rPr>
                <w:rFonts w:ascii="仿宋" w:hAnsi="仿宋" w:eastAsia="仿宋"/>
              </w:rPr>
            </w:pPr>
          </w:p>
        </w:tc>
        <w:tc>
          <w:tcPr>
            <w:tcW w:w="2546" w:type="dxa"/>
            <w:gridSpan w:val="2"/>
            <w:tcBorders>
              <w:right w:val="single" w:color="auto" w:sz="4" w:space="0"/>
            </w:tcBorders>
            <w:vAlign w:val="center"/>
          </w:tcPr>
          <w:p>
            <w:pPr>
              <w:rPr>
                <w:rFonts w:ascii="仿宋" w:hAnsi="仿宋" w:eastAsia="仿宋"/>
              </w:rPr>
            </w:pPr>
            <w:r>
              <w:rPr>
                <w:rFonts w:hint="eastAsia" w:ascii="仿宋" w:hAnsi="仿宋" w:eastAsia="仿宋"/>
              </w:rPr>
              <w:t>2：</w:t>
            </w:r>
          </w:p>
        </w:tc>
        <w:tc>
          <w:tcPr>
            <w:tcW w:w="2410" w:type="dxa"/>
            <w:gridSpan w:val="3"/>
            <w:tcBorders>
              <w:left w:val="single" w:color="auto" w:sz="4" w:space="0"/>
            </w:tcBorders>
            <w:vAlign w:val="center"/>
          </w:tcPr>
          <w:p>
            <w:pPr>
              <w:jc w:val="center"/>
              <w:rPr>
                <w:rFonts w:ascii="仿宋" w:hAnsi="仿宋" w:eastAsia="仿宋"/>
              </w:rPr>
            </w:pPr>
          </w:p>
        </w:tc>
        <w:tc>
          <w:tcPr>
            <w:tcW w:w="1183" w:type="dxa"/>
            <w:tcBorders>
              <w:right w:val="single" w:color="auto" w:sz="4" w:space="0"/>
            </w:tcBorders>
            <w:vAlign w:val="center"/>
          </w:tcPr>
          <w:p>
            <w:pPr>
              <w:jc w:val="center"/>
              <w:rPr>
                <w:rFonts w:ascii="仿宋" w:hAnsi="仿宋" w:eastAsia="仿宋"/>
              </w:rPr>
            </w:pPr>
          </w:p>
        </w:tc>
        <w:tc>
          <w:tcPr>
            <w:tcW w:w="1349" w:type="dxa"/>
            <w:tcBorders>
              <w:left w:val="single" w:color="auto" w:sz="4" w:space="0"/>
            </w:tcBorders>
            <w:vAlign w:val="center"/>
          </w:tcPr>
          <w:p>
            <w:pPr>
              <w:jc w:val="center"/>
              <w:rPr>
                <w:rFonts w:ascii="仿宋" w:hAnsi="仿宋" w:eastAsia="仿宋"/>
              </w:rPr>
            </w:pPr>
          </w:p>
        </w:tc>
      </w:tr>
    </w:tbl>
    <w:p>
      <w:pPr>
        <w:ind w:right="210"/>
        <w:jc w:val="left"/>
        <w:rPr>
          <w:rFonts w:ascii="仿宋" w:hAnsi="仿宋" w:eastAsia="仿宋"/>
        </w:rPr>
      </w:pPr>
    </w:p>
    <w:p>
      <w:pPr>
        <w:ind w:right="210"/>
        <w:jc w:val="left"/>
        <w:rPr>
          <w:rFonts w:hint="eastAsia" w:ascii="仿宋" w:hAnsi="仿宋" w:eastAsia="仿宋"/>
          <w:sz w:val="24"/>
          <w:szCs w:val="24"/>
        </w:rPr>
      </w:pPr>
      <w:r>
        <w:rPr>
          <w:rFonts w:hint="eastAsia" w:ascii="仿宋" w:hAnsi="仿宋" w:eastAsia="仿宋"/>
          <w:sz w:val="24"/>
          <w:szCs w:val="24"/>
        </w:rPr>
        <w:t>附证明</w:t>
      </w:r>
      <w:r>
        <w:rPr>
          <w:rFonts w:ascii="仿宋" w:hAnsi="仿宋" w:eastAsia="仿宋"/>
          <w:sz w:val="24"/>
          <w:szCs w:val="24"/>
        </w:rPr>
        <w:t>文件</w:t>
      </w:r>
      <w:r>
        <w:rPr>
          <w:rFonts w:hint="eastAsia" w:ascii="仿宋" w:hAnsi="仿宋" w:eastAsia="仿宋"/>
          <w:sz w:val="24"/>
          <w:szCs w:val="24"/>
        </w:rPr>
        <w:t>复印件</w:t>
      </w:r>
    </w:p>
    <w:p>
      <w:pPr>
        <w:ind w:right="210"/>
        <w:jc w:val="left"/>
        <w:rPr>
          <w:rFonts w:hint="eastAsia" w:ascii="仿宋" w:hAnsi="仿宋" w:eastAsia="仿宋"/>
        </w:rPr>
      </w:pPr>
    </w:p>
    <w:p>
      <w:pPr>
        <w:pStyle w:val="3"/>
        <w:rPr>
          <w:sz w:val="24"/>
        </w:rPr>
        <w:sectPr>
          <w:pgSz w:w="11906" w:h="16838"/>
          <w:pgMar w:top="1440" w:right="1588" w:bottom="1440" w:left="1588" w:header="851" w:footer="992" w:gutter="0"/>
          <w:cols w:space="720" w:num="1"/>
          <w:docGrid w:type="lines" w:linePitch="312" w:charSpace="0"/>
        </w:sectPr>
      </w:pPr>
    </w:p>
    <w:p>
      <w:pPr>
        <w:pStyle w:val="3"/>
        <w:numPr>
          <w:ilvl w:val="0"/>
          <w:numId w:val="5"/>
        </w:numPr>
        <w:rPr>
          <w:rFonts w:hint="eastAsia"/>
        </w:rPr>
      </w:pPr>
      <w:bookmarkStart w:id="314" w:name="_Toc14856860"/>
      <w:bookmarkStart w:id="315" w:name="_Toc433814136"/>
      <w:bookmarkStart w:id="316" w:name="附件八"/>
      <w:r>
        <w:rPr>
          <w:rFonts w:hint="eastAsia"/>
        </w:rPr>
        <w:t>类似业绩资料</w:t>
      </w:r>
      <w:bookmarkEnd w:id="314"/>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autoSpaceDE w:val="0"/>
        <w:autoSpaceDN w:val="0"/>
        <w:adjustRightInd w:val="0"/>
        <w:spacing w:line="360" w:lineRule="auto"/>
        <w:ind w:firstLine="482"/>
        <w:rPr>
          <w:rFonts w:hint="eastAsia" w:ascii="仿宋" w:hAnsi="仿宋" w:eastAsia="仿宋" w:cs="宋体"/>
          <w:kern w:val="0"/>
          <w:sz w:val="24"/>
        </w:rPr>
      </w:pPr>
    </w:p>
    <w:p>
      <w:pPr>
        <w:pStyle w:val="3"/>
      </w:pPr>
      <w:r>
        <w:rPr>
          <w:rFonts w:hint="eastAsia" w:cs="宋体"/>
          <w:sz w:val="24"/>
        </w:rPr>
        <w:br w:type="page"/>
      </w:r>
      <w:bookmarkStart w:id="317" w:name="_Toc14856861"/>
      <w:r>
        <w:rPr>
          <w:rFonts w:hint="eastAsia"/>
        </w:rPr>
        <w:t>七、响应人廉政承诺书</w:t>
      </w:r>
      <w:bookmarkEnd w:id="315"/>
      <w:bookmarkEnd w:id="317"/>
    </w:p>
    <w:bookmarkEnd w:id="316"/>
    <w:p>
      <w:pPr>
        <w:spacing w:after="156" w:afterLines="50" w:line="360" w:lineRule="auto"/>
        <w:jc w:val="center"/>
        <w:rPr>
          <w:rFonts w:ascii="仿宋" w:hAnsi="仿宋" w:eastAsia="仿宋"/>
          <w:b/>
          <w:sz w:val="36"/>
          <w:szCs w:val="36"/>
        </w:rPr>
      </w:pPr>
      <w:r>
        <w:rPr>
          <w:rFonts w:ascii="仿宋" w:hAnsi="仿宋" w:eastAsia="仿宋"/>
          <w:b/>
          <w:sz w:val="36"/>
          <w:szCs w:val="36"/>
        </w:rPr>
        <w:t>响应人廉政承诺书</w:t>
      </w:r>
    </w:p>
    <w:p>
      <w:pPr>
        <w:spacing w:line="520" w:lineRule="exact"/>
        <w:rPr>
          <w:rFonts w:ascii="仿宋" w:hAnsi="仿宋" w:eastAsia="仿宋"/>
          <w:sz w:val="24"/>
        </w:rPr>
      </w:pPr>
      <w:r>
        <w:rPr>
          <w:rFonts w:ascii="仿宋" w:hAnsi="仿宋" w:eastAsia="仿宋"/>
          <w:sz w:val="24"/>
        </w:rPr>
        <w:t>致：</w:t>
      </w:r>
      <w:r>
        <w:rPr>
          <w:rFonts w:hint="eastAsia" w:ascii="仿宋" w:hAnsi="仿宋" w:eastAsia="仿宋"/>
          <w:sz w:val="24"/>
          <w:u w:val="single"/>
        </w:rPr>
        <w:t xml:space="preserve">                                 </w:t>
      </w:r>
    </w:p>
    <w:p>
      <w:pPr>
        <w:spacing w:line="520" w:lineRule="exact"/>
        <w:ind w:firstLine="480" w:firstLineChars="200"/>
        <w:rPr>
          <w:rFonts w:ascii="仿宋" w:hAnsi="仿宋" w:eastAsia="仿宋"/>
          <w:sz w:val="24"/>
        </w:rPr>
      </w:pPr>
      <w:r>
        <w:rPr>
          <w:rFonts w:ascii="仿宋" w:hAnsi="仿宋" w:eastAsia="仿宋"/>
          <w:sz w:val="24"/>
        </w:rPr>
        <w:t>为进一步规范采购活动，防止发生违法违纪行为，体现公开、公平、公正的原则，根据国家法律、法规和廉洁从业有关规定，本响应人特作如下承诺：</w:t>
      </w:r>
    </w:p>
    <w:p>
      <w:pPr>
        <w:spacing w:line="520" w:lineRule="exact"/>
        <w:ind w:firstLine="480" w:firstLineChars="200"/>
        <w:rPr>
          <w:rFonts w:ascii="仿宋" w:hAnsi="仿宋" w:eastAsia="仿宋"/>
          <w:sz w:val="24"/>
        </w:rPr>
      </w:pPr>
      <w:r>
        <w:rPr>
          <w:rFonts w:ascii="仿宋" w:hAnsi="仿宋" w:eastAsia="仿宋"/>
          <w:sz w:val="24"/>
        </w:rPr>
        <w:t>1、所提供的一切材料均真实、有效、合法；</w:t>
      </w:r>
    </w:p>
    <w:p>
      <w:pPr>
        <w:spacing w:line="520" w:lineRule="exact"/>
        <w:ind w:firstLine="480" w:firstLineChars="200"/>
        <w:rPr>
          <w:rFonts w:ascii="仿宋" w:hAnsi="仿宋" w:eastAsia="仿宋"/>
          <w:sz w:val="24"/>
        </w:rPr>
      </w:pPr>
      <w:r>
        <w:rPr>
          <w:rFonts w:ascii="仿宋" w:hAnsi="仿宋" w:eastAsia="仿宋"/>
          <w:sz w:val="24"/>
        </w:rPr>
        <w:t>2、不与其他响应人相互串通报价，进行围标、串标、陪标、抬标等行为，不排挤其他响应人的公平竞争，损害</w:t>
      </w:r>
      <w:r>
        <w:rPr>
          <w:rFonts w:hint="eastAsia" w:ascii="仿宋" w:hAnsi="仿宋" w:eastAsia="仿宋"/>
          <w:sz w:val="24"/>
        </w:rPr>
        <w:t>采购人</w:t>
      </w:r>
      <w:r>
        <w:rPr>
          <w:rFonts w:ascii="仿宋" w:hAnsi="仿宋" w:eastAsia="仿宋"/>
          <w:sz w:val="24"/>
        </w:rPr>
        <w:t>或其他响应人的合法权益；</w:t>
      </w:r>
    </w:p>
    <w:p>
      <w:pPr>
        <w:spacing w:line="520" w:lineRule="exact"/>
        <w:ind w:firstLine="480" w:firstLineChars="200"/>
        <w:rPr>
          <w:rFonts w:ascii="仿宋" w:hAnsi="仿宋" w:eastAsia="仿宋"/>
          <w:sz w:val="24"/>
        </w:rPr>
      </w:pPr>
      <w:r>
        <w:rPr>
          <w:rFonts w:ascii="仿宋" w:hAnsi="仿宋" w:eastAsia="仿宋"/>
          <w:sz w:val="24"/>
        </w:rPr>
        <w:t>3、不与</w:t>
      </w:r>
      <w:r>
        <w:rPr>
          <w:rFonts w:hint="eastAsia" w:ascii="仿宋" w:hAnsi="仿宋" w:eastAsia="仿宋"/>
          <w:sz w:val="24"/>
        </w:rPr>
        <w:t>采购人</w:t>
      </w:r>
      <w:r>
        <w:rPr>
          <w:rFonts w:ascii="仿宋" w:hAnsi="仿宋" w:eastAsia="仿宋"/>
          <w:sz w:val="24"/>
        </w:rPr>
        <w:t>或采购代理机构串通，损害国家利益、社会公共利益或者他人的合法权益；</w:t>
      </w:r>
    </w:p>
    <w:p>
      <w:pPr>
        <w:spacing w:line="520" w:lineRule="exact"/>
        <w:ind w:firstLine="480" w:firstLineChars="200"/>
        <w:rPr>
          <w:rFonts w:ascii="仿宋" w:hAnsi="仿宋" w:eastAsia="仿宋"/>
          <w:sz w:val="24"/>
        </w:rPr>
      </w:pPr>
      <w:r>
        <w:rPr>
          <w:rFonts w:ascii="仿宋" w:hAnsi="仿宋" w:eastAsia="仿宋"/>
          <w:sz w:val="24"/>
        </w:rPr>
        <w:t>4、不以他人名义</w:t>
      </w:r>
      <w:r>
        <w:rPr>
          <w:rFonts w:hint="eastAsia" w:ascii="仿宋" w:hAnsi="仿宋" w:eastAsia="仿宋"/>
          <w:sz w:val="24"/>
        </w:rPr>
        <w:t>参加竞争性谈判</w:t>
      </w:r>
      <w:r>
        <w:rPr>
          <w:rFonts w:ascii="仿宋" w:hAnsi="仿宋" w:eastAsia="仿宋"/>
          <w:sz w:val="24"/>
        </w:rPr>
        <w:t>或以其他方式弄虚作假，骗取</w:t>
      </w:r>
      <w:r>
        <w:rPr>
          <w:rFonts w:hint="eastAsia" w:ascii="仿宋" w:hAnsi="仿宋" w:eastAsia="仿宋"/>
          <w:sz w:val="24"/>
        </w:rPr>
        <w:t>成交</w:t>
      </w:r>
      <w:r>
        <w:rPr>
          <w:rFonts w:ascii="仿宋" w:hAnsi="仿宋" w:eastAsia="仿宋"/>
          <w:sz w:val="24"/>
        </w:rPr>
        <w:t>；</w:t>
      </w:r>
    </w:p>
    <w:p>
      <w:pPr>
        <w:spacing w:line="520" w:lineRule="exact"/>
        <w:ind w:firstLine="480" w:firstLineChars="200"/>
        <w:rPr>
          <w:rFonts w:ascii="仿宋" w:hAnsi="仿宋" w:eastAsia="仿宋"/>
          <w:sz w:val="24"/>
        </w:rPr>
      </w:pPr>
      <w:r>
        <w:rPr>
          <w:rFonts w:ascii="仿宋" w:hAnsi="仿宋" w:eastAsia="仿宋"/>
          <w:sz w:val="24"/>
        </w:rPr>
        <w:t>5、不向</w:t>
      </w:r>
      <w:r>
        <w:rPr>
          <w:rFonts w:hint="eastAsia" w:ascii="仿宋" w:hAnsi="仿宋" w:eastAsia="仿宋"/>
          <w:sz w:val="24"/>
        </w:rPr>
        <w:t>采购人</w:t>
      </w:r>
      <w:r>
        <w:rPr>
          <w:rFonts w:ascii="仿宋" w:hAnsi="仿宋" w:eastAsia="仿宋"/>
          <w:sz w:val="24"/>
        </w:rPr>
        <w:t>、采购代理机构、</w:t>
      </w:r>
      <w:r>
        <w:rPr>
          <w:rFonts w:hint="eastAsia" w:ascii="仿宋" w:hAnsi="仿宋" w:eastAsia="仿宋"/>
          <w:sz w:val="24"/>
        </w:rPr>
        <w:t>谈判小组成员</w:t>
      </w:r>
      <w:r>
        <w:rPr>
          <w:rFonts w:ascii="仿宋" w:hAnsi="仿宋" w:eastAsia="仿宋"/>
          <w:sz w:val="24"/>
        </w:rPr>
        <w:t>行贿，以不正当手段牟取</w:t>
      </w:r>
      <w:r>
        <w:rPr>
          <w:rFonts w:hint="eastAsia" w:ascii="仿宋" w:hAnsi="仿宋" w:eastAsia="仿宋"/>
          <w:sz w:val="24"/>
        </w:rPr>
        <w:t>成交</w:t>
      </w:r>
      <w:r>
        <w:rPr>
          <w:rFonts w:ascii="仿宋" w:hAnsi="仿宋" w:eastAsia="仿宋"/>
          <w:sz w:val="24"/>
        </w:rPr>
        <w:t>；</w:t>
      </w:r>
    </w:p>
    <w:p>
      <w:pPr>
        <w:spacing w:line="520" w:lineRule="exact"/>
        <w:ind w:firstLine="480" w:firstLineChars="200"/>
        <w:rPr>
          <w:rFonts w:ascii="仿宋" w:hAnsi="仿宋" w:eastAsia="仿宋"/>
          <w:sz w:val="24"/>
        </w:rPr>
      </w:pPr>
      <w:r>
        <w:rPr>
          <w:rFonts w:ascii="仿宋" w:hAnsi="仿宋" w:eastAsia="仿宋"/>
          <w:sz w:val="24"/>
        </w:rPr>
        <w:t>6、不向监管人员请客、送礼及组织其他有可能影响客观公正监管的活动；</w:t>
      </w:r>
    </w:p>
    <w:p>
      <w:pPr>
        <w:spacing w:line="520" w:lineRule="exact"/>
        <w:ind w:firstLine="480" w:firstLineChars="200"/>
        <w:rPr>
          <w:rFonts w:ascii="仿宋" w:hAnsi="仿宋" w:eastAsia="仿宋"/>
          <w:sz w:val="24"/>
        </w:rPr>
      </w:pPr>
      <w:r>
        <w:rPr>
          <w:rFonts w:ascii="仿宋" w:hAnsi="仿宋" w:eastAsia="仿宋"/>
          <w:sz w:val="24"/>
        </w:rPr>
        <w:t>7、不私下接触</w:t>
      </w:r>
      <w:r>
        <w:rPr>
          <w:rFonts w:hint="eastAsia" w:ascii="仿宋" w:hAnsi="仿宋" w:eastAsia="仿宋"/>
          <w:sz w:val="24"/>
        </w:rPr>
        <w:t>谈判小组成员</w:t>
      </w:r>
      <w:r>
        <w:rPr>
          <w:rFonts w:ascii="仿宋" w:hAnsi="仿宋" w:eastAsia="仿宋"/>
          <w:sz w:val="24"/>
        </w:rPr>
        <w:t>；</w:t>
      </w:r>
    </w:p>
    <w:p>
      <w:pPr>
        <w:spacing w:line="520" w:lineRule="exact"/>
        <w:ind w:firstLine="480" w:firstLineChars="200"/>
        <w:rPr>
          <w:rFonts w:ascii="仿宋" w:hAnsi="仿宋" w:eastAsia="仿宋"/>
          <w:sz w:val="24"/>
        </w:rPr>
      </w:pPr>
      <w:r>
        <w:rPr>
          <w:rFonts w:ascii="仿宋" w:hAnsi="仿宋" w:eastAsia="仿宋"/>
          <w:sz w:val="24"/>
        </w:rPr>
        <w:t>8、不给因</w:t>
      </w:r>
      <w:r>
        <w:rPr>
          <w:rFonts w:hint="eastAsia" w:ascii="仿宋" w:hAnsi="仿宋" w:eastAsia="仿宋"/>
          <w:sz w:val="24"/>
        </w:rPr>
        <w:t>参加竞争性</w:t>
      </w:r>
      <w:r>
        <w:rPr>
          <w:rFonts w:ascii="仿宋" w:hAnsi="仿宋" w:eastAsia="仿宋"/>
          <w:sz w:val="24"/>
        </w:rPr>
        <w:t>活动被追究的责任人的违法违规行为说情、解脱。</w:t>
      </w:r>
    </w:p>
    <w:p>
      <w:pPr>
        <w:spacing w:line="520" w:lineRule="exact"/>
        <w:ind w:firstLine="480" w:firstLineChars="200"/>
        <w:rPr>
          <w:rFonts w:ascii="仿宋" w:hAnsi="仿宋" w:eastAsia="仿宋"/>
          <w:sz w:val="24"/>
        </w:rPr>
      </w:pPr>
      <w:r>
        <w:rPr>
          <w:rFonts w:ascii="仿宋" w:hAnsi="仿宋" w:eastAsia="仿宋"/>
          <w:sz w:val="24"/>
        </w:rPr>
        <w:t>如出现上述行为，本</w:t>
      </w:r>
      <w:r>
        <w:rPr>
          <w:rFonts w:hint="eastAsia" w:ascii="仿宋" w:hAnsi="仿宋" w:eastAsia="仿宋"/>
          <w:sz w:val="24"/>
        </w:rPr>
        <w:t>响应</w:t>
      </w:r>
      <w:r>
        <w:rPr>
          <w:rFonts w:ascii="仿宋" w:hAnsi="仿宋" w:eastAsia="仿宋"/>
          <w:sz w:val="24"/>
        </w:rPr>
        <w:t>人自愿承担相关法律及其他相关责任。</w:t>
      </w:r>
    </w:p>
    <w:p>
      <w:pPr>
        <w:spacing w:line="520" w:lineRule="exact"/>
        <w:ind w:firstLine="480" w:firstLineChars="200"/>
        <w:rPr>
          <w:rFonts w:ascii="仿宋" w:hAnsi="仿宋" w:eastAsia="仿宋"/>
          <w:sz w:val="24"/>
        </w:rPr>
      </w:pPr>
    </w:p>
    <w:p>
      <w:pPr>
        <w:adjustRightInd w:val="0"/>
        <w:snapToGrid w:val="0"/>
        <w:spacing w:line="360" w:lineRule="auto"/>
        <w:ind w:firstLine="3780" w:firstLineChars="1575"/>
        <w:rPr>
          <w:rFonts w:hint="eastAsia" w:ascii="仿宋" w:hAnsi="仿宋" w:eastAsia="仿宋"/>
          <w:sz w:val="24"/>
        </w:rPr>
      </w:pPr>
    </w:p>
    <w:p>
      <w:pPr>
        <w:spacing w:line="360" w:lineRule="auto"/>
        <w:ind w:firstLine="3967" w:firstLineChars="1653"/>
        <w:rPr>
          <w:rFonts w:ascii="仿宋" w:hAnsi="仿宋" w:eastAsia="仿宋"/>
          <w:sz w:val="24"/>
          <w:szCs w:val="24"/>
        </w:rPr>
      </w:pPr>
      <w:r>
        <w:rPr>
          <w:rFonts w:hint="eastAsia" w:ascii="仿宋" w:hAnsi="仿宋" w:eastAsia="仿宋"/>
          <w:sz w:val="24"/>
          <w:szCs w:val="24"/>
        </w:rPr>
        <w:t>响 应 人：</w:t>
      </w:r>
      <w:r>
        <w:rPr>
          <w:rFonts w:hint="eastAsia" w:ascii="仿宋" w:hAnsi="仿宋" w:eastAsia="仿宋"/>
          <w:sz w:val="24"/>
          <w:szCs w:val="24"/>
          <w:u w:val="single"/>
        </w:rPr>
        <w:t xml:space="preserve">                   </w:t>
      </w:r>
      <w:r>
        <w:rPr>
          <w:rFonts w:hint="eastAsia" w:ascii="仿宋" w:hAnsi="仿宋" w:eastAsia="仿宋"/>
          <w:sz w:val="24"/>
          <w:szCs w:val="24"/>
        </w:rPr>
        <w:t>（盖单位章）</w:t>
      </w:r>
    </w:p>
    <w:p>
      <w:pPr>
        <w:spacing w:line="360" w:lineRule="auto"/>
        <w:ind w:firstLine="3967" w:firstLineChars="1653"/>
        <w:rPr>
          <w:rFonts w:ascii="仿宋" w:hAnsi="仿宋" w:eastAsia="仿宋"/>
          <w:sz w:val="24"/>
          <w:szCs w:val="24"/>
        </w:rPr>
      </w:pPr>
      <w:r>
        <w:rPr>
          <w:rFonts w:hint="eastAsia" w:ascii="仿宋" w:hAnsi="仿宋" w:eastAsia="仿宋"/>
          <w:sz w:val="24"/>
          <w:szCs w:val="24"/>
        </w:rPr>
        <w:t>法定代表人或其委托代理人：</w:t>
      </w:r>
      <w:r>
        <w:rPr>
          <w:rFonts w:hint="eastAsia" w:ascii="仿宋" w:hAnsi="仿宋" w:eastAsia="仿宋"/>
          <w:sz w:val="24"/>
          <w:szCs w:val="24"/>
          <w:u w:val="single"/>
        </w:rPr>
        <w:t xml:space="preserve">       </w:t>
      </w:r>
      <w:r>
        <w:rPr>
          <w:rFonts w:hint="eastAsia" w:ascii="仿宋" w:hAnsi="仿宋" w:eastAsia="仿宋"/>
          <w:sz w:val="24"/>
          <w:szCs w:val="24"/>
        </w:rPr>
        <w:t>（签字）</w:t>
      </w:r>
    </w:p>
    <w:p>
      <w:pPr>
        <w:spacing w:line="360" w:lineRule="auto"/>
        <w:ind w:firstLine="3967" w:firstLineChars="1653"/>
        <w:rPr>
          <w:rFonts w:ascii="仿宋" w:hAnsi="仿宋" w:eastAsia="仿宋"/>
          <w:b/>
          <w:kern w:val="0"/>
          <w:sz w:val="24"/>
          <w:szCs w:val="24"/>
        </w:rPr>
      </w:pP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line="520" w:lineRule="exact"/>
        <w:ind w:firstLine="5040" w:firstLineChars="2100"/>
        <w:rPr>
          <w:rFonts w:ascii="仿宋" w:hAnsi="仿宋" w:eastAsia="仿宋"/>
          <w:sz w:val="24"/>
        </w:rPr>
      </w:pPr>
    </w:p>
    <w:p>
      <w:pPr>
        <w:spacing w:line="440" w:lineRule="exact"/>
        <w:jc w:val="center"/>
        <w:rPr>
          <w:rFonts w:ascii="仿宋" w:hAnsi="仿宋" w:eastAsia="仿宋"/>
          <w:sz w:val="20"/>
          <w:szCs w:val="20"/>
        </w:rPr>
        <w:sectPr>
          <w:pgSz w:w="11906" w:h="16838"/>
          <w:pgMar w:top="1440" w:right="1588" w:bottom="1440" w:left="1588" w:header="851" w:footer="992" w:gutter="0"/>
          <w:cols w:space="720" w:num="1"/>
          <w:docGrid w:type="lines" w:linePitch="312" w:charSpace="0"/>
        </w:sectPr>
      </w:pPr>
    </w:p>
    <w:p>
      <w:pPr>
        <w:pStyle w:val="3"/>
      </w:pPr>
      <w:bookmarkStart w:id="318" w:name="_Toc14856862"/>
      <w:bookmarkStart w:id="319" w:name="附件九"/>
      <w:r>
        <w:rPr>
          <w:rFonts w:hint="eastAsia"/>
        </w:rPr>
        <w:t>八、商务偏差表</w:t>
      </w:r>
      <w:bookmarkEnd w:id="318"/>
    </w:p>
    <w:bookmarkEnd w:id="319"/>
    <w:tbl>
      <w:tblPr>
        <w:tblStyle w:val="21"/>
        <w:tblW w:w="9072"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
      <w:tblGrid>
        <w:gridCol w:w="894"/>
        <w:gridCol w:w="1316"/>
        <w:gridCol w:w="981"/>
        <w:gridCol w:w="2520"/>
        <w:gridCol w:w="1961"/>
        <w:gridCol w:w="140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restart"/>
            <w:vAlign w:val="center"/>
          </w:tcPr>
          <w:p>
            <w:pPr>
              <w:overflowPunct w:val="0"/>
              <w:topLinePunct/>
              <w:spacing w:before="100" w:after="100"/>
              <w:jc w:val="center"/>
              <w:rPr>
                <w:rFonts w:hint="eastAsia" w:ascii="仿宋" w:hAnsi="仿宋" w:eastAsia="仿宋"/>
                <w:position w:val="-9"/>
                <w:szCs w:val="21"/>
              </w:rPr>
            </w:pPr>
            <w:r>
              <w:rPr>
                <w:rFonts w:hint="eastAsia" w:ascii="仿宋" w:hAnsi="仿宋" w:eastAsia="仿宋"/>
                <w:position w:val="-9"/>
                <w:szCs w:val="21"/>
              </w:rPr>
              <w:t>商务</w:t>
            </w:r>
          </w:p>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偏差</w:t>
            </w:r>
          </w:p>
        </w:tc>
        <w:tc>
          <w:tcPr>
            <w:tcW w:w="1316"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条目</w:t>
            </w:r>
          </w:p>
        </w:tc>
        <w:tc>
          <w:tcPr>
            <w:tcW w:w="981"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页码</w:t>
            </w:r>
          </w:p>
        </w:tc>
        <w:tc>
          <w:tcPr>
            <w:tcW w:w="2520"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采购文件规定</w:t>
            </w:r>
          </w:p>
        </w:tc>
        <w:tc>
          <w:tcPr>
            <w:tcW w:w="1961"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偏差</w:t>
            </w:r>
          </w:p>
        </w:tc>
        <w:tc>
          <w:tcPr>
            <w:tcW w:w="1400"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top"/>
          </w:tcPr>
          <w:p>
            <w:pPr>
              <w:overflowPunct w:val="0"/>
              <w:topLinePunct/>
              <w:spacing w:before="100" w:after="100"/>
              <w:jc w:val="center"/>
              <w:rPr>
                <w:rFonts w:ascii="仿宋" w:hAnsi="仿宋" w:eastAsia="仿宋"/>
                <w:position w:val="-9"/>
                <w:szCs w:val="21"/>
              </w:rPr>
            </w:pPr>
          </w:p>
        </w:tc>
        <w:tc>
          <w:tcPr>
            <w:tcW w:w="1316" w:type="dxa"/>
            <w:vAlign w:val="top"/>
          </w:tcPr>
          <w:p>
            <w:pPr>
              <w:overflowPunct w:val="0"/>
              <w:topLinePunct/>
              <w:spacing w:before="100" w:after="100"/>
              <w:jc w:val="center"/>
              <w:rPr>
                <w:rFonts w:ascii="仿宋" w:hAnsi="仿宋" w:eastAsia="仿宋"/>
                <w:position w:val="-9"/>
                <w:szCs w:val="21"/>
              </w:rPr>
            </w:pPr>
          </w:p>
        </w:tc>
        <w:tc>
          <w:tcPr>
            <w:tcW w:w="981" w:type="dxa"/>
            <w:vAlign w:val="top"/>
          </w:tcPr>
          <w:p>
            <w:pPr>
              <w:overflowPunct w:val="0"/>
              <w:topLinePunct/>
              <w:spacing w:before="100" w:after="100"/>
              <w:jc w:val="center"/>
              <w:rPr>
                <w:rFonts w:ascii="仿宋" w:hAnsi="仿宋" w:eastAsia="仿宋"/>
                <w:position w:val="-9"/>
                <w:szCs w:val="21"/>
              </w:rPr>
            </w:pPr>
          </w:p>
        </w:tc>
        <w:tc>
          <w:tcPr>
            <w:tcW w:w="2520" w:type="dxa"/>
            <w:vAlign w:val="top"/>
          </w:tcPr>
          <w:p>
            <w:pPr>
              <w:overflowPunct w:val="0"/>
              <w:topLinePunct/>
              <w:spacing w:before="100" w:after="100"/>
              <w:jc w:val="center"/>
              <w:rPr>
                <w:rFonts w:ascii="仿宋" w:hAnsi="仿宋" w:eastAsia="仿宋"/>
                <w:position w:val="-9"/>
                <w:szCs w:val="21"/>
              </w:rPr>
            </w:pPr>
          </w:p>
        </w:tc>
        <w:tc>
          <w:tcPr>
            <w:tcW w:w="1961" w:type="dxa"/>
            <w:vAlign w:val="top"/>
          </w:tcPr>
          <w:p>
            <w:pPr>
              <w:overflowPunct w:val="0"/>
              <w:topLinePunct/>
              <w:spacing w:before="100" w:after="100"/>
              <w:jc w:val="center"/>
              <w:rPr>
                <w:rFonts w:ascii="仿宋" w:hAnsi="仿宋" w:eastAsia="仿宋"/>
                <w:position w:val="-9"/>
                <w:szCs w:val="21"/>
              </w:rPr>
            </w:pPr>
          </w:p>
        </w:tc>
        <w:tc>
          <w:tcPr>
            <w:tcW w:w="1400" w:type="dxa"/>
            <w:vAlign w:val="top"/>
          </w:tcPr>
          <w:p>
            <w:pPr>
              <w:overflowPunct w:val="0"/>
              <w:topLinePunct/>
              <w:spacing w:before="100" w:after="100"/>
              <w:jc w:val="center"/>
              <w:rPr>
                <w:rFonts w:ascii="仿宋" w:hAnsi="仿宋" w:eastAsia="仿宋"/>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top"/>
          </w:tcPr>
          <w:p>
            <w:pPr>
              <w:overflowPunct w:val="0"/>
              <w:topLinePunct/>
              <w:spacing w:before="100" w:after="100"/>
              <w:jc w:val="center"/>
              <w:rPr>
                <w:rFonts w:ascii="仿宋" w:hAnsi="仿宋" w:eastAsia="仿宋"/>
                <w:position w:val="-9"/>
                <w:szCs w:val="21"/>
              </w:rPr>
            </w:pPr>
          </w:p>
        </w:tc>
        <w:tc>
          <w:tcPr>
            <w:tcW w:w="1316" w:type="dxa"/>
            <w:vAlign w:val="top"/>
          </w:tcPr>
          <w:p>
            <w:pPr>
              <w:overflowPunct w:val="0"/>
              <w:topLinePunct/>
              <w:spacing w:before="100" w:after="100"/>
              <w:jc w:val="center"/>
              <w:rPr>
                <w:rFonts w:ascii="仿宋" w:hAnsi="仿宋" w:eastAsia="仿宋"/>
                <w:position w:val="-9"/>
                <w:szCs w:val="21"/>
              </w:rPr>
            </w:pPr>
          </w:p>
        </w:tc>
        <w:tc>
          <w:tcPr>
            <w:tcW w:w="981" w:type="dxa"/>
            <w:vAlign w:val="top"/>
          </w:tcPr>
          <w:p>
            <w:pPr>
              <w:overflowPunct w:val="0"/>
              <w:topLinePunct/>
              <w:spacing w:before="100" w:after="100"/>
              <w:jc w:val="center"/>
              <w:rPr>
                <w:rFonts w:ascii="仿宋" w:hAnsi="仿宋" w:eastAsia="仿宋"/>
                <w:position w:val="-9"/>
                <w:szCs w:val="21"/>
              </w:rPr>
            </w:pPr>
          </w:p>
        </w:tc>
        <w:tc>
          <w:tcPr>
            <w:tcW w:w="2520" w:type="dxa"/>
            <w:vAlign w:val="top"/>
          </w:tcPr>
          <w:p>
            <w:pPr>
              <w:overflowPunct w:val="0"/>
              <w:topLinePunct/>
              <w:spacing w:before="100" w:after="100"/>
              <w:jc w:val="center"/>
              <w:rPr>
                <w:rFonts w:ascii="仿宋" w:hAnsi="仿宋" w:eastAsia="仿宋"/>
                <w:position w:val="-9"/>
                <w:szCs w:val="21"/>
              </w:rPr>
            </w:pPr>
          </w:p>
        </w:tc>
        <w:tc>
          <w:tcPr>
            <w:tcW w:w="1961" w:type="dxa"/>
            <w:vAlign w:val="top"/>
          </w:tcPr>
          <w:p>
            <w:pPr>
              <w:overflowPunct w:val="0"/>
              <w:topLinePunct/>
              <w:spacing w:before="100" w:after="100"/>
              <w:jc w:val="center"/>
              <w:rPr>
                <w:rFonts w:ascii="仿宋" w:hAnsi="仿宋" w:eastAsia="仿宋"/>
                <w:position w:val="-9"/>
                <w:szCs w:val="21"/>
              </w:rPr>
            </w:pPr>
          </w:p>
        </w:tc>
        <w:tc>
          <w:tcPr>
            <w:tcW w:w="1400" w:type="dxa"/>
            <w:vAlign w:val="top"/>
          </w:tcPr>
          <w:p>
            <w:pPr>
              <w:overflowPunct w:val="0"/>
              <w:topLinePunct/>
              <w:spacing w:before="100" w:after="100"/>
              <w:jc w:val="center"/>
              <w:rPr>
                <w:rFonts w:ascii="仿宋" w:hAnsi="仿宋" w:eastAsia="仿宋"/>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top"/>
          </w:tcPr>
          <w:p>
            <w:pPr>
              <w:overflowPunct w:val="0"/>
              <w:topLinePunct/>
              <w:spacing w:before="100" w:after="100"/>
              <w:jc w:val="center"/>
              <w:rPr>
                <w:rFonts w:ascii="仿宋" w:hAnsi="仿宋" w:eastAsia="仿宋"/>
                <w:position w:val="-9"/>
                <w:szCs w:val="21"/>
              </w:rPr>
            </w:pPr>
          </w:p>
        </w:tc>
        <w:tc>
          <w:tcPr>
            <w:tcW w:w="1316" w:type="dxa"/>
            <w:vAlign w:val="top"/>
          </w:tcPr>
          <w:p>
            <w:pPr>
              <w:overflowPunct w:val="0"/>
              <w:topLinePunct/>
              <w:spacing w:before="100" w:after="100"/>
              <w:jc w:val="center"/>
              <w:rPr>
                <w:rFonts w:ascii="仿宋" w:hAnsi="仿宋" w:eastAsia="仿宋"/>
                <w:position w:val="-9"/>
                <w:szCs w:val="21"/>
              </w:rPr>
            </w:pPr>
          </w:p>
        </w:tc>
        <w:tc>
          <w:tcPr>
            <w:tcW w:w="981" w:type="dxa"/>
            <w:vAlign w:val="top"/>
          </w:tcPr>
          <w:p>
            <w:pPr>
              <w:overflowPunct w:val="0"/>
              <w:topLinePunct/>
              <w:spacing w:before="100" w:after="100"/>
              <w:jc w:val="center"/>
              <w:rPr>
                <w:rFonts w:ascii="仿宋" w:hAnsi="仿宋" w:eastAsia="仿宋"/>
                <w:position w:val="-9"/>
                <w:szCs w:val="21"/>
              </w:rPr>
            </w:pPr>
          </w:p>
        </w:tc>
        <w:tc>
          <w:tcPr>
            <w:tcW w:w="2520" w:type="dxa"/>
            <w:vAlign w:val="top"/>
          </w:tcPr>
          <w:p>
            <w:pPr>
              <w:overflowPunct w:val="0"/>
              <w:topLinePunct/>
              <w:spacing w:before="100" w:after="100"/>
              <w:jc w:val="center"/>
              <w:rPr>
                <w:rFonts w:ascii="仿宋" w:hAnsi="仿宋" w:eastAsia="仿宋"/>
                <w:position w:val="-9"/>
                <w:szCs w:val="21"/>
              </w:rPr>
            </w:pPr>
          </w:p>
        </w:tc>
        <w:tc>
          <w:tcPr>
            <w:tcW w:w="1961" w:type="dxa"/>
            <w:vAlign w:val="top"/>
          </w:tcPr>
          <w:p>
            <w:pPr>
              <w:overflowPunct w:val="0"/>
              <w:topLinePunct/>
              <w:spacing w:before="100" w:after="100"/>
              <w:jc w:val="center"/>
              <w:rPr>
                <w:rFonts w:ascii="仿宋" w:hAnsi="仿宋" w:eastAsia="仿宋"/>
                <w:position w:val="-9"/>
                <w:szCs w:val="21"/>
              </w:rPr>
            </w:pPr>
          </w:p>
        </w:tc>
        <w:tc>
          <w:tcPr>
            <w:tcW w:w="1400" w:type="dxa"/>
            <w:vAlign w:val="top"/>
          </w:tcPr>
          <w:p>
            <w:pPr>
              <w:overflowPunct w:val="0"/>
              <w:topLinePunct/>
              <w:spacing w:before="100" w:after="100"/>
              <w:jc w:val="center"/>
              <w:rPr>
                <w:rFonts w:ascii="仿宋" w:hAnsi="仿宋" w:eastAsia="仿宋"/>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top"/>
          </w:tcPr>
          <w:p>
            <w:pPr>
              <w:overflowPunct w:val="0"/>
              <w:topLinePunct/>
              <w:spacing w:before="100" w:after="100"/>
              <w:jc w:val="center"/>
              <w:rPr>
                <w:rFonts w:ascii="仿宋" w:hAnsi="仿宋" w:eastAsia="仿宋"/>
                <w:position w:val="-9"/>
                <w:szCs w:val="21"/>
              </w:rPr>
            </w:pPr>
          </w:p>
        </w:tc>
        <w:tc>
          <w:tcPr>
            <w:tcW w:w="1316" w:type="dxa"/>
            <w:vAlign w:val="top"/>
          </w:tcPr>
          <w:p>
            <w:pPr>
              <w:overflowPunct w:val="0"/>
              <w:topLinePunct/>
              <w:spacing w:before="100" w:after="100"/>
              <w:jc w:val="center"/>
              <w:rPr>
                <w:rFonts w:ascii="仿宋" w:hAnsi="仿宋" w:eastAsia="仿宋"/>
                <w:position w:val="-9"/>
                <w:szCs w:val="21"/>
              </w:rPr>
            </w:pPr>
          </w:p>
        </w:tc>
        <w:tc>
          <w:tcPr>
            <w:tcW w:w="981" w:type="dxa"/>
            <w:vAlign w:val="top"/>
          </w:tcPr>
          <w:p>
            <w:pPr>
              <w:overflowPunct w:val="0"/>
              <w:topLinePunct/>
              <w:spacing w:before="100" w:after="100"/>
              <w:jc w:val="center"/>
              <w:rPr>
                <w:rFonts w:ascii="仿宋" w:hAnsi="仿宋" w:eastAsia="仿宋"/>
                <w:position w:val="-9"/>
                <w:szCs w:val="21"/>
              </w:rPr>
            </w:pPr>
          </w:p>
        </w:tc>
        <w:tc>
          <w:tcPr>
            <w:tcW w:w="2520" w:type="dxa"/>
            <w:vAlign w:val="top"/>
          </w:tcPr>
          <w:p>
            <w:pPr>
              <w:overflowPunct w:val="0"/>
              <w:topLinePunct/>
              <w:spacing w:before="100" w:after="100"/>
              <w:jc w:val="center"/>
              <w:rPr>
                <w:rFonts w:ascii="仿宋" w:hAnsi="仿宋" w:eastAsia="仿宋"/>
                <w:position w:val="-9"/>
                <w:szCs w:val="21"/>
              </w:rPr>
            </w:pPr>
          </w:p>
        </w:tc>
        <w:tc>
          <w:tcPr>
            <w:tcW w:w="1961" w:type="dxa"/>
            <w:vAlign w:val="top"/>
          </w:tcPr>
          <w:p>
            <w:pPr>
              <w:overflowPunct w:val="0"/>
              <w:topLinePunct/>
              <w:spacing w:before="100" w:after="100"/>
              <w:jc w:val="center"/>
              <w:rPr>
                <w:rFonts w:ascii="仿宋" w:hAnsi="仿宋" w:eastAsia="仿宋"/>
                <w:position w:val="-9"/>
                <w:szCs w:val="21"/>
              </w:rPr>
            </w:pPr>
          </w:p>
        </w:tc>
        <w:tc>
          <w:tcPr>
            <w:tcW w:w="1400" w:type="dxa"/>
            <w:vAlign w:val="top"/>
          </w:tcPr>
          <w:p>
            <w:pPr>
              <w:overflowPunct w:val="0"/>
              <w:topLinePunct/>
              <w:spacing w:before="100" w:after="100"/>
              <w:jc w:val="center"/>
              <w:rPr>
                <w:rFonts w:ascii="仿宋" w:hAnsi="仿宋" w:eastAsia="仿宋"/>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top"/>
          </w:tcPr>
          <w:p>
            <w:pPr>
              <w:overflowPunct w:val="0"/>
              <w:topLinePunct/>
              <w:spacing w:before="100" w:after="100"/>
              <w:jc w:val="center"/>
              <w:rPr>
                <w:rFonts w:ascii="仿宋" w:hAnsi="仿宋" w:eastAsia="仿宋"/>
                <w:position w:val="-9"/>
                <w:szCs w:val="21"/>
              </w:rPr>
            </w:pPr>
          </w:p>
        </w:tc>
        <w:tc>
          <w:tcPr>
            <w:tcW w:w="1316" w:type="dxa"/>
            <w:vAlign w:val="top"/>
          </w:tcPr>
          <w:p>
            <w:pPr>
              <w:overflowPunct w:val="0"/>
              <w:topLinePunct/>
              <w:spacing w:before="100" w:after="100"/>
              <w:jc w:val="center"/>
              <w:rPr>
                <w:rFonts w:ascii="仿宋" w:hAnsi="仿宋" w:eastAsia="仿宋"/>
                <w:position w:val="-9"/>
                <w:szCs w:val="21"/>
              </w:rPr>
            </w:pPr>
          </w:p>
        </w:tc>
        <w:tc>
          <w:tcPr>
            <w:tcW w:w="981" w:type="dxa"/>
            <w:vAlign w:val="top"/>
          </w:tcPr>
          <w:p>
            <w:pPr>
              <w:overflowPunct w:val="0"/>
              <w:topLinePunct/>
              <w:spacing w:before="100" w:after="100"/>
              <w:jc w:val="center"/>
              <w:rPr>
                <w:rFonts w:ascii="仿宋" w:hAnsi="仿宋" w:eastAsia="仿宋"/>
                <w:position w:val="-9"/>
                <w:szCs w:val="21"/>
              </w:rPr>
            </w:pPr>
          </w:p>
        </w:tc>
        <w:tc>
          <w:tcPr>
            <w:tcW w:w="2520" w:type="dxa"/>
            <w:vAlign w:val="top"/>
          </w:tcPr>
          <w:p>
            <w:pPr>
              <w:overflowPunct w:val="0"/>
              <w:topLinePunct/>
              <w:spacing w:before="100" w:after="100"/>
              <w:jc w:val="center"/>
              <w:rPr>
                <w:rFonts w:ascii="仿宋" w:hAnsi="仿宋" w:eastAsia="仿宋"/>
                <w:position w:val="-9"/>
                <w:szCs w:val="21"/>
              </w:rPr>
            </w:pPr>
          </w:p>
        </w:tc>
        <w:tc>
          <w:tcPr>
            <w:tcW w:w="1961" w:type="dxa"/>
            <w:vAlign w:val="top"/>
          </w:tcPr>
          <w:p>
            <w:pPr>
              <w:overflowPunct w:val="0"/>
              <w:topLinePunct/>
              <w:spacing w:before="100" w:after="100"/>
              <w:jc w:val="center"/>
              <w:rPr>
                <w:rFonts w:ascii="仿宋" w:hAnsi="仿宋" w:eastAsia="仿宋"/>
                <w:position w:val="-9"/>
                <w:szCs w:val="21"/>
              </w:rPr>
            </w:pPr>
          </w:p>
        </w:tc>
        <w:tc>
          <w:tcPr>
            <w:tcW w:w="1400" w:type="dxa"/>
            <w:vAlign w:val="top"/>
          </w:tcPr>
          <w:p>
            <w:pPr>
              <w:overflowPunct w:val="0"/>
              <w:topLinePunct/>
              <w:spacing w:before="100" w:after="100"/>
              <w:jc w:val="center"/>
              <w:rPr>
                <w:rFonts w:ascii="仿宋" w:hAnsi="仿宋" w:eastAsia="仿宋"/>
                <w:position w:val="-9"/>
                <w:szCs w:val="21"/>
              </w:rPr>
            </w:pPr>
          </w:p>
        </w:tc>
      </w:tr>
    </w:tbl>
    <w:p>
      <w:pPr>
        <w:rPr>
          <w:rFonts w:hint="eastAsia" w:ascii="仿宋" w:hAnsi="仿宋" w:eastAsia="仿宋"/>
        </w:rPr>
      </w:pPr>
    </w:p>
    <w:p>
      <w:pPr>
        <w:rPr>
          <w:rFonts w:ascii="仿宋" w:hAnsi="仿宋" w:eastAsia="仿宋"/>
        </w:rPr>
      </w:pPr>
    </w:p>
    <w:p>
      <w:pPr>
        <w:spacing w:line="360" w:lineRule="auto"/>
        <w:ind w:firstLine="3967" w:firstLineChars="1653"/>
        <w:rPr>
          <w:rFonts w:ascii="仿宋" w:hAnsi="仿宋" w:eastAsia="仿宋"/>
          <w:sz w:val="24"/>
          <w:szCs w:val="24"/>
        </w:rPr>
      </w:pPr>
      <w:r>
        <w:rPr>
          <w:rFonts w:hint="eastAsia" w:ascii="仿宋" w:hAnsi="仿宋" w:eastAsia="仿宋"/>
          <w:sz w:val="24"/>
          <w:szCs w:val="24"/>
        </w:rPr>
        <w:t>响 应 人：</w:t>
      </w:r>
      <w:r>
        <w:rPr>
          <w:rFonts w:hint="eastAsia" w:ascii="仿宋" w:hAnsi="仿宋" w:eastAsia="仿宋"/>
          <w:sz w:val="24"/>
          <w:szCs w:val="24"/>
          <w:u w:val="single"/>
        </w:rPr>
        <w:t xml:space="preserve">                   </w:t>
      </w:r>
      <w:r>
        <w:rPr>
          <w:rFonts w:hint="eastAsia" w:ascii="仿宋" w:hAnsi="仿宋" w:eastAsia="仿宋"/>
          <w:sz w:val="24"/>
          <w:szCs w:val="24"/>
        </w:rPr>
        <w:t>（盖单位章）</w:t>
      </w:r>
    </w:p>
    <w:p>
      <w:pPr>
        <w:spacing w:line="360" w:lineRule="auto"/>
        <w:ind w:firstLine="3967" w:firstLineChars="1653"/>
        <w:rPr>
          <w:rFonts w:ascii="仿宋" w:hAnsi="仿宋" w:eastAsia="仿宋"/>
          <w:sz w:val="24"/>
          <w:szCs w:val="24"/>
        </w:rPr>
      </w:pPr>
      <w:r>
        <w:rPr>
          <w:rFonts w:hint="eastAsia" w:ascii="仿宋" w:hAnsi="仿宋" w:eastAsia="仿宋"/>
          <w:sz w:val="24"/>
          <w:szCs w:val="24"/>
        </w:rPr>
        <w:t>法定代表人或其委托代理人：</w:t>
      </w:r>
      <w:r>
        <w:rPr>
          <w:rFonts w:hint="eastAsia" w:ascii="仿宋" w:hAnsi="仿宋" w:eastAsia="仿宋"/>
          <w:sz w:val="24"/>
          <w:szCs w:val="24"/>
          <w:u w:val="single"/>
        </w:rPr>
        <w:t xml:space="preserve">       </w:t>
      </w:r>
      <w:r>
        <w:rPr>
          <w:rFonts w:hint="eastAsia" w:ascii="仿宋" w:hAnsi="仿宋" w:eastAsia="仿宋"/>
          <w:sz w:val="24"/>
          <w:szCs w:val="24"/>
        </w:rPr>
        <w:t>（签字）</w:t>
      </w:r>
    </w:p>
    <w:p>
      <w:pPr>
        <w:tabs>
          <w:tab w:val="left" w:pos="945"/>
          <w:tab w:val="right" w:leader="dot" w:pos="8040"/>
        </w:tabs>
        <w:ind w:firstLine="3960" w:firstLineChars="1650"/>
        <w:rPr>
          <w:rFonts w:ascii="仿宋" w:hAnsi="仿宋" w:eastAsia="仿宋"/>
        </w:rPr>
      </w:pP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pStyle w:val="3"/>
        <w:rPr>
          <w:spacing w:val="20"/>
          <w:u w:val="single"/>
        </w:rPr>
      </w:pPr>
      <w:r>
        <w:br w:type="page"/>
      </w:r>
      <w:bookmarkStart w:id="320" w:name="_Toc433814139"/>
      <w:bookmarkStart w:id="321" w:name="附件十"/>
      <w:bookmarkStart w:id="322" w:name="_Toc14856863"/>
      <w:bookmarkStart w:id="323" w:name="_Toc22147"/>
      <w:r>
        <w:rPr>
          <w:rFonts w:hint="eastAsia"/>
        </w:rPr>
        <w:t>九、响应人应补充的其它商务资料</w:t>
      </w:r>
      <w:bookmarkEnd w:id="320"/>
      <w:bookmarkEnd w:id="321"/>
      <w:bookmarkEnd w:id="322"/>
    </w:p>
    <w:bookmarkEnd w:id="323"/>
    <w:p>
      <w:pPr>
        <w:tabs>
          <w:tab w:val="left" w:pos="540"/>
        </w:tabs>
        <w:ind w:firstLine="250" w:firstLineChars="100"/>
        <w:rPr>
          <w:rFonts w:ascii="仿宋" w:hAnsi="仿宋" w:eastAsia="仿宋"/>
          <w:spacing w:val="20"/>
          <w:u w:val="single"/>
        </w:rPr>
      </w:pPr>
    </w:p>
    <w:p>
      <w:pPr>
        <w:tabs>
          <w:tab w:val="left" w:pos="540"/>
        </w:tabs>
        <w:ind w:firstLine="250" w:firstLineChars="100"/>
        <w:rPr>
          <w:rFonts w:ascii="仿宋" w:hAnsi="仿宋" w:eastAsia="仿宋"/>
          <w:spacing w:val="20"/>
          <w:u w:val="single"/>
        </w:rPr>
      </w:pPr>
    </w:p>
    <w:p>
      <w:pPr>
        <w:tabs>
          <w:tab w:val="left" w:pos="540"/>
        </w:tabs>
        <w:ind w:firstLine="250" w:firstLineChars="100"/>
        <w:rPr>
          <w:rFonts w:ascii="仿宋" w:hAnsi="仿宋" w:eastAsia="仿宋"/>
          <w:spacing w:val="20"/>
          <w:u w:val="single"/>
        </w:rPr>
      </w:pPr>
    </w:p>
    <w:p>
      <w:pPr>
        <w:pStyle w:val="3"/>
        <w:rPr>
          <w:sz w:val="32"/>
          <w:szCs w:val="32"/>
        </w:rPr>
      </w:pPr>
      <w:r>
        <w:br w:type="page"/>
      </w:r>
      <w:bookmarkStart w:id="324" w:name="_Toc433814141"/>
      <w:bookmarkStart w:id="325" w:name="附件十一"/>
      <w:bookmarkStart w:id="326" w:name="_Toc14856864"/>
      <w:r>
        <w:rPr>
          <w:rFonts w:hint="eastAsia"/>
        </w:rPr>
        <w:t>十、技术偏差表</w:t>
      </w:r>
      <w:bookmarkEnd w:id="324"/>
      <w:bookmarkEnd w:id="325"/>
      <w:bookmarkEnd w:id="326"/>
    </w:p>
    <w:p>
      <w:pPr>
        <w:rPr>
          <w:rFonts w:ascii="仿宋" w:hAnsi="仿宋" w:eastAsia="仿宋"/>
        </w:rPr>
      </w:pPr>
    </w:p>
    <w:tbl>
      <w:tblPr>
        <w:tblStyle w:val="21"/>
        <w:tblW w:w="9072"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
      <w:tblGrid>
        <w:gridCol w:w="894"/>
        <w:gridCol w:w="1316"/>
        <w:gridCol w:w="981"/>
        <w:gridCol w:w="2520"/>
        <w:gridCol w:w="1961"/>
        <w:gridCol w:w="140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restart"/>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技术偏差</w:t>
            </w:r>
          </w:p>
        </w:tc>
        <w:tc>
          <w:tcPr>
            <w:tcW w:w="1316"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条目</w:t>
            </w:r>
          </w:p>
        </w:tc>
        <w:tc>
          <w:tcPr>
            <w:tcW w:w="981"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页码</w:t>
            </w:r>
          </w:p>
        </w:tc>
        <w:tc>
          <w:tcPr>
            <w:tcW w:w="2520"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采购文件规定</w:t>
            </w:r>
          </w:p>
        </w:tc>
        <w:tc>
          <w:tcPr>
            <w:tcW w:w="1961"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偏差</w:t>
            </w:r>
          </w:p>
        </w:tc>
        <w:tc>
          <w:tcPr>
            <w:tcW w:w="1400" w:type="dxa"/>
            <w:vAlign w:val="center"/>
          </w:tcPr>
          <w:p>
            <w:pPr>
              <w:overflowPunct w:val="0"/>
              <w:topLinePunct/>
              <w:spacing w:before="100" w:after="100"/>
              <w:jc w:val="center"/>
              <w:rPr>
                <w:rFonts w:ascii="仿宋" w:hAnsi="仿宋" w:eastAsia="仿宋"/>
                <w:position w:val="-9"/>
                <w:szCs w:val="21"/>
              </w:rPr>
            </w:pPr>
            <w:r>
              <w:rPr>
                <w:rFonts w:hint="eastAsia" w:ascii="仿宋" w:hAnsi="仿宋" w:eastAsia="仿宋"/>
                <w:position w:val="-9"/>
                <w:szCs w:val="21"/>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仿宋" w:hAnsi="仿宋" w:eastAsia="仿宋"/>
                <w:position w:val="-9"/>
                <w:szCs w:val="21"/>
              </w:rPr>
            </w:pPr>
          </w:p>
        </w:tc>
        <w:tc>
          <w:tcPr>
            <w:tcW w:w="1316" w:type="dxa"/>
            <w:vAlign w:val="center"/>
          </w:tcPr>
          <w:p>
            <w:pPr>
              <w:overflowPunct w:val="0"/>
              <w:topLinePunct/>
              <w:spacing w:before="100" w:after="100"/>
              <w:jc w:val="center"/>
              <w:rPr>
                <w:rFonts w:ascii="仿宋" w:hAnsi="仿宋" w:eastAsia="仿宋"/>
                <w:position w:val="-9"/>
                <w:szCs w:val="21"/>
              </w:rPr>
            </w:pPr>
          </w:p>
        </w:tc>
        <w:tc>
          <w:tcPr>
            <w:tcW w:w="981" w:type="dxa"/>
            <w:vAlign w:val="center"/>
          </w:tcPr>
          <w:p>
            <w:pPr>
              <w:overflowPunct w:val="0"/>
              <w:topLinePunct/>
              <w:spacing w:before="100" w:after="100"/>
              <w:jc w:val="center"/>
              <w:rPr>
                <w:rFonts w:ascii="仿宋" w:hAnsi="仿宋" w:eastAsia="仿宋"/>
                <w:position w:val="-9"/>
                <w:szCs w:val="21"/>
              </w:rPr>
            </w:pPr>
          </w:p>
        </w:tc>
        <w:tc>
          <w:tcPr>
            <w:tcW w:w="2520" w:type="dxa"/>
            <w:vAlign w:val="center"/>
          </w:tcPr>
          <w:p>
            <w:pPr>
              <w:overflowPunct w:val="0"/>
              <w:topLinePunct/>
              <w:spacing w:before="100" w:after="100"/>
              <w:jc w:val="center"/>
              <w:rPr>
                <w:rFonts w:ascii="仿宋" w:hAnsi="仿宋" w:eastAsia="仿宋"/>
                <w:position w:val="-9"/>
                <w:szCs w:val="21"/>
              </w:rPr>
            </w:pPr>
          </w:p>
        </w:tc>
        <w:tc>
          <w:tcPr>
            <w:tcW w:w="1961" w:type="dxa"/>
            <w:vAlign w:val="center"/>
          </w:tcPr>
          <w:p>
            <w:pPr>
              <w:overflowPunct w:val="0"/>
              <w:topLinePunct/>
              <w:spacing w:before="100" w:after="100"/>
              <w:jc w:val="center"/>
              <w:rPr>
                <w:rFonts w:ascii="仿宋" w:hAnsi="仿宋" w:eastAsia="仿宋"/>
                <w:position w:val="-9"/>
                <w:szCs w:val="21"/>
              </w:rPr>
            </w:pPr>
          </w:p>
        </w:tc>
        <w:tc>
          <w:tcPr>
            <w:tcW w:w="1400" w:type="dxa"/>
            <w:vAlign w:val="center"/>
          </w:tcPr>
          <w:p>
            <w:pPr>
              <w:overflowPunct w:val="0"/>
              <w:topLinePunct/>
              <w:spacing w:before="100" w:after="100"/>
              <w:jc w:val="center"/>
              <w:rPr>
                <w:rFonts w:ascii="仿宋" w:hAnsi="仿宋" w:eastAsia="仿宋"/>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仿宋" w:hAnsi="仿宋" w:eastAsia="仿宋"/>
                <w:position w:val="-9"/>
                <w:szCs w:val="21"/>
              </w:rPr>
            </w:pPr>
          </w:p>
        </w:tc>
        <w:tc>
          <w:tcPr>
            <w:tcW w:w="1316" w:type="dxa"/>
            <w:vAlign w:val="center"/>
          </w:tcPr>
          <w:p>
            <w:pPr>
              <w:overflowPunct w:val="0"/>
              <w:topLinePunct/>
              <w:spacing w:before="100" w:after="100"/>
              <w:jc w:val="center"/>
              <w:rPr>
                <w:rFonts w:ascii="仿宋" w:hAnsi="仿宋" w:eastAsia="仿宋"/>
                <w:position w:val="-9"/>
                <w:szCs w:val="21"/>
              </w:rPr>
            </w:pPr>
          </w:p>
        </w:tc>
        <w:tc>
          <w:tcPr>
            <w:tcW w:w="981" w:type="dxa"/>
            <w:vAlign w:val="center"/>
          </w:tcPr>
          <w:p>
            <w:pPr>
              <w:overflowPunct w:val="0"/>
              <w:topLinePunct/>
              <w:spacing w:before="100" w:after="100"/>
              <w:jc w:val="center"/>
              <w:rPr>
                <w:rFonts w:ascii="仿宋" w:hAnsi="仿宋" w:eastAsia="仿宋"/>
                <w:position w:val="-9"/>
                <w:szCs w:val="21"/>
              </w:rPr>
            </w:pPr>
          </w:p>
        </w:tc>
        <w:tc>
          <w:tcPr>
            <w:tcW w:w="2520" w:type="dxa"/>
            <w:vAlign w:val="center"/>
          </w:tcPr>
          <w:p>
            <w:pPr>
              <w:overflowPunct w:val="0"/>
              <w:topLinePunct/>
              <w:spacing w:before="100" w:after="100"/>
              <w:jc w:val="center"/>
              <w:rPr>
                <w:rFonts w:ascii="仿宋" w:hAnsi="仿宋" w:eastAsia="仿宋"/>
                <w:position w:val="-9"/>
                <w:szCs w:val="21"/>
              </w:rPr>
            </w:pPr>
          </w:p>
        </w:tc>
        <w:tc>
          <w:tcPr>
            <w:tcW w:w="1961" w:type="dxa"/>
            <w:vAlign w:val="center"/>
          </w:tcPr>
          <w:p>
            <w:pPr>
              <w:overflowPunct w:val="0"/>
              <w:topLinePunct/>
              <w:spacing w:before="100" w:after="100"/>
              <w:jc w:val="center"/>
              <w:rPr>
                <w:rFonts w:ascii="仿宋" w:hAnsi="仿宋" w:eastAsia="仿宋"/>
                <w:position w:val="-9"/>
                <w:szCs w:val="21"/>
              </w:rPr>
            </w:pPr>
          </w:p>
        </w:tc>
        <w:tc>
          <w:tcPr>
            <w:tcW w:w="1400" w:type="dxa"/>
            <w:vAlign w:val="center"/>
          </w:tcPr>
          <w:p>
            <w:pPr>
              <w:overflowPunct w:val="0"/>
              <w:topLinePunct/>
              <w:spacing w:before="100" w:after="100"/>
              <w:jc w:val="center"/>
              <w:rPr>
                <w:rFonts w:ascii="仿宋" w:hAnsi="仿宋" w:eastAsia="仿宋"/>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仿宋" w:hAnsi="仿宋" w:eastAsia="仿宋"/>
                <w:position w:val="-9"/>
                <w:szCs w:val="21"/>
              </w:rPr>
            </w:pPr>
          </w:p>
        </w:tc>
        <w:tc>
          <w:tcPr>
            <w:tcW w:w="1316" w:type="dxa"/>
            <w:vAlign w:val="center"/>
          </w:tcPr>
          <w:p>
            <w:pPr>
              <w:overflowPunct w:val="0"/>
              <w:topLinePunct/>
              <w:spacing w:before="100" w:after="100"/>
              <w:jc w:val="center"/>
              <w:rPr>
                <w:rFonts w:ascii="仿宋" w:hAnsi="仿宋" w:eastAsia="仿宋"/>
                <w:position w:val="-9"/>
                <w:szCs w:val="21"/>
              </w:rPr>
            </w:pPr>
          </w:p>
        </w:tc>
        <w:tc>
          <w:tcPr>
            <w:tcW w:w="981" w:type="dxa"/>
            <w:vAlign w:val="center"/>
          </w:tcPr>
          <w:p>
            <w:pPr>
              <w:overflowPunct w:val="0"/>
              <w:topLinePunct/>
              <w:spacing w:before="100" w:after="100"/>
              <w:jc w:val="center"/>
              <w:rPr>
                <w:rFonts w:ascii="仿宋" w:hAnsi="仿宋" w:eastAsia="仿宋"/>
                <w:position w:val="-9"/>
                <w:szCs w:val="21"/>
              </w:rPr>
            </w:pPr>
          </w:p>
        </w:tc>
        <w:tc>
          <w:tcPr>
            <w:tcW w:w="2520" w:type="dxa"/>
            <w:vAlign w:val="center"/>
          </w:tcPr>
          <w:p>
            <w:pPr>
              <w:overflowPunct w:val="0"/>
              <w:topLinePunct/>
              <w:spacing w:before="100" w:after="100"/>
              <w:jc w:val="center"/>
              <w:rPr>
                <w:rFonts w:ascii="仿宋" w:hAnsi="仿宋" w:eastAsia="仿宋"/>
                <w:position w:val="-9"/>
                <w:szCs w:val="21"/>
              </w:rPr>
            </w:pPr>
          </w:p>
        </w:tc>
        <w:tc>
          <w:tcPr>
            <w:tcW w:w="1961" w:type="dxa"/>
            <w:vAlign w:val="center"/>
          </w:tcPr>
          <w:p>
            <w:pPr>
              <w:overflowPunct w:val="0"/>
              <w:topLinePunct/>
              <w:spacing w:before="100" w:after="100"/>
              <w:jc w:val="center"/>
              <w:rPr>
                <w:rFonts w:ascii="仿宋" w:hAnsi="仿宋" w:eastAsia="仿宋"/>
                <w:position w:val="-9"/>
                <w:szCs w:val="21"/>
              </w:rPr>
            </w:pPr>
          </w:p>
        </w:tc>
        <w:tc>
          <w:tcPr>
            <w:tcW w:w="1400" w:type="dxa"/>
            <w:vAlign w:val="center"/>
          </w:tcPr>
          <w:p>
            <w:pPr>
              <w:overflowPunct w:val="0"/>
              <w:topLinePunct/>
              <w:spacing w:before="100" w:after="100"/>
              <w:jc w:val="center"/>
              <w:rPr>
                <w:rFonts w:ascii="仿宋" w:hAnsi="仿宋" w:eastAsia="仿宋"/>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仿宋" w:hAnsi="仿宋" w:eastAsia="仿宋"/>
                <w:position w:val="-9"/>
                <w:szCs w:val="21"/>
              </w:rPr>
            </w:pPr>
          </w:p>
        </w:tc>
        <w:tc>
          <w:tcPr>
            <w:tcW w:w="1316" w:type="dxa"/>
            <w:vAlign w:val="center"/>
          </w:tcPr>
          <w:p>
            <w:pPr>
              <w:overflowPunct w:val="0"/>
              <w:topLinePunct/>
              <w:spacing w:before="100" w:after="100"/>
              <w:jc w:val="center"/>
              <w:rPr>
                <w:rFonts w:ascii="仿宋" w:hAnsi="仿宋" w:eastAsia="仿宋"/>
                <w:position w:val="-9"/>
                <w:szCs w:val="21"/>
              </w:rPr>
            </w:pPr>
          </w:p>
        </w:tc>
        <w:tc>
          <w:tcPr>
            <w:tcW w:w="981" w:type="dxa"/>
            <w:vAlign w:val="center"/>
          </w:tcPr>
          <w:p>
            <w:pPr>
              <w:overflowPunct w:val="0"/>
              <w:topLinePunct/>
              <w:spacing w:before="100" w:after="100"/>
              <w:jc w:val="center"/>
              <w:rPr>
                <w:rFonts w:ascii="仿宋" w:hAnsi="仿宋" w:eastAsia="仿宋"/>
                <w:position w:val="-9"/>
                <w:szCs w:val="21"/>
              </w:rPr>
            </w:pPr>
          </w:p>
        </w:tc>
        <w:tc>
          <w:tcPr>
            <w:tcW w:w="2520" w:type="dxa"/>
            <w:vAlign w:val="center"/>
          </w:tcPr>
          <w:p>
            <w:pPr>
              <w:overflowPunct w:val="0"/>
              <w:topLinePunct/>
              <w:spacing w:before="100" w:after="100"/>
              <w:jc w:val="center"/>
              <w:rPr>
                <w:rFonts w:ascii="仿宋" w:hAnsi="仿宋" w:eastAsia="仿宋"/>
                <w:position w:val="-9"/>
                <w:szCs w:val="21"/>
              </w:rPr>
            </w:pPr>
          </w:p>
        </w:tc>
        <w:tc>
          <w:tcPr>
            <w:tcW w:w="1961" w:type="dxa"/>
            <w:vAlign w:val="center"/>
          </w:tcPr>
          <w:p>
            <w:pPr>
              <w:overflowPunct w:val="0"/>
              <w:topLinePunct/>
              <w:spacing w:before="100" w:after="100"/>
              <w:jc w:val="center"/>
              <w:rPr>
                <w:rFonts w:ascii="仿宋" w:hAnsi="仿宋" w:eastAsia="仿宋"/>
                <w:position w:val="-9"/>
                <w:szCs w:val="21"/>
              </w:rPr>
            </w:pPr>
          </w:p>
        </w:tc>
        <w:tc>
          <w:tcPr>
            <w:tcW w:w="1400" w:type="dxa"/>
            <w:vAlign w:val="center"/>
          </w:tcPr>
          <w:p>
            <w:pPr>
              <w:overflowPunct w:val="0"/>
              <w:topLinePunct/>
              <w:spacing w:before="100" w:after="100"/>
              <w:jc w:val="center"/>
              <w:rPr>
                <w:rFonts w:ascii="仿宋" w:hAnsi="仿宋" w:eastAsia="仿宋"/>
                <w:position w:val="-9"/>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57" w:type="dxa"/>
            <w:bottom w:w="0" w:type="dxa"/>
            <w:right w:w="57" w:type="dxa"/>
          </w:tblCellMar>
        </w:tblPrEx>
        <w:trPr>
          <w:jc w:val="center"/>
        </w:trPr>
        <w:tc>
          <w:tcPr>
            <w:tcW w:w="894" w:type="dxa"/>
            <w:vMerge w:val="continue"/>
            <w:vAlign w:val="center"/>
          </w:tcPr>
          <w:p>
            <w:pPr>
              <w:overflowPunct w:val="0"/>
              <w:topLinePunct/>
              <w:spacing w:before="100" w:after="100"/>
              <w:jc w:val="center"/>
              <w:rPr>
                <w:rFonts w:ascii="仿宋" w:hAnsi="仿宋" w:eastAsia="仿宋"/>
                <w:position w:val="-9"/>
                <w:szCs w:val="21"/>
              </w:rPr>
            </w:pPr>
          </w:p>
        </w:tc>
        <w:tc>
          <w:tcPr>
            <w:tcW w:w="1316" w:type="dxa"/>
            <w:vAlign w:val="center"/>
          </w:tcPr>
          <w:p>
            <w:pPr>
              <w:overflowPunct w:val="0"/>
              <w:topLinePunct/>
              <w:spacing w:before="100" w:after="100"/>
              <w:jc w:val="center"/>
              <w:rPr>
                <w:rFonts w:ascii="仿宋" w:hAnsi="仿宋" w:eastAsia="仿宋"/>
                <w:position w:val="-9"/>
                <w:szCs w:val="21"/>
              </w:rPr>
            </w:pPr>
          </w:p>
        </w:tc>
        <w:tc>
          <w:tcPr>
            <w:tcW w:w="981" w:type="dxa"/>
            <w:vAlign w:val="center"/>
          </w:tcPr>
          <w:p>
            <w:pPr>
              <w:overflowPunct w:val="0"/>
              <w:topLinePunct/>
              <w:spacing w:before="100" w:after="100"/>
              <w:jc w:val="center"/>
              <w:rPr>
                <w:rFonts w:ascii="仿宋" w:hAnsi="仿宋" w:eastAsia="仿宋"/>
                <w:position w:val="-9"/>
                <w:szCs w:val="21"/>
              </w:rPr>
            </w:pPr>
          </w:p>
        </w:tc>
        <w:tc>
          <w:tcPr>
            <w:tcW w:w="2520" w:type="dxa"/>
            <w:vAlign w:val="center"/>
          </w:tcPr>
          <w:p>
            <w:pPr>
              <w:overflowPunct w:val="0"/>
              <w:topLinePunct/>
              <w:spacing w:before="100" w:after="100"/>
              <w:jc w:val="center"/>
              <w:rPr>
                <w:rFonts w:ascii="仿宋" w:hAnsi="仿宋" w:eastAsia="仿宋"/>
                <w:position w:val="-9"/>
                <w:szCs w:val="21"/>
              </w:rPr>
            </w:pPr>
          </w:p>
        </w:tc>
        <w:tc>
          <w:tcPr>
            <w:tcW w:w="1961" w:type="dxa"/>
            <w:vAlign w:val="center"/>
          </w:tcPr>
          <w:p>
            <w:pPr>
              <w:overflowPunct w:val="0"/>
              <w:topLinePunct/>
              <w:spacing w:before="100" w:after="100"/>
              <w:jc w:val="center"/>
              <w:rPr>
                <w:rFonts w:ascii="仿宋" w:hAnsi="仿宋" w:eastAsia="仿宋"/>
                <w:position w:val="-9"/>
                <w:szCs w:val="21"/>
              </w:rPr>
            </w:pPr>
          </w:p>
        </w:tc>
        <w:tc>
          <w:tcPr>
            <w:tcW w:w="1400" w:type="dxa"/>
            <w:vAlign w:val="center"/>
          </w:tcPr>
          <w:p>
            <w:pPr>
              <w:overflowPunct w:val="0"/>
              <w:topLinePunct/>
              <w:spacing w:before="100" w:after="100"/>
              <w:jc w:val="center"/>
              <w:rPr>
                <w:rFonts w:ascii="仿宋" w:hAnsi="仿宋" w:eastAsia="仿宋"/>
                <w:position w:val="-9"/>
                <w:szCs w:val="21"/>
              </w:rPr>
            </w:pPr>
          </w:p>
        </w:tc>
      </w:tr>
    </w:tbl>
    <w:p>
      <w:pPr>
        <w:rPr>
          <w:rFonts w:ascii="仿宋" w:hAnsi="仿宋" w:eastAsia="仿宋"/>
        </w:rPr>
      </w:pPr>
    </w:p>
    <w:p>
      <w:pPr>
        <w:rPr>
          <w:rFonts w:ascii="仿宋" w:hAnsi="仿宋" w:eastAsia="仿宋"/>
        </w:rPr>
      </w:pPr>
    </w:p>
    <w:p>
      <w:pPr>
        <w:spacing w:line="360" w:lineRule="auto"/>
        <w:ind w:firstLine="3967" w:firstLineChars="1653"/>
        <w:rPr>
          <w:rFonts w:ascii="仿宋" w:hAnsi="仿宋" w:eastAsia="仿宋"/>
          <w:sz w:val="24"/>
          <w:szCs w:val="24"/>
        </w:rPr>
      </w:pPr>
      <w:r>
        <w:rPr>
          <w:rFonts w:hint="eastAsia" w:ascii="仿宋" w:hAnsi="仿宋" w:eastAsia="仿宋"/>
          <w:sz w:val="24"/>
          <w:szCs w:val="24"/>
        </w:rPr>
        <w:t>响 应 人：</w:t>
      </w:r>
      <w:r>
        <w:rPr>
          <w:rFonts w:hint="eastAsia" w:ascii="仿宋" w:hAnsi="仿宋" w:eastAsia="仿宋"/>
          <w:sz w:val="24"/>
          <w:szCs w:val="24"/>
          <w:u w:val="single"/>
        </w:rPr>
        <w:t xml:space="preserve">                   </w:t>
      </w:r>
      <w:r>
        <w:rPr>
          <w:rFonts w:hint="eastAsia" w:ascii="仿宋" w:hAnsi="仿宋" w:eastAsia="仿宋"/>
          <w:sz w:val="24"/>
          <w:szCs w:val="24"/>
        </w:rPr>
        <w:t>（盖单位章）</w:t>
      </w:r>
    </w:p>
    <w:p>
      <w:pPr>
        <w:spacing w:line="360" w:lineRule="auto"/>
        <w:ind w:firstLine="3967" w:firstLineChars="1653"/>
        <w:rPr>
          <w:rFonts w:ascii="仿宋" w:hAnsi="仿宋" w:eastAsia="仿宋"/>
          <w:sz w:val="24"/>
          <w:szCs w:val="24"/>
        </w:rPr>
      </w:pPr>
      <w:r>
        <w:rPr>
          <w:rFonts w:hint="eastAsia" w:ascii="仿宋" w:hAnsi="仿宋" w:eastAsia="仿宋"/>
          <w:sz w:val="24"/>
          <w:szCs w:val="24"/>
        </w:rPr>
        <w:t>法定代表人或其委托代理人：</w:t>
      </w:r>
      <w:r>
        <w:rPr>
          <w:rFonts w:hint="eastAsia" w:ascii="仿宋" w:hAnsi="仿宋" w:eastAsia="仿宋"/>
          <w:sz w:val="24"/>
          <w:szCs w:val="24"/>
          <w:u w:val="single"/>
        </w:rPr>
        <w:t xml:space="preserve">       </w:t>
      </w:r>
      <w:r>
        <w:rPr>
          <w:rFonts w:hint="eastAsia" w:ascii="仿宋" w:hAnsi="仿宋" w:eastAsia="仿宋"/>
          <w:sz w:val="24"/>
          <w:szCs w:val="24"/>
        </w:rPr>
        <w:t>（签字）</w:t>
      </w:r>
    </w:p>
    <w:p>
      <w:pPr>
        <w:tabs>
          <w:tab w:val="left" w:pos="945"/>
          <w:tab w:val="right" w:leader="dot" w:pos="8040"/>
        </w:tabs>
        <w:ind w:firstLine="3960" w:firstLineChars="1650"/>
        <w:rPr>
          <w:rFonts w:ascii="仿宋" w:hAnsi="仿宋" w:eastAsia="仿宋"/>
        </w:rPr>
      </w:pP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月</w:t>
      </w:r>
      <w:r>
        <w:rPr>
          <w:rFonts w:hint="eastAsia" w:ascii="仿宋" w:hAnsi="仿宋" w:eastAsia="仿宋"/>
          <w:sz w:val="24"/>
          <w:szCs w:val="24"/>
          <w:u w:val="single"/>
        </w:rPr>
        <w:t xml:space="preserve">     </w:t>
      </w:r>
      <w:r>
        <w:rPr>
          <w:rFonts w:hint="eastAsia" w:ascii="仿宋" w:hAnsi="仿宋" w:eastAsia="仿宋"/>
          <w:sz w:val="24"/>
          <w:szCs w:val="24"/>
        </w:rPr>
        <w:t>日</w:t>
      </w:r>
    </w:p>
    <w:p>
      <w:pPr>
        <w:spacing w:line="440" w:lineRule="exact"/>
        <w:ind w:firstLine="3675" w:firstLineChars="1750"/>
        <w:rPr>
          <w:rFonts w:ascii="仿宋" w:hAnsi="仿宋" w:eastAsia="仿宋"/>
        </w:rPr>
      </w:pPr>
    </w:p>
    <w:p>
      <w:pPr>
        <w:pStyle w:val="3"/>
        <w:rPr>
          <w:sz w:val="32"/>
          <w:szCs w:val="32"/>
        </w:rPr>
      </w:pPr>
      <w:r>
        <w:br w:type="page"/>
      </w:r>
      <w:bookmarkStart w:id="327" w:name="_Toc4682"/>
      <w:bookmarkStart w:id="328" w:name="_Toc3966"/>
      <w:bookmarkStart w:id="329" w:name="_Toc514751565"/>
      <w:bookmarkStart w:id="330" w:name="_Toc14856865"/>
      <w:bookmarkStart w:id="331" w:name="_Toc433814142"/>
      <w:bookmarkStart w:id="332" w:name="附件十二"/>
      <w:r>
        <w:rPr>
          <w:rFonts w:hint="eastAsia"/>
        </w:rPr>
        <w:t>十一、交货计划表</w:t>
      </w:r>
      <w:bookmarkEnd w:id="327"/>
      <w:bookmarkEnd w:id="328"/>
      <w:bookmarkEnd w:id="329"/>
      <w:bookmarkEnd w:id="330"/>
    </w:p>
    <w:tbl>
      <w:tblPr>
        <w:tblStyle w:val="2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276"/>
        <w:gridCol w:w="992"/>
        <w:gridCol w:w="1276"/>
        <w:gridCol w:w="992"/>
        <w:gridCol w:w="1134"/>
        <w:gridCol w:w="993"/>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pPr>
              <w:spacing w:line="360" w:lineRule="auto"/>
              <w:ind w:left="-105" w:leftChars="-50" w:right="-105" w:rightChars="-50"/>
              <w:jc w:val="center"/>
              <w:rPr>
                <w:rFonts w:ascii="仿宋_GB2312" w:eastAsia="仿宋_GB2312"/>
                <w:sz w:val="24"/>
              </w:rPr>
            </w:pPr>
            <w:r>
              <w:rPr>
                <w:rFonts w:hint="eastAsia" w:ascii="仿宋_GB2312" w:eastAsia="仿宋_GB2312"/>
                <w:sz w:val="24"/>
              </w:rPr>
              <w:t>序号</w:t>
            </w:r>
          </w:p>
        </w:tc>
        <w:tc>
          <w:tcPr>
            <w:tcW w:w="1134" w:type="dxa"/>
            <w:tcBorders>
              <w:top w:val="single" w:color="000000" w:sz="4" w:space="0"/>
              <w:left w:val="single" w:color="000000" w:sz="4" w:space="0"/>
              <w:bottom w:val="single" w:color="000000" w:sz="4" w:space="0"/>
              <w:right w:val="single" w:color="000000" w:sz="4" w:space="0"/>
            </w:tcBorders>
            <w:vAlign w:val="top"/>
          </w:tcPr>
          <w:p>
            <w:pPr>
              <w:spacing w:line="360" w:lineRule="auto"/>
              <w:ind w:left="-105" w:leftChars="-50" w:right="-105" w:rightChars="-50"/>
              <w:jc w:val="center"/>
              <w:rPr>
                <w:rFonts w:ascii="仿宋_GB2312" w:eastAsia="仿宋_GB2312"/>
                <w:sz w:val="24"/>
              </w:rPr>
            </w:pPr>
            <w:r>
              <w:rPr>
                <w:rFonts w:hint="eastAsia" w:ascii="仿宋_GB2312" w:eastAsia="仿宋_GB2312"/>
                <w:sz w:val="24"/>
              </w:rPr>
              <w:t>名称</w:t>
            </w:r>
          </w:p>
        </w:tc>
        <w:tc>
          <w:tcPr>
            <w:tcW w:w="1276" w:type="dxa"/>
            <w:tcBorders>
              <w:top w:val="single" w:color="000000" w:sz="4" w:space="0"/>
              <w:left w:val="single" w:color="000000" w:sz="4" w:space="0"/>
              <w:bottom w:val="single" w:color="000000" w:sz="4" w:space="0"/>
              <w:right w:val="single" w:color="000000" w:sz="4" w:space="0"/>
            </w:tcBorders>
            <w:vAlign w:val="top"/>
          </w:tcPr>
          <w:p>
            <w:pPr>
              <w:spacing w:line="360" w:lineRule="auto"/>
              <w:ind w:left="-105" w:leftChars="-50" w:right="-105" w:rightChars="-50"/>
              <w:jc w:val="center"/>
              <w:rPr>
                <w:rFonts w:ascii="仿宋_GB2312" w:eastAsia="仿宋_GB2312"/>
                <w:sz w:val="24"/>
              </w:rPr>
            </w:pPr>
            <w:r>
              <w:rPr>
                <w:rFonts w:hint="eastAsia" w:ascii="仿宋_GB2312" w:eastAsia="仿宋_GB2312"/>
                <w:sz w:val="24"/>
              </w:rPr>
              <w:t>规格型号</w:t>
            </w:r>
          </w:p>
        </w:tc>
        <w:tc>
          <w:tcPr>
            <w:tcW w:w="992" w:type="dxa"/>
            <w:tcBorders>
              <w:top w:val="single" w:color="000000" w:sz="4" w:space="0"/>
              <w:left w:val="single" w:color="auto" w:sz="4" w:space="0"/>
              <w:bottom w:val="single" w:color="000000" w:sz="4" w:space="0"/>
              <w:right w:val="single" w:color="auto" w:sz="4" w:space="0"/>
            </w:tcBorders>
            <w:vAlign w:val="top"/>
          </w:tcPr>
          <w:p>
            <w:pPr>
              <w:spacing w:line="360" w:lineRule="auto"/>
              <w:ind w:left="-105" w:leftChars="-50" w:right="-105" w:rightChars="-50"/>
              <w:jc w:val="center"/>
              <w:rPr>
                <w:rFonts w:ascii="仿宋_GB2312" w:eastAsia="仿宋_GB2312"/>
                <w:sz w:val="24"/>
              </w:rPr>
            </w:pPr>
            <w:r>
              <w:rPr>
                <w:rFonts w:hint="eastAsia" w:ascii="仿宋_GB2312" w:eastAsia="仿宋_GB2312"/>
                <w:sz w:val="24"/>
              </w:rPr>
              <w:t>数量</w:t>
            </w:r>
          </w:p>
        </w:tc>
        <w:tc>
          <w:tcPr>
            <w:tcW w:w="1276" w:type="dxa"/>
            <w:tcBorders>
              <w:top w:val="single" w:color="000000" w:sz="4" w:space="0"/>
              <w:left w:val="single" w:color="auto" w:sz="4" w:space="0"/>
              <w:bottom w:val="single" w:color="000000" w:sz="4" w:space="0"/>
              <w:right w:val="single" w:color="auto" w:sz="4" w:space="0"/>
            </w:tcBorders>
            <w:vAlign w:val="top"/>
          </w:tcPr>
          <w:p>
            <w:pPr>
              <w:spacing w:line="360" w:lineRule="auto"/>
              <w:ind w:left="-105" w:leftChars="-50" w:right="-105" w:rightChars="-50"/>
              <w:jc w:val="center"/>
              <w:rPr>
                <w:rFonts w:ascii="仿宋_GB2312" w:eastAsia="仿宋_GB2312"/>
                <w:sz w:val="24"/>
              </w:rPr>
            </w:pPr>
            <w:r>
              <w:rPr>
                <w:rFonts w:hint="eastAsia" w:ascii="仿宋_GB2312" w:eastAsia="仿宋_GB2312"/>
                <w:sz w:val="24"/>
              </w:rPr>
              <w:t>生产厂家</w:t>
            </w:r>
          </w:p>
        </w:tc>
        <w:tc>
          <w:tcPr>
            <w:tcW w:w="992" w:type="dxa"/>
            <w:tcBorders>
              <w:top w:val="single" w:color="000000" w:sz="4" w:space="0"/>
              <w:left w:val="single" w:color="000000" w:sz="4" w:space="0"/>
              <w:bottom w:val="single" w:color="000000" w:sz="4" w:space="0"/>
              <w:right w:val="single" w:color="000000" w:sz="4" w:space="0"/>
            </w:tcBorders>
            <w:vAlign w:val="top"/>
          </w:tcPr>
          <w:p>
            <w:pPr>
              <w:spacing w:line="360" w:lineRule="auto"/>
              <w:ind w:left="-105" w:leftChars="-50" w:right="-105" w:rightChars="-50"/>
              <w:jc w:val="center"/>
              <w:rPr>
                <w:rFonts w:ascii="仿宋_GB2312" w:eastAsia="仿宋_GB2312"/>
                <w:sz w:val="24"/>
              </w:rPr>
            </w:pPr>
            <w:r>
              <w:rPr>
                <w:rFonts w:hint="eastAsia" w:ascii="仿宋_GB2312" w:eastAsia="仿宋_GB2312"/>
                <w:sz w:val="24"/>
              </w:rPr>
              <w:t>产地</w:t>
            </w:r>
          </w:p>
        </w:tc>
        <w:tc>
          <w:tcPr>
            <w:tcW w:w="1134" w:type="dxa"/>
            <w:tcBorders>
              <w:top w:val="single" w:color="000000" w:sz="4" w:space="0"/>
              <w:left w:val="single" w:color="000000" w:sz="4" w:space="0"/>
              <w:bottom w:val="single" w:color="000000" w:sz="4" w:space="0"/>
              <w:right w:val="single" w:color="000000" w:sz="4" w:space="0"/>
            </w:tcBorders>
            <w:vAlign w:val="top"/>
          </w:tcPr>
          <w:p>
            <w:pPr>
              <w:spacing w:line="360" w:lineRule="auto"/>
              <w:ind w:left="-105" w:leftChars="-50" w:right="-105" w:rightChars="-50"/>
              <w:jc w:val="center"/>
              <w:rPr>
                <w:rFonts w:ascii="仿宋_GB2312" w:eastAsia="仿宋_GB2312"/>
                <w:sz w:val="24"/>
              </w:rPr>
            </w:pPr>
            <w:r>
              <w:rPr>
                <w:rFonts w:hint="eastAsia" w:ascii="仿宋_GB2312" w:eastAsia="仿宋_GB2312"/>
                <w:sz w:val="24"/>
              </w:rPr>
              <w:t>交货日期</w:t>
            </w:r>
          </w:p>
        </w:tc>
        <w:tc>
          <w:tcPr>
            <w:tcW w:w="993" w:type="dxa"/>
            <w:tcBorders>
              <w:top w:val="single" w:color="000000" w:sz="4" w:space="0"/>
              <w:left w:val="single" w:color="000000" w:sz="4" w:space="0"/>
              <w:bottom w:val="single" w:color="000000" w:sz="4" w:space="0"/>
              <w:right w:val="single" w:color="000000" w:sz="4" w:space="0"/>
            </w:tcBorders>
            <w:vAlign w:val="top"/>
          </w:tcPr>
          <w:p>
            <w:pPr>
              <w:spacing w:line="360" w:lineRule="auto"/>
              <w:ind w:left="-105" w:leftChars="-50" w:right="-105" w:rightChars="-50"/>
              <w:jc w:val="center"/>
              <w:rPr>
                <w:rFonts w:ascii="仿宋_GB2312" w:eastAsia="仿宋_GB2312"/>
                <w:sz w:val="24"/>
              </w:rPr>
            </w:pPr>
            <w:r>
              <w:rPr>
                <w:rFonts w:hint="eastAsia" w:ascii="仿宋_GB2312" w:eastAsia="仿宋_GB2312"/>
                <w:sz w:val="24"/>
              </w:rPr>
              <w:t>交货地点</w:t>
            </w:r>
          </w:p>
        </w:tc>
        <w:tc>
          <w:tcPr>
            <w:tcW w:w="814" w:type="dxa"/>
            <w:tcBorders>
              <w:top w:val="single" w:color="000000" w:sz="4" w:space="0"/>
              <w:left w:val="single" w:color="000000" w:sz="4" w:space="0"/>
              <w:bottom w:val="single" w:color="000000" w:sz="4" w:space="0"/>
              <w:right w:val="single" w:color="000000" w:sz="4" w:space="0"/>
            </w:tcBorders>
            <w:vAlign w:val="top"/>
          </w:tcPr>
          <w:p>
            <w:pPr>
              <w:spacing w:line="360" w:lineRule="auto"/>
              <w:ind w:left="-105" w:leftChars="-50" w:right="-105" w:rightChars="-50"/>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1276" w:type="dxa"/>
            <w:tcBorders>
              <w:top w:val="single" w:color="000000" w:sz="4" w:space="0"/>
              <w:left w:val="single" w:color="000000" w:sz="4" w:space="0"/>
              <w:bottom w:val="single" w:color="000000" w:sz="4" w:space="0"/>
              <w:right w:val="single" w:color="000000" w:sz="4" w:space="0"/>
            </w:tcBorders>
            <w:vAlign w:val="top"/>
          </w:tcPr>
          <w:p/>
        </w:tc>
        <w:tc>
          <w:tcPr>
            <w:tcW w:w="992" w:type="dxa"/>
            <w:tcBorders>
              <w:top w:val="single" w:color="000000" w:sz="4" w:space="0"/>
              <w:left w:val="single" w:color="auto" w:sz="4" w:space="0"/>
              <w:bottom w:val="single" w:color="000000" w:sz="4" w:space="0"/>
              <w:right w:val="single" w:color="auto" w:sz="4" w:space="0"/>
            </w:tcBorders>
            <w:vAlign w:val="top"/>
          </w:tcPr>
          <w:p/>
        </w:tc>
        <w:tc>
          <w:tcPr>
            <w:tcW w:w="1276" w:type="dxa"/>
            <w:tcBorders>
              <w:top w:val="single" w:color="000000" w:sz="4" w:space="0"/>
              <w:left w:val="single" w:color="auto" w:sz="4" w:space="0"/>
              <w:bottom w:val="single" w:color="000000" w:sz="4" w:space="0"/>
              <w:right w:val="single" w:color="auto" w:sz="4" w:space="0"/>
            </w:tcBorders>
            <w:vAlign w:val="top"/>
          </w:tcPr>
          <w:p/>
        </w:tc>
        <w:tc>
          <w:tcPr>
            <w:tcW w:w="992"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993" w:type="dxa"/>
            <w:tcBorders>
              <w:top w:val="single" w:color="000000" w:sz="4" w:space="0"/>
              <w:left w:val="single" w:color="000000" w:sz="4" w:space="0"/>
              <w:bottom w:val="single" w:color="000000" w:sz="4" w:space="0"/>
              <w:right w:val="single" w:color="000000" w:sz="4" w:space="0"/>
            </w:tcBorders>
            <w:vAlign w:val="top"/>
          </w:tcPr>
          <w:p/>
        </w:tc>
        <w:tc>
          <w:tcPr>
            <w:tcW w:w="814" w:type="dxa"/>
            <w:tcBorders>
              <w:top w:val="single" w:color="000000" w:sz="4" w:space="0"/>
              <w:left w:val="single" w:color="000000" w:sz="4" w:space="0"/>
              <w:bottom w:val="single" w:color="000000" w:sz="4" w:space="0"/>
              <w:right w:val="single" w:color="000000"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1276" w:type="dxa"/>
            <w:tcBorders>
              <w:top w:val="single" w:color="000000" w:sz="4" w:space="0"/>
              <w:left w:val="single" w:color="000000" w:sz="4" w:space="0"/>
              <w:bottom w:val="single" w:color="000000" w:sz="4" w:space="0"/>
              <w:right w:val="single" w:color="000000" w:sz="4" w:space="0"/>
            </w:tcBorders>
            <w:vAlign w:val="top"/>
          </w:tcPr>
          <w:p/>
        </w:tc>
        <w:tc>
          <w:tcPr>
            <w:tcW w:w="992" w:type="dxa"/>
            <w:tcBorders>
              <w:top w:val="single" w:color="000000" w:sz="4" w:space="0"/>
              <w:left w:val="single" w:color="auto" w:sz="4" w:space="0"/>
              <w:bottom w:val="single" w:color="000000" w:sz="4" w:space="0"/>
              <w:right w:val="single" w:color="auto" w:sz="4" w:space="0"/>
            </w:tcBorders>
            <w:vAlign w:val="top"/>
          </w:tcPr>
          <w:p/>
        </w:tc>
        <w:tc>
          <w:tcPr>
            <w:tcW w:w="1276" w:type="dxa"/>
            <w:tcBorders>
              <w:top w:val="single" w:color="000000" w:sz="4" w:space="0"/>
              <w:left w:val="single" w:color="auto" w:sz="4" w:space="0"/>
              <w:bottom w:val="single" w:color="000000" w:sz="4" w:space="0"/>
              <w:right w:val="single" w:color="auto" w:sz="4" w:space="0"/>
            </w:tcBorders>
            <w:vAlign w:val="top"/>
          </w:tcPr>
          <w:p/>
        </w:tc>
        <w:tc>
          <w:tcPr>
            <w:tcW w:w="992"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993" w:type="dxa"/>
            <w:tcBorders>
              <w:top w:val="single" w:color="000000" w:sz="4" w:space="0"/>
              <w:left w:val="single" w:color="000000" w:sz="4" w:space="0"/>
              <w:bottom w:val="single" w:color="000000" w:sz="4" w:space="0"/>
              <w:right w:val="single" w:color="000000" w:sz="4" w:space="0"/>
            </w:tcBorders>
            <w:vAlign w:val="top"/>
          </w:tcPr>
          <w:p/>
        </w:tc>
        <w:tc>
          <w:tcPr>
            <w:tcW w:w="814" w:type="dxa"/>
            <w:tcBorders>
              <w:top w:val="single" w:color="000000" w:sz="4" w:space="0"/>
              <w:left w:val="single" w:color="000000" w:sz="4" w:space="0"/>
              <w:bottom w:val="single" w:color="000000" w:sz="4" w:space="0"/>
              <w:right w:val="single" w:color="000000"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1276" w:type="dxa"/>
            <w:tcBorders>
              <w:top w:val="single" w:color="000000" w:sz="4" w:space="0"/>
              <w:left w:val="single" w:color="000000" w:sz="4" w:space="0"/>
              <w:bottom w:val="single" w:color="000000" w:sz="4" w:space="0"/>
              <w:right w:val="single" w:color="000000" w:sz="4" w:space="0"/>
            </w:tcBorders>
            <w:vAlign w:val="top"/>
          </w:tcPr>
          <w:p/>
        </w:tc>
        <w:tc>
          <w:tcPr>
            <w:tcW w:w="992" w:type="dxa"/>
            <w:tcBorders>
              <w:top w:val="single" w:color="000000" w:sz="4" w:space="0"/>
              <w:left w:val="single" w:color="auto" w:sz="4" w:space="0"/>
              <w:bottom w:val="single" w:color="000000" w:sz="4" w:space="0"/>
              <w:right w:val="single" w:color="auto" w:sz="4" w:space="0"/>
            </w:tcBorders>
            <w:vAlign w:val="top"/>
          </w:tcPr>
          <w:p/>
        </w:tc>
        <w:tc>
          <w:tcPr>
            <w:tcW w:w="1276" w:type="dxa"/>
            <w:tcBorders>
              <w:top w:val="single" w:color="000000" w:sz="4" w:space="0"/>
              <w:left w:val="single" w:color="auto" w:sz="4" w:space="0"/>
              <w:bottom w:val="single" w:color="000000" w:sz="4" w:space="0"/>
              <w:right w:val="single" w:color="auto" w:sz="4" w:space="0"/>
            </w:tcBorders>
            <w:vAlign w:val="top"/>
          </w:tcPr>
          <w:p/>
        </w:tc>
        <w:tc>
          <w:tcPr>
            <w:tcW w:w="992"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993" w:type="dxa"/>
            <w:tcBorders>
              <w:top w:val="single" w:color="000000" w:sz="4" w:space="0"/>
              <w:left w:val="single" w:color="000000" w:sz="4" w:space="0"/>
              <w:bottom w:val="single" w:color="000000" w:sz="4" w:space="0"/>
              <w:right w:val="single" w:color="000000" w:sz="4" w:space="0"/>
            </w:tcBorders>
            <w:vAlign w:val="top"/>
          </w:tcPr>
          <w:p/>
        </w:tc>
        <w:tc>
          <w:tcPr>
            <w:tcW w:w="814" w:type="dxa"/>
            <w:tcBorders>
              <w:top w:val="single" w:color="000000" w:sz="4" w:space="0"/>
              <w:left w:val="single" w:color="000000" w:sz="4" w:space="0"/>
              <w:bottom w:val="single" w:color="000000" w:sz="4" w:space="0"/>
              <w:right w:val="single" w:color="000000"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1276" w:type="dxa"/>
            <w:tcBorders>
              <w:top w:val="single" w:color="000000" w:sz="4" w:space="0"/>
              <w:left w:val="single" w:color="000000" w:sz="4" w:space="0"/>
              <w:bottom w:val="single" w:color="000000" w:sz="4" w:space="0"/>
              <w:right w:val="single" w:color="000000" w:sz="4" w:space="0"/>
            </w:tcBorders>
            <w:vAlign w:val="top"/>
          </w:tcPr>
          <w:p/>
        </w:tc>
        <w:tc>
          <w:tcPr>
            <w:tcW w:w="992" w:type="dxa"/>
            <w:tcBorders>
              <w:top w:val="single" w:color="000000" w:sz="4" w:space="0"/>
              <w:left w:val="single" w:color="auto" w:sz="4" w:space="0"/>
              <w:bottom w:val="single" w:color="000000" w:sz="4" w:space="0"/>
              <w:right w:val="single" w:color="auto" w:sz="4" w:space="0"/>
            </w:tcBorders>
            <w:vAlign w:val="top"/>
          </w:tcPr>
          <w:p/>
        </w:tc>
        <w:tc>
          <w:tcPr>
            <w:tcW w:w="1276" w:type="dxa"/>
            <w:tcBorders>
              <w:top w:val="single" w:color="000000" w:sz="4" w:space="0"/>
              <w:left w:val="single" w:color="auto" w:sz="4" w:space="0"/>
              <w:bottom w:val="single" w:color="000000" w:sz="4" w:space="0"/>
              <w:right w:val="single" w:color="auto" w:sz="4" w:space="0"/>
            </w:tcBorders>
            <w:vAlign w:val="top"/>
          </w:tcPr>
          <w:p/>
        </w:tc>
        <w:tc>
          <w:tcPr>
            <w:tcW w:w="992"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993" w:type="dxa"/>
            <w:tcBorders>
              <w:top w:val="single" w:color="000000" w:sz="4" w:space="0"/>
              <w:left w:val="single" w:color="000000" w:sz="4" w:space="0"/>
              <w:bottom w:val="single" w:color="000000" w:sz="4" w:space="0"/>
              <w:right w:val="single" w:color="000000" w:sz="4" w:space="0"/>
            </w:tcBorders>
            <w:vAlign w:val="top"/>
          </w:tcPr>
          <w:p/>
        </w:tc>
        <w:tc>
          <w:tcPr>
            <w:tcW w:w="814" w:type="dxa"/>
            <w:tcBorders>
              <w:top w:val="single" w:color="000000" w:sz="4" w:space="0"/>
              <w:left w:val="single" w:color="000000" w:sz="4" w:space="0"/>
              <w:bottom w:val="single" w:color="000000" w:sz="4" w:space="0"/>
              <w:right w:val="single" w:color="000000"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1276" w:type="dxa"/>
            <w:tcBorders>
              <w:top w:val="single" w:color="000000" w:sz="4" w:space="0"/>
              <w:left w:val="single" w:color="000000" w:sz="4" w:space="0"/>
              <w:bottom w:val="single" w:color="000000" w:sz="4" w:space="0"/>
              <w:right w:val="single" w:color="000000" w:sz="4" w:space="0"/>
            </w:tcBorders>
            <w:vAlign w:val="top"/>
          </w:tcPr>
          <w:p/>
        </w:tc>
        <w:tc>
          <w:tcPr>
            <w:tcW w:w="992" w:type="dxa"/>
            <w:tcBorders>
              <w:top w:val="single" w:color="000000" w:sz="4" w:space="0"/>
              <w:left w:val="single" w:color="auto" w:sz="4" w:space="0"/>
              <w:bottom w:val="single" w:color="000000" w:sz="4" w:space="0"/>
              <w:right w:val="single" w:color="auto" w:sz="4" w:space="0"/>
            </w:tcBorders>
            <w:vAlign w:val="top"/>
          </w:tcPr>
          <w:p/>
        </w:tc>
        <w:tc>
          <w:tcPr>
            <w:tcW w:w="1276" w:type="dxa"/>
            <w:tcBorders>
              <w:top w:val="single" w:color="000000" w:sz="4" w:space="0"/>
              <w:left w:val="single" w:color="auto" w:sz="4" w:space="0"/>
              <w:bottom w:val="single" w:color="000000" w:sz="4" w:space="0"/>
              <w:right w:val="single" w:color="auto" w:sz="4" w:space="0"/>
            </w:tcBorders>
            <w:vAlign w:val="top"/>
          </w:tcPr>
          <w:p/>
        </w:tc>
        <w:tc>
          <w:tcPr>
            <w:tcW w:w="992"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993" w:type="dxa"/>
            <w:tcBorders>
              <w:top w:val="single" w:color="000000" w:sz="4" w:space="0"/>
              <w:left w:val="single" w:color="000000" w:sz="4" w:space="0"/>
              <w:bottom w:val="single" w:color="000000" w:sz="4" w:space="0"/>
              <w:right w:val="single" w:color="000000" w:sz="4" w:space="0"/>
            </w:tcBorders>
            <w:vAlign w:val="top"/>
          </w:tcPr>
          <w:p/>
        </w:tc>
        <w:tc>
          <w:tcPr>
            <w:tcW w:w="814" w:type="dxa"/>
            <w:tcBorders>
              <w:top w:val="single" w:color="000000" w:sz="4" w:space="0"/>
              <w:left w:val="single" w:color="000000" w:sz="4" w:space="0"/>
              <w:bottom w:val="single" w:color="000000" w:sz="4" w:space="0"/>
              <w:right w:val="single" w:color="000000"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1276" w:type="dxa"/>
            <w:tcBorders>
              <w:top w:val="single" w:color="000000" w:sz="4" w:space="0"/>
              <w:left w:val="single" w:color="000000" w:sz="4" w:space="0"/>
              <w:bottom w:val="single" w:color="000000" w:sz="4" w:space="0"/>
              <w:right w:val="single" w:color="000000" w:sz="4" w:space="0"/>
            </w:tcBorders>
            <w:vAlign w:val="top"/>
          </w:tcPr>
          <w:p/>
        </w:tc>
        <w:tc>
          <w:tcPr>
            <w:tcW w:w="992" w:type="dxa"/>
            <w:tcBorders>
              <w:top w:val="single" w:color="000000" w:sz="4" w:space="0"/>
              <w:left w:val="single" w:color="auto" w:sz="4" w:space="0"/>
              <w:bottom w:val="single" w:color="000000" w:sz="4" w:space="0"/>
              <w:right w:val="single" w:color="auto" w:sz="4" w:space="0"/>
            </w:tcBorders>
            <w:vAlign w:val="top"/>
          </w:tcPr>
          <w:p/>
        </w:tc>
        <w:tc>
          <w:tcPr>
            <w:tcW w:w="1276" w:type="dxa"/>
            <w:tcBorders>
              <w:top w:val="single" w:color="000000" w:sz="4" w:space="0"/>
              <w:left w:val="single" w:color="auto" w:sz="4" w:space="0"/>
              <w:bottom w:val="single" w:color="000000" w:sz="4" w:space="0"/>
              <w:right w:val="single" w:color="auto" w:sz="4" w:space="0"/>
            </w:tcBorders>
            <w:vAlign w:val="top"/>
          </w:tcPr>
          <w:p/>
        </w:tc>
        <w:tc>
          <w:tcPr>
            <w:tcW w:w="992"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993" w:type="dxa"/>
            <w:tcBorders>
              <w:top w:val="single" w:color="000000" w:sz="4" w:space="0"/>
              <w:left w:val="single" w:color="000000" w:sz="4" w:space="0"/>
              <w:bottom w:val="single" w:color="000000" w:sz="4" w:space="0"/>
              <w:right w:val="single" w:color="000000" w:sz="4" w:space="0"/>
            </w:tcBorders>
            <w:vAlign w:val="top"/>
          </w:tcPr>
          <w:p/>
        </w:tc>
        <w:tc>
          <w:tcPr>
            <w:tcW w:w="814" w:type="dxa"/>
            <w:tcBorders>
              <w:top w:val="single" w:color="000000" w:sz="4" w:space="0"/>
              <w:left w:val="single" w:color="000000" w:sz="4" w:space="0"/>
              <w:bottom w:val="single" w:color="000000" w:sz="4" w:space="0"/>
              <w:right w:val="single" w:color="000000"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1276" w:type="dxa"/>
            <w:tcBorders>
              <w:top w:val="single" w:color="000000" w:sz="4" w:space="0"/>
              <w:left w:val="single" w:color="000000" w:sz="4" w:space="0"/>
              <w:bottom w:val="single" w:color="000000" w:sz="4" w:space="0"/>
              <w:right w:val="single" w:color="000000" w:sz="4" w:space="0"/>
            </w:tcBorders>
            <w:vAlign w:val="top"/>
          </w:tcPr>
          <w:p/>
        </w:tc>
        <w:tc>
          <w:tcPr>
            <w:tcW w:w="992" w:type="dxa"/>
            <w:tcBorders>
              <w:top w:val="single" w:color="000000" w:sz="4" w:space="0"/>
              <w:left w:val="single" w:color="auto" w:sz="4" w:space="0"/>
              <w:bottom w:val="single" w:color="000000" w:sz="4" w:space="0"/>
              <w:right w:val="single" w:color="auto" w:sz="4" w:space="0"/>
            </w:tcBorders>
            <w:vAlign w:val="top"/>
          </w:tcPr>
          <w:p/>
        </w:tc>
        <w:tc>
          <w:tcPr>
            <w:tcW w:w="1276" w:type="dxa"/>
            <w:tcBorders>
              <w:top w:val="single" w:color="000000" w:sz="4" w:space="0"/>
              <w:left w:val="single" w:color="auto" w:sz="4" w:space="0"/>
              <w:bottom w:val="single" w:color="000000" w:sz="4" w:space="0"/>
              <w:right w:val="single" w:color="auto" w:sz="4" w:space="0"/>
            </w:tcBorders>
            <w:vAlign w:val="top"/>
          </w:tcPr>
          <w:p/>
        </w:tc>
        <w:tc>
          <w:tcPr>
            <w:tcW w:w="992" w:type="dxa"/>
            <w:tcBorders>
              <w:top w:val="single" w:color="000000" w:sz="4" w:space="0"/>
              <w:left w:val="single" w:color="000000" w:sz="4" w:space="0"/>
              <w:bottom w:val="single" w:color="000000" w:sz="4" w:space="0"/>
              <w:right w:val="single" w:color="000000" w:sz="4" w:space="0"/>
            </w:tcBorders>
            <w:vAlign w:val="top"/>
          </w:tcPr>
          <w:p/>
        </w:tc>
        <w:tc>
          <w:tcPr>
            <w:tcW w:w="1134" w:type="dxa"/>
            <w:tcBorders>
              <w:top w:val="single" w:color="000000" w:sz="4" w:space="0"/>
              <w:left w:val="single" w:color="000000" w:sz="4" w:space="0"/>
              <w:bottom w:val="single" w:color="000000" w:sz="4" w:space="0"/>
              <w:right w:val="single" w:color="000000" w:sz="4" w:space="0"/>
            </w:tcBorders>
            <w:vAlign w:val="top"/>
          </w:tcPr>
          <w:p/>
        </w:tc>
        <w:tc>
          <w:tcPr>
            <w:tcW w:w="993" w:type="dxa"/>
            <w:tcBorders>
              <w:top w:val="single" w:color="000000" w:sz="4" w:space="0"/>
              <w:left w:val="single" w:color="000000" w:sz="4" w:space="0"/>
              <w:bottom w:val="single" w:color="000000" w:sz="4" w:space="0"/>
              <w:right w:val="single" w:color="000000" w:sz="4" w:space="0"/>
            </w:tcBorders>
            <w:vAlign w:val="top"/>
          </w:tcPr>
          <w:p/>
        </w:tc>
        <w:tc>
          <w:tcPr>
            <w:tcW w:w="814" w:type="dxa"/>
            <w:tcBorders>
              <w:top w:val="single" w:color="000000" w:sz="4" w:space="0"/>
              <w:left w:val="single" w:color="000000" w:sz="4" w:space="0"/>
              <w:bottom w:val="single" w:color="000000" w:sz="4" w:space="0"/>
              <w:right w:val="single" w:color="000000" w:sz="4" w:space="0"/>
            </w:tcBorders>
            <w:vAlign w:val="top"/>
          </w:tcPr>
          <w:p/>
        </w:tc>
      </w:tr>
    </w:tbl>
    <w:p>
      <w:pPr>
        <w:spacing w:line="360" w:lineRule="auto"/>
        <w:rPr>
          <w:rFonts w:ascii="仿宋_GB2312" w:hAnsi="Arial" w:eastAsia="仿宋_GB2312" w:cs="Arial"/>
        </w:rPr>
      </w:pPr>
      <w:r>
        <w:rPr>
          <w:rFonts w:hint="eastAsia" w:ascii="仿宋_GB2312" w:hAnsi="Arial" w:eastAsia="仿宋_GB2312" w:cs="Arial"/>
        </w:rPr>
        <w:t>注：1.表格可扩展、修改并增加内容。</w:t>
      </w:r>
    </w:p>
    <w:p>
      <w:pPr>
        <w:ind w:firstLine="420" w:firstLineChars="200"/>
        <w:rPr>
          <w:rFonts w:ascii="仿宋_GB2312" w:hAnsi="Arial" w:eastAsia="仿宋_GB2312" w:cs="Arial"/>
          <w:bCs/>
        </w:rPr>
      </w:pPr>
    </w:p>
    <w:p>
      <w:pPr>
        <w:ind w:firstLine="420" w:firstLineChars="200"/>
        <w:rPr>
          <w:rFonts w:ascii="仿宋_GB2312" w:hAnsi="Arial" w:eastAsia="仿宋_GB2312" w:cs="Arial"/>
          <w:bCs/>
        </w:rPr>
      </w:pPr>
    </w:p>
    <w:p>
      <w:pPr>
        <w:ind w:firstLine="420" w:firstLineChars="200"/>
        <w:rPr>
          <w:rFonts w:ascii="仿宋_GB2312" w:hAnsi="Arial" w:eastAsia="仿宋_GB2312" w:cs="Arial"/>
          <w:bCs/>
        </w:rPr>
      </w:pPr>
    </w:p>
    <w:p>
      <w:pPr>
        <w:ind w:firstLine="420" w:firstLineChars="200"/>
        <w:rPr>
          <w:rFonts w:ascii="仿宋_GB2312" w:hAnsi="Arial" w:eastAsia="仿宋_GB2312" w:cs="Arial"/>
          <w:bCs/>
        </w:rPr>
      </w:pPr>
    </w:p>
    <w:p>
      <w:pPr>
        <w:ind w:firstLine="420" w:firstLineChars="200"/>
      </w:pPr>
    </w:p>
    <w:p>
      <w:pPr>
        <w:spacing w:line="360" w:lineRule="auto"/>
        <w:ind w:firstLine="4200" w:firstLineChars="1750"/>
        <w:rPr>
          <w:rFonts w:ascii="仿宋_GB2312" w:eastAsia="仿宋_GB2312"/>
          <w:sz w:val="24"/>
        </w:rPr>
      </w:pPr>
      <w:r>
        <w:rPr>
          <w:rFonts w:hint="eastAsia" w:ascii="仿宋_GB2312" w:eastAsia="仿宋_GB2312"/>
          <w:sz w:val="24"/>
        </w:rPr>
        <w:t>投 标 人：</w:t>
      </w:r>
      <w:r>
        <w:rPr>
          <w:rFonts w:hint="eastAsia" w:ascii="仿宋_GB2312" w:eastAsia="仿宋_GB2312"/>
          <w:sz w:val="24"/>
          <w:u w:val="single"/>
        </w:rPr>
        <w:t xml:space="preserve">                   </w:t>
      </w:r>
      <w:r>
        <w:rPr>
          <w:rFonts w:hint="eastAsia" w:ascii="仿宋_GB2312" w:eastAsia="仿宋_GB2312"/>
          <w:sz w:val="24"/>
        </w:rPr>
        <w:t>（盖单位章）</w:t>
      </w:r>
    </w:p>
    <w:p>
      <w:pPr>
        <w:spacing w:line="360" w:lineRule="auto"/>
        <w:ind w:firstLine="4200" w:firstLineChars="1750"/>
        <w:rPr>
          <w:rFonts w:ascii="仿宋_GB2312" w:eastAsia="仿宋_GB2312"/>
          <w:sz w:val="24"/>
        </w:rPr>
      </w:pPr>
      <w:r>
        <w:rPr>
          <w:rFonts w:hint="eastAsia" w:ascii="仿宋_GB2312" w:eastAsia="仿宋_GB2312"/>
          <w:sz w:val="24"/>
        </w:rPr>
        <w:t>法定代表人或其委托代理人：</w:t>
      </w:r>
      <w:r>
        <w:rPr>
          <w:rFonts w:hint="eastAsia" w:ascii="仿宋_GB2312" w:eastAsia="仿宋_GB2312"/>
          <w:sz w:val="24"/>
          <w:u w:val="single"/>
        </w:rPr>
        <w:t xml:space="preserve">       </w:t>
      </w:r>
      <w:r>
        <w:rPr>
          <w:rFonts w:hint="eastAsia" w:ascii="仿宋_GB2312" w:eastAsia="仿宋_GB2312"/>
          <w:sz w:val="24"/>
        </w:rPr>
        <w:t>（签字）</w:t>
      </w:r>
    </w:p>
    <w:p>
      <w:pPr>
        <w:ind w:firstLine="4200" w:firstLineChars="1750"/>
        <w:rPr>
          <w:rFonts w:hint="eastAsia" w:ascii="仿宋_GB2312" w:eastAsia="仿宋_GB2312"/>
          <w:sz w:val="24"/>
        </w:rPr>
      </w:pP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ind w:firstLine="4200" w:firstLineChars="1750"/>
      </w:pPr>
      <w:r>
        <w:rPr>
          <w:rFonts w:hint="eastAsia" w:ascii="仿宋_GB2312" w:eastAsia="仿宋_GB2312"/>
          <w:sz w:val="24"/>
        </w:rPr>
        <w:br w:type="page"/>
      </w:r>
    </w:p>
    <w:p>
      <w:pPr>
        <w:pStyle w:val="3"/>
        <w:rPr>
          <w:rFonts w:hint="eastAsia"/>
        </w:rPr>
      </w:pPr>
      <w:bookmarkStart w:id="333" w:name="_Toc14856866"/>
      <w:r>
        <w:rPr>
          <w:rFonts w:hint="eastAsia"/>
        </w:rPr>
        <w:t>十二、竞争性谈判</w:t>
      </w:r>
      <w:r>
        <w:t>响应</w:t>
      </w:r>
      <w:r>
        <w:rPr>
          <w:rFonts w:hint="eastAsia"/>
        </w:rPr>
        <w:t>文件说明书与技术资料</w:t>
      </w:r>
      <w:bookmarkEnd w:id="331"/>
      <w:bookmarkEnd w:id="332"/>
      <w:bookmarkEnd w:id="333"/>
    </w:p>
    <w:p>
      <w:pPr>
        <w:spacing w:line="360" w:lineRule="auto"/>
        <w:rPr>
          <w:rFonts w:hint="eastAsia" w:ascii="仿宋" w:hAnsi="仿宋" w:eastAsia="仿宋"/>
          <w:color w:val="000000"/>
          <w:sz w:val="24"/>
        </w:rPr>
      </w:pPr>
      <w:r>
        <w:rPr>
          <w:rFonts w:hint="eastAsia" w:ascii="仿宋" w:hAnsi="仿宋" w:eastAsia="仿宋"/>
          <w:color w:val="000000"/>
          <w:sz w:val="24"/>
        </w:rPr>
        <w:t>描述内容包括但不限于：</w:t>
      </w:r>
    </w:p>
    <w:p>
      <w:pPr>
        <w:spacing w:line="360" w:lineRule="auto"/>
        <w:rPr>
          <w:rFonts w:hint="eastAsia" w:ascii="仿宋" w:hAnsi="仿宋" w:eastAsia="仿宋"/>
          <w:color w:val="000000"/>
          <w:sz w:val="24"/>
        </w:rPr>
      </w:pPr>
      <w:r>
        <w:rPr>
          <w:rFonts w:hint="eastAsia" w:ascii="仿宋" w:hAnsi="仿宋" w:eastAsia="仿宋"/>
          <w:color w:val="000000"/>
          <w:sz w:val="24"/>
        </w:rPr>
        <w:t>1、响应人月度最大供应能力、仓储能力，交货进度保障措施；</w:t>
      </w:r>
    </w:p>
    <w:p>
      <w:pPr>
        <w:spacing w:line="360" w:lineRule="auto"/>
        <w:rPr>
          <w:rFonts w:hint="eastAsia" w:ascii="仿宋" w:hAnsi="仿宋" w:eastAsia="仿宋"/>
          <w:color w:val="000000"/>
          <w:sz w:val="24"/>
        </w:rPr>
      </w:pPr>
      <w:r>
        <w:rPr>
          <w:rFonts w:hint="eastAsia" w:ascii="仿宋" w:hAnsi="仿宋" w:eastAsia="仿宋"/>
          <w:color w:val="000000"/>
          <w:sz w:val="24"/>
        </w:rPr>
        <w:t>2、产品质量承诺，出现质量问题的处理措施承诺；</w:t>
      </w:r>
    </w:p>
    <w:p>
      <w:pPr>
        <w:spacing w:line="360" w:lineRule="auto"/>
        <w:rPr>
          <w:rFonts w:hint="eastAsia" w:ascii="仿宋" w:hAnsi="仿宋" w:eastAsia="仿宋"/>
          <w:color w:val="000000"/>
          <w:sz w:val="24"/>
        </w:rPr>
      </w:pPr>
      <w:r>
        <w:rPr>
          <w:rFonts w:hint="eastAsia" w:ascii="仿宋" w:hAnsi="仿宋" w:eastAsia="仿宋"/>
          <w:color w:val="000000"/>
          <w:sz w:val="24"/>
        </w:rPr>
        <w:t>3、售后服务措施。</w:t>
      </w:r>
    </w:p>
    <w:p>
      <w:pPr>
        <w:rPr>
          <w:rFonts w:hint="eastAsia" w:ascii="仿宋" w:hAnsi="仿宋" w:eastAsia="仿宋"/>
          <w:color w:val="000000"/>
          <w:sz w:val="24"/>
        </w:rPr>
      </w:pPr>
      <w:r>
        <w:rPr>
          <w:rFonts w:hint="eastAsia" w:ascii="仿宋" w:hAnsi="仿宋" w:eastAsia="仿宋"/>
          <w:color w:val="000000"/>
          <w:sz w:val="24"/>
        </w:rPr>
        <w:t>4、其他竞谈说明及技术资料</w:t>
      </w:r>
    </w:p>
    <w:p>
      <w:pPr>
        <w:jc w:val="center"/>
        <w:rPr>
          <w:rFonts w:ascii="宋体" w:hAnsi="宋体" w:cs="宋体"/>
          <w:b/>
          <w:sz w:val="44"/>
          <w:szCs w:val="44"/>
          <w:highlight w:val="red"/>
        </w:rPr>
      </w:pPr>
      <w:bookmarkStart w:id="334" w:name="_Toc512613222"/>
      <w:bookmarkStart w:id="335" w:name="_Toc512612899"/>
      <w:bookmarkStart w:id="336" w:name="_Toc512703812"/>
    </w:p>
    <w:p>
      <w:pPr>
        <w:jc w:val="center"/>
        <w:rPr>
          <w:rFonts w:ascii="宋体" w:hAnsi="宋体" w:cs="宋体"/>
          <w:b/>
          <w:sz w:val="44"/>
          <w:szCs w:val="44"/>
          <w:highlight w:val="red"/>
        </w:rPr>
      </w:pPr>
    </w:p>
    <w:p>
      <w:pPr>
        <w:jc w:val="center"/>
        <w:rPr>
          <w:rFonts w:ascii="黑体" w:hAnsi="黑体" w:eastAsia="黑体"/>
          <w:sz w:val="48"/>
          <w:szCs w:val="52"/>
          <w:highlight w:val="red"/>
        </w:rPr>
      </w:pPr>
      <w:r>
        <w:rPr>
          <w:highlight w:val="red"/>
        </w:rPr>
        <mc:AlternateContent>
          <mc:Choice Requires="wpg">
            <w:drawing>
              <wp:inline distT="0" distB="0" distL="114300" distR="114300">
                <wp:extent cx="5139690" cy="850265"/>
                <wp:effectExtent l="0" t="0" r="3810" b="6985"/>
                <wp:docPr id="56" name="组合 56"/>
                <wp:cNvGraphicFramePr/>
                <a:graphic xmlns:a="http://schemas.openxmlformats.org/drawingml/2006/main">
                  <a:graphicData uri="http://schemas.microsoft.com/office/word/2010/wordprocessingGroup">
                    <wpg:wgp>
                      <wpg:cNvGrpSpPr>
                        <a:grpSpLocks noRot="1"/>
                      </wpg:cNvGrpSpPr>
                      <wpg:grpSpPr>
                        <a:xfrm>
                          <a:off x="0" y="0"/>
                          <a:ext cx="5139690" cy="850265"/>
                          <a:chOff x="0" y="0"/>
                          <a:chExt cx="5139767" cy="850339"/>
                        </a:xfrm>
                        <a:effectLst/>
                      </wpg:grpSpPr>
                      <pic:pic xmlns:pic="http://schemas.openxmlformats.org/drawingml/2006/picture">
                        <pic:nvPicPr>
                          <pic:cNvPr id="55" name="图片 5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8990" cy="848995"/>
                          </a:xfrm>
                          <a:prstGeom prst="rect">
                            <a:avLst/>
                          </a:prstGeom>
                          <a:noFill/>
                          <a:ln>
                            <a:noFill/>
                          </a:ln>
                          <a:effectLst/>
                        </pic:spPr>
                      </pic:pic>
                      <pic:pic xmlns:pic="http://schemas.openxmlformats.org/drawingml/2006/picture">
                        <pic:nvPicPr>
                          <pic:cNvPr id="53" name="图片 5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887172" y="515059"/>
                            <a:ext cx="4252595" cy="335280"/>
                          </a:xfrm>
                          <a:prstGeom prst="rect">
                            <a:avLst/>
                          </a:prstGeom>
                          <a:noFill/>
                          <a:ln>
                            <a:noFill/>
                          </a:ln>
                          <a:effectLst/>
                        </pic:spPr>
                      </pic:pic>
                    </wpg:wgp>
                  </a:graphicData>
                </a:graphic>
              </wp:inline>
            </w:drawing>
          </mc:Choice>
          <mc:Fallback>
            <w:pict>
              <v:group id="_x0000_s1026" o:spid="_x0000_s1026" o:spt="203" style="height:66.95pt;width:404.7pt;" coordsize="5139767,850339" o:gfxdata="UEsDBAoAAAAAAIdO4kAAAAAAAAAAAAAAAAAEAAAAZHJzL1BLAwQUAAAACACHTuJARFl9w9YAAAAF&#10;AQAADwAAAGRycy9kb3ducmV2LnhtbE2PQUvDQBCF74L/YRnBm92NUWljNkWKeiqCrSDepsk0Cc3O&#10;huw2af+9oxe9PBje471v8uXJdWqkIbSeLSQzA4q49FXLtYWP7cvNHFSIyBV2nsnCmQIsi8uLHLPK&#10;T/xO4ybWSko4ZGihibHPtA5lQw7DzPfE4u394DDKOdS6GnCSctfpW2MetMOWZaHBnlYNlYfN0Vl4&#10;nXB6SpPncX3Yr85f2/u3z3VC1l5fJeYRVKRT/AvDD76gQyFMO3/kKqjOgjwSf1W8uVncgdpJKE0X&#10;oItc/6cvvgFQSwMEFAAAAAgAh07iQOKHBC0BAwAA9wgAAA4AAABkcnMvZTJvRG9jLnhtbO1Wy27U&#10;MBTdI/EPVvbTPCaZZKLOVGWmrZAqqAp8gOtxHiKxLdvzqBC7SsCOPZ+CxN9U/Q2unWSeFUhdgJBY&#10;TOb6cW/OPfdcO8cnq7pCCypVydnI8Y88B1FG+Kxk+ch59/a8lzhIacxmuOKMjpxbqpyT8fNnx0uR&#10;0oAXvJpRiSAIU+lSjJxCa5G6riIFrbE64oIyWMy4rLGGoczdmcRLiF5XbuB5A3fJ5UxITqhSMDtt&#10;Fp2xjZ9llOjXWaaoRtXIAWzaPqV93pinOz7GaS6xKErSwsBPQFHjksFL16GmWGM0l+VBqLokkiue&#10;6SPCa5dnWUmozQGy8b29bC4knwubS54uc7GmCajd4+nJYcmrxZVE5WzkRAMHMVxDjR6+391//Yxg&#10;AthZijyFTRdSvBFXskkRzEtO3ivE+DUHSn2z0d3facb5xm2Vydq4Q85oZQtwuy4AXWlEYDLy+8PB&#10;EOpEYC2JvGAQNRUiBZTxwI0UZ1uO8SBeO/b7Q4sJp91rqRXDpdId1DU0UZIUfi27YB2w+3sVgpee&#10;Swq1MtHY4qokhiwz2GI46hi+//bj4csnFNnsuk2NCzZYOnYnBWY5PVUCdNzRvLvdNcOd991UpTgv&#10;q8pwbew2L9D8nmYeyarR45STeU2ZbhpM0gpr6G5VlEI5SKa0vqGgF/ly5gPf0NwaNCNkyTSkj1Oo&#10;JbDcWk0PfAiSU88bBi96k8ib9EIvPuudDsO4F3tnceiFiT/xJx+Ntx+mc0UhfVxNRdk1pB8egH9U&#10;8O3R0LSSbUm0wLbxTdEttO7fQoQpw5DBqrSkmhTGzIC8ayC88VkvWKY35BreVdsRncZ+Je3ES4Zr&#10;ZYdg29oDgs5ZSKUvKK+RMYBeQGD5xItWtKCMdotBybgpMmDEacV2JiBmM7Mj+Q1emwgMG3mC8QeU&#10;399Xft+0p8Fk2uPfU37wX/lwvG3E2yo/SWI/Bm7g9I78yIvsIWz7zh7vYRAFEQjfHu/9fhQk9gL+&#10;u01g7y24Xe3J0H4JmOt7ewz29vfK+CdQSwMECgAAAAAAh07iQAAAAAAAAAAAAAAAAAoAAABkcnMv&#10;bWVkaWEvUEsDBBQAAAAIAIdO4kA/orOCU3wAAEx9AAAUAAAAZHJzL21lZGlhL2ltYWdlMi5wbmet&#10;/VVQXN/3BQ42wYM7Ce7uwaUhWPAQEtzdCe40EtwheIDg7u7u7g7B3bWhoac/399/HqZqHuZhblWo&#10;NEXBvfuefc4+a6+1TvhXZVmM9x/fAwAADLkvUt8AAHgo7P+qKEgAANztC30f7AOc8zfZz4DKSdJj&#10;2AcECwklCQCgJhYNYoQI+4z684uWMwBAtfDfPziEP/WZAIDPtpyUxHcP/fNMZB+CgVVowCfjnC94&#10;ql+/9m8SrElrC3UEb2bgM1EriUYE486iyX0J+IWAi/ILkON9JE1NKaOKoIqPc1+6pLP1+GbwdDme&#10;tnJ79sdiTNBCBdewK3vq0tk8i7tNTtnN3c3d3HoBv3WcXWs8gnBBZqm5rDz/17K0Y70Pgv7STeQO&#10;ZWeTBjl5d3tD4Gdc6D5uH865Lral2q1EuCHfu6ay/V6hgz6EAL4Z2W4nlHXMgnNAMdgzzXcTaD2A&#10;qn0YVvOX/N78GLkWIyLo6Yno38lC2Zuamruo/C5KP9bRlZdqaiqaif1l9gMG2Mfn89vPlU2uB+gR&#10;A9JwRx5osCV0sHJZ1navTvWyHm18H9A/y61+yDej4s+VG9t3nkuxyEXxG72KMeodJ86g3L4Q1XXR&#10;k4X4l96uVNmDCoJQr5l347s/M7Jik7ZxxAPiugz3exgs4faYjZvJ3ov7ETLOqBg1Dg0epkwLhWiT&#10;f91rv+cap3kJbGOAKsXgbHPFoxpskGYpdg3jk6M593P/jvqupfmzlAqab4bO+mFViiJg4bV3dzKB&#10;+3Wvm5QRs7xOZYBIPApxmgMwvh8o3palcofXrHQnd9991Wwwk50mvpMjRasjbtq771/8pJALGqwV&#10;1SNoCczutcvFWqwRWQ/zHyjhVR5tj9nH8Yg6srhvpKnDmmv99YRYvEXjabRx9cszXxH4YQ8NG2xu&#10;9em39gv+DAMnhzvIW728wUdnvyO9JX/STrNtumifwdAv0NRhkeXVhghYIgl34qJ7A12N1q7JGO5y&#10;7oX6PA5RjILutkDQDjgWL6l+HZLZfIe227g9JMQ1FXeTAWb4t3Zr4MtefezBwgm+9/MC/vGc1EM2&#10;rh/Yv/RZD/K0m62kOdMbeD0bxYtYT0muDVB1SAquy4U/i6NZzZ/KNIBMFzeuJvGN74fxbZIT/YuO&#10;6uCopi7YOFpv0oq/I4Zoqto7PzIAGwPPn0IH9GizudeREVVvr2vvPhB33l3Wo/cY2+C6Cg2+Ym1w&#10;mR6Kib2Ove7N7aOJ/xMUwVqU5tL/o72eQHBtEGIZZIfS+Sw6yx6vkjGhfphszyT6N9sHjvowqfVB&#10;qr9x3kcX27yNiTlY/2jE7wr8Vtr3dBkOP0YIuxbQ3b5Q8ymSuvtKkbJR9JAAD2h2rmqf5P7VfCVO&#10;1RvfDQSs/cNq2vtGAjco6agpuuTXyV7X3LtrRB66z/I7w6YqUkggNTasb2ynSDxIrAQ4E3jE4MrY&#10;HdhOI/rj1doMc3y792/ngIbmBFwsAextPXCo/mz63XWj0zv+g2W08Y1Ovf9WOuPO8zKsXMMqTfK/&#10;2ywrb/84zCpv2C5fGXlE5C+JfpUICKKTmyd8hagzeY39Xtjn8M9oN6htalkvXOZDrsMjeelDCmEw&#10;RQ6lh8qdI5xI9sePpgMTw44OXWkvNwLzcurFfXSjzhk4NhRP4La5oNeXpJfNxKHVQuB3cWvdUvOT&#10;xe2jncQiWGOHO/fJQe+PKgw8WDQxKatv7r6/fNFmCPNTJVV/jI2Cqj9Lv6Ws495jKTzHeF7rUqPU&#10;G4k9oeLc4BsA3j1KwmYGUku8sQQINe7UnMoNjyy971T7DdG/rJyx2K/w42ZPciCIf3V+9rvcBD9T&#10;euRyOzCK+FjSaB6cA5bV0sAhbl4SwkydkRlrqPjZV5Qe1RGK6Xd3Cvuhg3vnwU0BOlhjI8b6J6FN&#10;AfAjeSZhzWw1yv58NeUHNFetlgzV6zwalQjX3LfD9R9bIfgszEY1KtFjloqjj7GTk2p7tw9/AVhR&#10;ukYMTQGXFHSZjSiBW2U6PWN82Sdbze4nOatU1xF9CTilL3ycEucWIHP5no/QMKn9XX2MMwYRKJnT&#10;0yXNX+dxUHEPMkIw/etkBCE/3w6V5G9iGtUq2VmcGZkAM8wmueyqgss0jNNagWkGx8urM4LqmN61&#10;r4lSQVlyXVfc0qwKrTaGjbsnZM+A2QEHMm1syJSSvmhgU48i9z3NNz8z6RS7TVFWhVeyQObgy9Q7&#10;8Nl8b2Z+am286AWCmKY7+B1nG2RkeOVhRW9aphMgeljuUDYcJNiObodQg2nUKZzLA3S3ilwYIequ&#10;UoBkN7kp1I+JoZQZtHtc0xNlo9yqKKR4MeDev9AKs89Xi1jijab7ekaehk632OxqXX8M8jGpceBF&#10;iuWlFo0axOl3M9L7/THXgIWw99Zlb8nVCmcsrsWm+wavf6nYIqJOwRY/x1evpMfX+I96TJhwDfWO&#10;W8O/GhHyRWmjMDFijpKXjILTVFkKJjETGzN39TmZ5cm/wRlkTZpSx3Am6yNc1L1qdZGnecqKxOvs&#10;g8a4PcacJXCvnOR4UmP2CKzKtirMZZ19EVQHp4Y6nj9jSDl8E0iy6suRHCjsgxYuKY6bC74q6mdi&#10;mwisVzKgs2ImftRkzS1AJIjWChGiTaZJMkhrcUMuY/IwU5+xYcudE3K8thMn0Sjijyiq+cTgIzxr&#10;sfU4aj794l6OEVzfbXznFNW7Fk+BLLG+Um1YxB8dXS/7z03UCABNLRDGNdqQtjasyeWkFX4ulsf2&#10;Avzzw+EVBnSertt7THIJ6j/vIQO85nSKMv2rn0BzxOw03R5sHyQixiZcH4JWozVrFHk1bEkWpVHv&#10;vCx2fw+DT8m2MFCfndsimzFUrX9m32nxc29jNWECxjX8ztr4xnN/gbP9Grpv+X+AG+0+EMRMVuEY&#10;obj5AeK6TBEafGbY5485aVhju89nLWxncgwFiWDPXc6Ibpky2uQSC12k02e20Yfr1gxMjfXHdDPc&#10;X3vOT4rPPYH7O4Y7xOOQypB7GGTo2qDbXZ1a4TzQ7B16KIRlTr2OCVz4JZ7dCWcQ+sFmkf8oszX5&#10;hx4IE9M2MYWrBM73m5YYoLr11y1UOQizcUfnSxTbnB8Dz3HfajSTEF/mmJlO9VkgcTli7K6gNq6H&#10;kdcMK7W664p9kZYNf1OYfqXYJGDwlpseh1VGgXodCTigWVLuBfB3JOWikHAEfJV4fO/vIKuAEtGF&#10;JxFGA2KY6EqS6iBnAsa3MwwezghPcn9cK/jZlYW9aeDafx3IGYVz6tXtAQsbxcsvZP9/07TP/O/R&#10;VSDIJWWfdzyFo254LI7U9v5LAHN6DQ9yekzWNkokmx6T6C9YrKEKCKtGf9IpU7GSUXMp3vl+9DKy&#10;nvFm7UO9lnsKZX014NqUfncuc3gns8tZEjAQwf0ueYiu9ywxAejUjj4wM7otDoySnbf/stn3SfnX&#10;E5ghRWrmYu7x1qsoTRrPEj1kz2GV5xVZ3RmwKoHj07G58RRjabNusWK0wOfxkmB/nNwcrZX55eH4&#10;+IGq3Jx0mr1OU1NzvRlFFr7ttRRYssXF6SvKCxsKLXU7uSakRFPbgXwodfGOpneI7+z7xFDL1427&#10;nSCFcXG3678X1qp9uAHxnZ7UjleJDvjwgB9AVJEYtF7b4wyVkHjrurfZS9nSLZ5P3mWkKgjGdJB9&#10;IeRBnF9eoWnS9V3JXaenDCUBL8sWT5DZKKPIJrbkW1q5+fhT6u4Loo+7zSf/DM2wOVK4KOBWP0hs&#10;7Po5hxPtcHMzv/vS4unSaiL+6/sDmt5NV7siUDAf0+5bi1bXnYrWBAH52C3t9eUn1cieNKt5hx7K&#10;rtQYR6isWMa9nOhavoM26e3XLX/3Jlrp9po3uDe0fGOxcnI+h75PNyt+zxGE8+wSyAk3mtTvIFK2&#10;u7hNwbwXSTseZFFB/QNVoisv93e+MQpUxilSb1T/yixupL6RVtTmF0gPMTCfIRwkjlFPDxqPmKK3&#10;+10O63Iz9clph1ZrakWtCHpn+mqEhw5Vsn7vv6qlRV0acq9W7PbhRK7D6a/NHxo6FNT/uS12jffO&#10;Lp+VyeEx5TVVurHlN+pfEUGzxzttve5/ZMTIqiMabFtXYV3o3w53rrjrb7nLI7MVQyoBmuW6DNU3&#10;V6nnVuxutJh+NywAQcJwVR9cjz+MM8gn8Fts7lFHO27vogKy95RFmExqSC+GjPOndl4NhLZ0zKiR&#10;Ac+TLE3O4ujlWB6gMdMW9pl8g5vYfMXDB2OueZXu0avEyKAFwfZxE8NM+NHZqX1if6TdfiEILWfX&#10;r93SsL6zWoxnVntFW5ZH4dCf2pqa86UL9qYP4n2ysh7fFxJx1sPhSzfoCr/Vj8y+GyQOZ7gSoOmd&#10;vrGCW+Ol5v2rwpi4PVxeGL3JV/+TIWXoI05vN1ajgAE2bLKy5A8Uvq72FT2O+/oTIqbuUl8WutyZ&#10;zLk5BXzIL1WTsv2qQKz5h1JIoTAMe3cGDhA5QBs4UCyHcYG3myNVTcwGm+q/FvKkyblCJxWgI4rK&#10;HllZUf/kynFKODkO/Z1zObHX7L9v9ml7OpXjhIsLP9X3qRpyymBwyTBflosc/vmKEXRIHG+BCmCV&#10;wY/twzbBWbhM0+3J1aPigqgpADx7MWZC+3OLB+DWMoOSqz7NE/YHPWU11iLSIU9Zg+IFaWWidl0P&#10;TjnrGDN9kKTpXpNWBcerWH4hdcyJyZhwUX3x9Xzu91fv91D16m7GrBnV8kP8eC93Ob51f+h59Qqq&#10;/Dvssd+GgUC45fTzgNWTZPyAmo0WFNvEl1+d7gTtkJjBrCKORyGkiRgyCnPLr/QCUNZotiXYVbye&#10;anik+b0X4eNy2LvmAYoxNuXQo7Mqx53A+Q8ZFq9QiRjIuseOWg9w1wd4RgnlXEPNpBk+RylkUi5+&#10;cMcYr24iSXrhylaOPLwRqq/Bp7MWMy/7SjI0cUs7Mb7M/wo+tsE3+X5BTvsaI47Os9stoErcvVXs&#10;nm4SQ1Rytkjgn25QixjCUNwlMXw7j2Ciy8KsB6CSQapTuNcwx2/rPAnvueX9RQYozL/wgxv0mEUs&#10;ToYHSNQSnb/ekKs75xJixRsH9iaQdmGV6PodLHmxawC+eX4efygsPwh0kUnKDsfL5Ocmwg5b+o1T&#10;rdngY89PHTDo+y0R2a/aU+Q+eHBLyfZ+RLfzgtpeFh+JkGa1GYH6wOGnX5NgdZSonBORdOd06hAy&#10;QJ9wwJc4IXO8Yyh4oaEVkGfStHEw2/g9pQrwKQ4LQPqNcK0Xe9eDbPmuFZCY4M5nLM3w8Zr7G7oI&#10;IA6LBtmfL2h5WIKm11DsyT3AdcUcIXnMGpOTRIptCIU2hgyw5yZlhMLV5Kry2mJvOguUEo5Uf+dL&#10;ySfAfIyeORX/u2BKJ285itt/9SyTVN21e81wnZ/VO9RSrds3VyBCCH06EcU85eTuPWC1Rvddwpg8&#10;Zr6QG8Djp649cAcNU6E90cfLCRG7661f85P+b5T6SLOQC1FA6tBMxOEXrj1AtdPjIY7I5hFBt6hk&#10;cnYhYsV5MThMbzlEoVy7MkybPXnqXCYf6foaHgA3aL3/bcvYqVGPYcio118MW6EVcN9aBCm/Ou65&#10;/RDKrotiLu2a7yGA+5UcY1i1foTZJ3C5qRbL1d/Vs1ZTEM5/pUBIEPA7KaDzQ7LCP3B6hGhfbpI/&#10;8U2+v2Kv/NJuwsnbtiORpygl64qrunFcWdHbpd3H8VrSMC7Sr3wuAGzY3cYRM8YYLp28C6th7+3e&#10;4fwQ0L9iGyP3IJAwUaXWC61Ox50WS2Mlesv0TGPkZAZbJOf82otABoiRCTCdfhWmzeq8UVqyo8lN&#10;fKi9X5u/aYktOfav79hT60QGvGqHcck4oWhGzbgpgtCHd7Gj0LkKTAa4/vHd/TcnfDkHTJt7KH/0&#10;VcNYttT6fEkOOFGLDP3CVY9GOWkBG3njYoAjjDX6IwzEwmI7yVpEmUEyU146Vgv1A/0hMlc2I0O/&#10;8cJAkKZPCbU+PtJVrE5rBVnTDDzgSrXtozXXxV7ETphrmCwyQHTdSkXKjMT18+7bmO9lleAesYBk&#10;3Elfyu8pI16lIwD+ZictKjjTS8gfIWgIfjVmWLA/Ar8BXnymskobu00qE1mmkpGSJ90ZR5jjJbR/&#10;hZy0rte1lJmJXuDTNemfe1388BlRQHHOflCcAKv6VMzTO/DpkPWVCJcMCzL1wY3Q3GDfYToXlvxX&#10;qc9p1Nl9a93dPuuD55royIPWcsHCuXOd22iBTvH3FWk63mtUzouyVryV/vymUjLdN82U0wdHRS2D&#10;kuEACl2bAD9c/2ytP+LZWVJ/yQZL5BAiJfDxk8NU6KTFdwj+Kz6Ccw6cGbAGS1GD1moExumnq91H&#10;7Ym69MkP1GpEhdg1BP9F9+2cSue/CQEP/Z2MP5Sz5VXrCnHj744msUhssuJts5kYu7N6+OhuPq9S&#10;ORqA3aOhfEPICrJPchaq6r97kostl4Xv8dTb7aef11pv3begYHese81qphqw/7ioXw7qIaT1/WmO&#10;AQP+ueiaHMR+HjUaKpvXOXbFHvneZbX1o3hm9fIUbJf/v2sHKfge+ePdOzQPbhKmC8hTuxOh9rXa&#10;txmqoWi23AP4WWCRWPjfSgVoSdg+QCexM8bxqF0ZiFo9PhOZOIrhzfaSnnLMEPDbM9P3gYV9kGHa&#10;n48NVoH445tgeJDuPviNHb28p3Lmv8tHIlxqnqoV0WbgJOFQiVpbSU8BWyBnTID5KOpwGsImwwpc&#10;Zey4qVBjqb7s/62scalWGZMY2/q655zvtFH8C1iMoZonNnLoSfpKG2bG61gthPybZTLTuVyLaspy&#10;fDNQLQj8rg+PjAeLh/csqVR3Yiuwx4+K31UF0qp6OW8fYYDNceqLi03RMqc0hpCkCRtOQcW/xiJI&#10;3+EeUiT/lDAiMhEvRyeUxTaJfhZYHxSzQ0ReQwylF7I4ShKTpb/wiksW/BwDkQM0DvrOkcbmauqJ&#10;AX76x/rhGqZ1n8RGTehIjh7BiQ8fNxmqWfc+q5AmmlkPlO65NyUVBnfW2CNVHO2jvq2MYXVRD8oL&#10;ULQZh7mpY6EoQKxMFVt23auSvSWpX7mFOjvNKyAKAV2khmV4uNCtNWTTvatWCFOyEdm7V8oQcoDm&#10;h1WCbFJe4EOJye1pfT/XReYaighS/4xKYHIsvK8mK/TXl0b2uqWKzyZ/oxV2MtuDaBYqAXtCcL/1&#10;kMa/mHkBDM0udjXQZyjOcmMHdTEBlOpvtF/MEoTFjDQ4zHM8nAFf+3EM9e4cvzuVw/t/ZO7ifM+R&#10;qKLux2v16GJNUzzQqxIjX34CB1gUnJ4CGv2xPDSLUQUOFcf22XllY88gnXKqzJahCgs5Z/BrAPBL&#10;zkQA1UPF2Oruh+8pHR4tYplsce3JAE8MLInuO1Yav4L2w2EhgG2ZrA270I0T+zmaIK2Dgimbwdes&#10;la/zgefToOc2g4t/ZpZF2QiGiVgABCq3jbcqbRbbwGxQltB96GnZaLmIL5hqyJCKMbwaazSjW0g6&#10;THU+hzb9Qf7l4yJTO+vq3QkgAyNtg2hxhcELEQAUpCx0GxqIeYErZ6cAoIjEgmVZ1/nCvtfAd28E&#10;1XaGebXNX6tTRhaZvaviIYGVCcNcvXQdthZXrf9UNj3nuVLfP6O0T9qdJZICmjfM69om522NjByj&#10;jV9pNDAwvAs6J2Nz+cc5Ogoh7YbAwsIz1/EjG8L2c40daKyW9cJl0k2ZbZd+86YfOX/NPkXJUITy&#10;06XU/uPsXywPIUtCobW7Dz/bfnTY4cw9SqaKkrxrKshVl0zZhWfvkFiPkVNU2bg96e8/p5KgqnlE&#10;co2xYYvoF+Gx8M2LqSJyIKnx0NmZx38h5ZXu6qI7bRkJ9rbqEzMMs/NWq/2dvROw3DB69ZQZU8RN&#10;D5UgsEtn4uFsE31nq/YVitW4Z61s95fOHSf0a5glGHDo95LyQJpEupwldyLi/ZpR7qrEd/a6zc66&#10;xXIcsJ/K5P51bMAWwTLluzDtpGuygEqAnQbdzzZzex1bIvmpKjp+YoI6Hn1eg3qaj5BtwqF3ekhy&#10;ay7W8w5dehUcmcv2vS47kEv3vgdpYKFCyttm/d0/jXhbvBN/t4V6gdPuilS9H/qcltt+h2yWco2B&#10;EYPjBesaDgF2aXT+u/rlSDeURrQrLOO2cxuNhu0pN2iRcxQYHNPGhs9EEW7f/4pyEealno2Ls+fv&#10;/VspjCCtM0Vw3+E13g9YTPhOZLDUnazqOBeUp2E6FzEvI/6UABURrfkHOEb9ObKWjHAuheHF6qyI&#10;uIPYmIR8ePUw0j7ZTz91SsvEKdJTA9LH5mqiTW4aosuBAEP9QjbsUyg4t4DcS4J6Zfl/wwpAeRLa&#10;/h5qptjc+k7nsgZu9Ay4x4fo2HSNLM85MVkvLee9ubEd2u5a77IV/QE7qQPgwhhD99ActKbmcmDF&#10;4kHFxtyea81GB+BrvVXjXbcxYkY7dhftwKd2bKohPCFFjslF6yKjqXkRNlCD/zmWICMzqfkIirFI&#10;eRsN1xKK17XQ24tshUDPa3okEeWni4wHtik7nMwHAh7vt1tnK7gddKVwWykZRwZZmsUNNH/617nY&#10;xYsjn3YjlOjzNsnMuCfViEbFr5fu/J3D6UtIByVwJthszJsqlxefSOL8xLfnPnMoT6lw4tL8W9zB&#10;k9nH1CSv9/xbUM1/DMehrMdmYDmr4QPn0otdzUbk2d1Tl/KbDN2AspFjke4foj+VZ+AMX9SgFVXj&#10;drhAKhv/UqWwStq2MEDGmBJpp6holQxN6IuTlgPA+C8bIuwp/GI5AIZt4ka3/L/VF2gAA4iAECK7&#10;PP8Hwj2yY9TTi+FMNH83Go3ZHzF/341wX3t1k3JoVt/8NaGtCJ/9czJBmaTBixm3mbuUnJVtSDuo&#10;J55h8q1RrL/8/QV5ra7nUj/AJcQ8FV66+0wmHzmZ5hi2FzUqAoGlHdEgWVSCp1rJ74C1AOywxH1U&#10;TWHYUxqTs2ytsh17a6dcHZMBUhnkPj+C30T7anUP8V2RuZbwHDl1otsA/nzwCT87lSfNEIgvC6L0&#10;AWFoHyU64lscZBp0AR40eUf74sDf/kWxgJNHRXA7oZZDH8rHNXdkDzjKqn1q1TaFP86liCGLNDDg&#10;w3QozEnOiwhQl3zewsHImnO7i+cUe0WqZorPukSSFhzAR/Eh5fCNTYeY438J5tH0z7L4zyH3SweJ&#10;U2Kl8yLm0GqLu9QDO2Eu5rgjMivW8nBL950wYPh3XWhn63Sgp9mJi5My/G3v/OfDVK2Q9s3Yv4Ja&#10;yK112FvwTROOLQBOBZnuHSvf6yQhshQIkHqfY9KIwcyef/8dQHLocgY2U5sleFjZx4vQ11jd3Zgv&#10;rSMC4nHqd6SzNZE9XjABIzbzGRMW+UhbfPFExXoAw/MMVzhxo5rCUUYvQS+/wHhid67pA5Pd26aP&#10;4WqUgzYLG/Ekqa5whsCqWR2ksEjG4RPcvA635OR1CTas5RlhQLfKKTq3qpjv5QDK58p3y53qpEOW&#10;pAiNDt+pUznGkw1UtmF3y4nNIfaOuNJt6F0dbHy/Spq8sctPcag0MowkygL4ZemzsxMbLn/oM1Qy&#10;6qwozZlgIVp8/47wk/fo3Af15z0sPUPEMu7aiHHrXs1XK0nqs3Wbg5u0dHU/oAycp2KNVtgF8aUV&#10;JBt8+WPCi90Ts0qsrwfwd8t4MGhM09KDcxzfwdlBFD9ITrQzWvsgzHJS93UA0Z+xiQMgJa5DPsZI&#10;ifySPXOL10O8WOre/fBpFf0i+Y6fxjHuGrWNDM3lxoOqq+wOKvGm8g/KGhXgRn3TtdWj7oNmN0ZZ&#10;SgQgrRY1d/zLj/sFjarTbWkZd1P5xxYcSoS8E2v9SP4zCqA/rJSE6vVcVHol5jT9FfJ4xmYoPB6Y&#10;R1C0P5c7KgPX3SqM6xwN2O34DdLccS//oVcYJycRz1eMV0eSRK4ZI+ekJayK0I+pXb2No8lgYjal&#10;/ywsWmN2NWDagiDSAfB3jx9eTx6P6tspbu/ex/RXbhM9rHL35GJhZL7gV+MArPckiqSahLQPZD6I&#10;63ZkyQE5y9hvat3Mxyhh4Zjz+zCku/rPVS4gB7Wrz+suNKOoljH2GktpGbDmonBBedAjVFeiB1D8&#10;siydorgXkd7WCe/siWQZKY+R5+hFbCfJojxWJP1DDyDC08J52IkjeMl33HTmSuP1czziMTuzfbWm&#10;PH06eal5ZvO36ctv7xBTUH/pIOB8izzzQnMU0NPlHAixZarc8zAw5yOq5ki/waex6yZO0oxlBxh6&#10;S3k145UFnNAA+FsKLwBH2/YZpqgoKv5rXK2i2BmdYFPiuo/G9g9ih3e5CWcM7C0P/YKUMVrtuWIU&#10;6cyWRztsKnXYo8vLZGS6O4q9QBFHGoe6hen9olQtMpXHHnHydsC/2MgW5krm0F+Ll0nUHEYmCM/N&#10;H/bUUP88HxeZjzX+8XD818vWpy1l0QnSqar36SCVDLMjjg9LVolkhuWdmjlgNSOuOU+0rvVqOLXd&#10;mNimbqV+Cx2xRkYqS01U2OzH2y6e+gAfRZxgWzCtVQZadppudQ3cn4bYL/DHY6fQ8XyIPnvT218U&#10;40zxxb0At8LQoX07E5xVypZNa/MQX0YbPTIulV6gKdMb6ZzeMSefY8YJWnYWs4u+nPNiu6P427lv&#10;CgYPc+qQ9g359MFcFaEpVxlahy2JcM/ymlchqQX7b2Fk84vAa907hL9IuBxjlAQEvWQs8K0gqUnH&#10;2RlPU5+33JAONYv6j38EL8PlEMNVFHUb8tyGNPcjjZEsBQVe1FLV/CBD9N90Ok5lUYaQCoWRLRhD&#10;XY2dElvjwzM8KlcRu53VNKrseE3B68iyVT5Tu3YfRoK4FBNNGrf62n9neNNnu4fzdK+bvYx7u48e&#10;KYxs+tuljJHB8I4hzz/liJZ19k17XV40y4Q2G8L1yr+ZqRm0kiswY2WbebnBArZTZK6Zat+601WR&#10;+5F/DUEztGB7bnPVq76tyk+BXLGxU6CMlnm4a/MSt6Un6sVW+gA93Lc7GndVYoap1/VkAtGDdRVQ&#10;kQK9lePW1XrNvXe+PrX1ovuKm7lbxoEv99SNm7mpH/7o+KCEn7v9GK3QpG6Gf2NVjn/YrzFWvcRz&#10;2c6O0P5YrVZfBB6rWYeewqZ/bvYXyaxYdM5om0iBLuvf1+3dFey/vhDsB0/ul2k4bJ/PU/W9fmr2&#10;AdeSnl64CU48F7DE6lh3E3dooud5Iq2JOR8oxsULqJXEnIfXVv9/vZo7e7KwsLn0Uxu9yE8Ydorn&#10;YR01wc+ldqGHbvT33qHmDr/8inMlDQTN1T/7fI/yu7QjLz6I9Spj/fP79P5L7loSHBf+V4dZfrCs&#10;PgVeWwfRPZ54FHqTXKvzvxuVVALZcaJTBPvEeTepRVRzV4DP+DebQyLgtMXlf12xCcVRAUYkirV1&#10;2Gaub74b8moLGwImVPoha9ISFEhRZt/aVaOfzmWntmJWzEr2cDLbXUa4sOCauKabXAMMkCKpdgzF&#10;5O69CqcLnEIHfnPQ39PDf/vTJ+5JijwvvGwbM+AmJffl5SwU3O+5jooVNZ40pMfS3+MjFZUclNzV&#10;YxftXURqZn7vG/qtztkKLGicSbncOsmu2o5SfGXixn5kISJAP3WvZMuOaU5jyBf+N6wfxOgkrqs9&#10;Incf3LQuMYyKrvKnzBJt2L7rhAI7mXHqww41GhrRL44hO99vKglet28fRIU7OmPIafv5rY6X5VOR&#10;RyVNGoUZGiUg+DWYM2F2/MwpFzo/m0xdZpEc2AEHppcOSmJB3rQgpkHsmyY/CVmJ36QIaPqWVIMo&#10;90ODB7KjrlzJ3bb/tWi3O0flh8aEbhABkTlmGEKT2redpCyDZQ055gxPvcg9OwhriXi3BjT3a+Bf&#10;Yt1VAuBTqsEeIZbs54vYkPpJI+f3IjywwrWCRvC76R5CU03tzjtxfwPAp6O0OzQepjVzBFeFXI52&#10;MRGvfUXzb4F7X/31OgGGbp72CNhzL5mzxPoq7K97mCdER7D9KfM1QznU9B2PIOD8690JgqHNurvW&#10;e6aly6wbnvuS6Q31dJmdz1ua/EFppP6N+dlBFyaZygpQOV/0gd81COr2PCKHjGDWlZdgk37EqG3O&#10;DClA3fCy0znGNGlguh5GhUf/EAdAZvA3cFgRs361pjlg2wCdUaYOLmab2kXrKw5V8m/wyCdGEbC7&#10;/W52pgGHvtQYgvGhGM4B2gnhIwlHV3zLWo0HclmsyvL+WQn8Hpp/llWSTkymb3zkYQ3nwMO+MACX&#10;Ap/cXmYUTm83c9dasJ1dHmOmSp1oAO7+708+4Y91ZXqA+dNMNy6UmBDDfgeBSxFKOGHEOpz5MwSD&#10;J0pN0jomPzFi+JP4W/k6XYj1lUDh32naIfeU7vN3OXUKfxKzviAEM/hRD9VMteIoHG+dvakKxhDA&#10;fZBhBwznS0uYzlAnCdgbtNQlVC4eBiqTMzGzA1Dy0ekVjNU/dE1Oek6mhee6wwGg+kGE9q6dmVO2&#10;5QeA5SMuKeatWVGmrOfvnE5w3QwBXn436RXzyHCO1ZD+/nanb+yiP1dbqjER6rhyN/Wg7X1dy66Y&#10;8NEi+LBQWugBNJtDN4mCXmBUAT8238tPn5D7udDsaTjXcheGzH9WrF9LOxzlmQVq682WihYJi/Gy&#10;0/ybuQaHho2VyQKwLyweWuNj1o4E18TaIp9RbXXb2S4NP9XNpydoks/3mD8eIoOyVAJcZ2QNJTEN&#10;srT2iKuY+0WADZYETddoAJ0ap1X9mzZN96eXF9OMfrXdG4u4mwnRb51Urkd5Ya6YdX1dODh3wVNa&#10;XR/eP1e3e21kEqljRU8KKj/w283JgR8Z+ow1JwIMvd3kqToQN+tBz9rW2M7d2JNWVt62pjpq384i&#10;05bCUxl6ITjO8sMQyOjQe+xx9rU/DO9gpfKb3xOi/yYZ4H2TgnbHpe6a9uzU0l/ZZ7qdUpI0Sg6+&#10;+arm5VgfBs/XfX6+dnFjXdhbYA1Zm4J4BSvjKN/UjcUKM7TCeXgj//XMjrrda+495VBkcppk6bGV&#10;GmsCLUZDMIQntMtSe1eGEQHBSyXn1uc5kU20pYOcnzc1oeW2QY6k/06FOxib1YEZu1DVq3hPCfnY&#10;P456vniL0hShK9vQD6++cBRsPE+I3cWpSlhrthqn67yMt+ixbT+35TkxPt+w/t9VCn/8izV7mQ32&#10;qTRwkcbpoTY3kJu7Ly04eIA3wOX6bxt7R3CwxZWODP9oBc1Vnb3w24TJuLaov68RoZqH46o1uOIo&#10;pSjg2AzcqB/++Pop6QegBUPeLyushUSdaw5D1tGxhoJFCBAri9TetS9qnpSW0aEChiwjLJ4Jnury&#10;xhYzl1Sev2//ZOEsWfdIV3w6C0ponKaz226c30PzmRbzhPPyChEVOqtIsAgUGmoYlNoh/9B1s0ve&#10;GF1GT3/p5W0d4YtZyMUlTBg6rtfWeT58Jr/aPIIQTNc4suZ3Y34D0pBQB7UXwoEUn8140KYrtRK+&#10;kh+JSKzoU9Z5YVkuSXv5EfCeZLb+OWiVkAlxEpxdeynMNmW3ovjDENJ/wyMxfiJoKAzbLFR6dnYN&#10;MNvPKbagjSls/pwV9OX0mOFw8gs3Rhx6ULs9vnVhxsthEb1xU7LXIaKw5bc4LRp1VfUn/5B96DGD&#10;c308SvZLdylSpIAiaUTktnR3QK5urUjS16gtFSVVT0F/+iUzOm+GT/ylZ+ObiIFxKmCVW8keDveS&#10;IjOvhThUx99NKfFD6gY5ciMLbIOVq3otPDirGzQdSRNHgZ92p3Hg1OuzYVeAljrg3N2omKQ678TV&#10;pvofFELHX8zC+g5PXAYfu3sECpYryy2Oht8pUdyBwbYxLYtK9kvYYsuViyPZEf4r93vsnzt/3e6o&#10;X+U4BTGNtKWsAl87O+qjM+YR1jDPcF9UWGXmZ6rYgVnqD8fEjR9cxdeKo/rDbpCSGnOBjGPdZ+Rw&#10;a1wKsHvOzm4t/KPVgVxvkx7lv+9Jk2fYkrAX/gs7O2sWxnn57IxxlbIUecQImDNFYJ1CbwnIZB3t&#10;vzmRoYNIRFezuRcgJ5sko+NiH/i8ZDPGZT+hajOA3g3ncYs/ZZB4te550nT8+LQB12iDC/s+mFBk&#10;Zy6Jwd8H1eIye8WrXa0xXYvU38OcC2n8NvjO0BEu0+RPhxWXQbkJcfiM0aPFVoOqTegbxncfe3jY&#10;rZJayd5DR8Rz4xO75s311OeR6sdYs7bthTk30WG4gA/tRVZOmss7Wuo8BtBAsx0MqsGG+vWonpd5&#10;Y7flHxWfPp92T7FeSCh7kZZEE85YbYnwt/zk0NgYpvWkb6KfOSb6e/mmyqIyzKDkYHjOstpjuwlY&#10;S8wXuMabV35L6FiI248RFBMXS8KMXPK7qVeI4XfaxXgqsInFWnd+LpLN31UG0C9XHgW1Ou2PTpw+&#10;+Gxw9b2ZmSzWO3bzpQ4Ep7YnjuoskY4fsH9j7xg2wydrxR5fqycgjTE0R/bRkboA3PpQiWqSAsFL&#10;mFrUHLuitjPqA+uc361hUYCvn/nrXXq69x128wtorcBpy8IowA5Po+/BitBxFavbeMQQDCxwCFnP&#10;d+yqpxFp0oLeOc+jrN1KaRvCGFfaYiqA8xbnmyYN/c4UrUwAsC5VPsNI0ODmwUBhDa9v/CDwFT11&#10;Ap6cNEOn1FLh22vxHkXaGqpHVd6lt9kuGZ+FsviXwF1juOXiT8tajjUFCu38Tocb6KxbaBOjgj4U&#10;NivElEvqX7ebfwL4YvfoYJwp1Z61E6O1af80Mo/mzGJPukgd9MkzFr1P7r0Ia3Y81Az4kT0u0KM/&#10;EjgOdk9xdjJki43rt8hrea7v6j/EI09bNd+v+vs1pJYibBBZflKTAVwvuN44CAqs3U+Y/7Mg1Ijq&#10;Lw7Y/5zBMPt3YprUs/bvVdPinFx8+0J//8Zl9UEDnKAXA/Qf+fUNayxupXusuM54bjS++94e3RCC&#10;PBLn/d7U45ziB0qXNyHwjLKFIy4ppgCYP0yxeXzsvaM/2050whdz1579PQ7Do7SuWQM7BihBhrLA&#10;IgXX+/FD8QyGG8KKxr8qv4tSF2IIy+2u97aMzGfkYa2GDKMWuTq4MeVuyIic90IsB2Vlc+3sK9FQ&#10;W//3Xj4RXOQ6pijzURTKNxlBMPIvhuGm5LXo0Qkjc9e4cw+nNYqDsXNPqliVt78Xyb8aLfXQiG1o&#10;9Xe8BMB4FxGT8z6fHp9+QbY7iGy1Q+xMnBI6yNDyvhAZxaQ9uRRPJoJeycfYN0QFym5yalgejALP&#10;jf2oiU2Ajvoraovv9ma2kpDM1x8OJV++Os6fkc5g7cMpeRX6hDaaSV10Ox2NGFRg8Ar3f0Hvpdm9&#10;mTWy7xj+bZCGhtyPK9f8SK7wIwvCQHvR621OKXOfBgzL4Q6M96gzpqTsZFZ5m1LWT8ofDqI2dCNr&#10;ue3NRreVlBo7RP3bYS0KVqjdX+Xdkm7RV37TFhFx25cvPy+En63XqJrP0fZ++/jn5fjS5RVzmh0z&#10;rOTTqgK8+1ddqdcwPRWho0wIfO8ulG1VyrYFeY3JuPlp57v9tNu8/H7G+cUomaay6x/IWsxPVsC+&#10;W2XcnLeElsrBzJAQOAMfPuDafJhRkz0ly0DamfsRI7/lwr9+tzIru7U1rKEQY7hkNrGrP29XfbAl&#10;cbcuEYhQZ8IXkzxF+Yg+4hYlK/O9SmNVmvCAYOF53CBIbqRN9v35DnE4ToBg7h3EejbHXurzw1xV&#10;ZS0GxPDWg5p1ye+t1IROnWLOevhGLeLcm9rdUHBvD3TRtHWSdy6egfOh50uWqZoOxhxdSnGpRBNG&#10;1ILfTahrHu5tFGB3Ik61WpddtCuC+sDuZyXYAT+fzH3/esRAvLOClbHyrvmUDIN4FxNpt2o/ETTT&#10;OLompKjz4jKfUcAnHZPiZX9zQmCLlz4/nwjqsJfT+eXmCJvEu0lVvfx4W9ASSGBU3pzeSpq1UV87&#10;rVLHOLdiF2KSph/k1HIaBi7IyUPZYNANOLaiOfp9P3EyklqKsLov7+/dGIrSUvEm1Cj+nZEtjk8P&#10;ijDMVu3rNMdzsyG6zYJvVL0RDO6sX52/8XxnieW7jfX0+tl4L0e4MAuC4TTxCDEql0tPsAZlNlSG&#10;e9y4g7NRFb6u97pcKwT6lcipKb+9ZeLtUVXClkVdhvodxqbzD0J2xWK3j0j5ou4qb9+RrKZZkiop&#10;iwtDfHE5llL8pnqM5EBIwQPQNeC8IKnK7yYG0Hufu8+nkw9BNHidCQQJT0W6MfJCzgpSO8E6w2OV&#10;QtOHd3+VzNXfvSbQ6hZp06M4jpeOZU31lFYgEfB2fQoqEPb3+/Df5IG9q9WiPEQHjUUbNORLZVi6&#10;B1z/eO6liHTAzXSEW9znM9z42+53cFlxB6iBRSHZ+cs1MaDz3OFhpOsGsr8mR94x9zewSuWtItR8&#10;VMGE/yzzfeF3t+ikmRvU9UUW6eud9A+ja+CCUx80FF5Yjtjexhzd8actEGAPsabXM4yBaz1ewLcx&#10;7nL9sL9TvI44cr8yQjGCdpIM4THnp+ZRfhvqgmb4GPtYtTqjujCHm5nuIZUhuyh/ixmy4PIqX4FK&#10;e3s+sSBtZeXrtBX4TJUz2oWYXzr1yxOxXQAajaQ4lFg+jnKTiXehf0pnoiEOJzLx+ODn2E8sKu4D&#10;S5V90opWCb0xBtARzQ+DLIjRhWSes4GROqLYJdiELzA98+9+X9wbh3LWq7eaujPQIPe8Wtfz08jb&#10;FDuJ9vKJtgCYBy1mRgAlkuJD1xzXTfCCjlSRL/yp/YjeJ+ceGl6cOHeFx73z8VKs4Zed0C5eXLuL&#10;4ahEkPXKCNz6ppdlIwSqMIBju28xObw18DdO83KxNMAOD/y+Ojo112SOawE13Lnz7MPHIhG/QB/z&#10;eH8ZHjMEmmtj9PLbMgZLnndhj6ftd9lvOVyg0EC/mSFEE82yVkb6UEoUu6gxxjammnYRxrxcan+0&#10;QXFvR0ezf3fLkj0DA+SspgirtOfiVuC/gyuj9l5G6scV5dKu4t4RicDqqSnhz0Oj6gsj2Vq6V8cj&#10;FIst0TTPqeRkiU0aRrcIqZcBIqLgNsjUr2OogUTX/B6v802Ks2bL/XS5wDdXCEgd6Qa68rSOh2GI&#10;CQHRQx/3oNmNu5h/Rc1z9s7L0YM63fqcY7lS4P+ZEJp8ubaT3SM15kW2rzc74AG9r8MRFeQCIixq&#10;/XKCVuN8JJ8tdj951D5X/LLesbxmN2xpK1t4insIjYMJBVIKK7Tqq/99l1TlPEjTQHM/GfgKm0xE&#10;CPtOBh5GdQz1cPIQo/glYbO2/WmiV3KKjXsUGBSQI9f1JEv3+o8o/eckh8gFK1EsVaBboYP9+9i2&#10;5XLQ84dFofeeb0hrXHra/gJON6Br3sNvvVKun3Hfxqh93W8YkD8kF7m+TFowgFSpNdHjj/4Xi6gs&#10;CE+T3xt28mXNl6oFnX74DkKZXUo9GIvC2el8Es/7YHCK4j1swTyjiPeQgID2uaQCL8tBS08O8Lk7&#10;HHqdPiuOujzvLGE9SUT5ret/YflTVohP4HR4v3+CPnkweHdawAGwhhIl/5wGOavtTfCjBuJpGFru&#10;cIgsliUCWVgQjPda++NSzx8ZzxT5pfvfMoObJ0i0vGmMdPZ73xcrjCjGdm+1b3FfJmMh2XFFsthn&#10;Q6IBuNHj5w7E05VWMELEYfQ63AjIeF2+inC9RFbdYe4vfSbEKPP9u7P/5q0D8MkeB1XXJ/wOD2Qh&#10;UsZihfLTJ7tATXcirBvRlnMgu5GsxUBje9IHtBf/hwvy9KTecgHKZK0ouFtDMXP+YgM/sDQ05iPy&#10;QaDX16XmrS+u+sl6NQeBd01s/q7pu2zVovx7EyPZ7ZooawmHVwA+7RRivLYN1+Iyoi/QqYhg7xD2&#10;TT7/Fvx27jpLvKi6tY3mYjy4c85IlsURg2yiQqKJnfdp+i4kPMJc0/qRR/tbP7kSHQ1ffEhyJzAW&#10;9hJBmcpcN3mY4MauOFkv5trokfpE4PjMyO2+HZQQnnt0lJk93U1niZNzC/6DKDhWvx4M9wQaGOeW&#10;yQKzvBW1i4L77EpsVQKEa/xhKhWHH3s3PjMHISJi4EjjJxqogRSBRhVSNfal+CofdZXDi8I+ve8s&#10;GYeKsyZ6ktQGypCxXhChwwXjs8h2L+JhoJyUnexBIQ8RZljBDX4NGZnoJ+YmrDEXwCtsD+HregMy&#10;d9puZdDXS5rO36pdii6GEUVWVJR1kyB3ZcEkhsLlZpc/m0SZlE/ZnOK9NtSUSTZDZgSwPA1dLqgH&#10;+L5/73JfJWIdYIP0WAdC9oAMJlM88yNHbYa3Ps1szOiiQKThmusC9R9XYDRQ1j874f972lOjo2Dg&#10;l6UBjRA2Vope65AWUH+EO8Fa/Kd/Hfd2qSTB6Epqe81o4wvDFH809ae+/NHpfvgrhQD6WTxPxYm2&#10;3IhZCLwlMuLKTX9QSCESStinV3opGhtCzkWWqfi6rpQwCQeXgZUNMpwcDVLlUGRJ12+z0U13oTqt&#10;XSZE4x+PBb6t9BdgkN1X2+n2zsLmYh1/qex7SEdPuZvAReOhkojaK3lJSqoGahRP/IOaRtnk8yDB&#10;Mpucn9iQ61bYnx/lqJIIgccyBBwQuGHO9jZkCw0xAS8z8KnVi543hLSaYjwXI8pCECtGq0VrdbG2&#10;e/qXp2tfkvXyWsvwRFCe+hne68Rz0ZDoJ+v9VWUH/PuCcxu4xv9KgfqiwPPq5I2+IB8V+5fT7beR&#10;rQ/ChnItByMZP6HDZ/CcoWWvvwMfNVHe6z6rJ5O4pP8InNT23Kr+M8AqVbiRnxSN76jv9OJvJkxw&#10;LldKkeSV3MJkJ2tOQWjyVxtT2+9XsBemrVroiRCYpyoSaDoZ4jieN9L+JyjHuLLIy3iHeT9cK5TO&#10;Jvaekqj4EX1KcNN+PmJD21qU9db0P1mDCG/JTw4Fd8BjD5v4Tp2ahoOZ+iXceTo9D+A8PqtMu2pT&#10;31H1+htyElJstEHOnxg1WVch9jcQDFh/OUqTCz6e/XEQqONd2LnoZfmgo9KlHXc/faTrqWWYa+9g&#10;rzvMF1R78Y+/Iitds5r8QJyXIq4mCulzG8IzD/fKDZaonHO9+I1iPPlnSHPE+yE25Z6LcG1MLbG0&#10;xgLEhMMGEbi9rU33FU6aQLQGW5GH88hyuipslbc1FX0nTFl8OMfvXmHXilWHqw4WOPJxmpW6wiR1&#10;DoAzx6Tkj3fy4CQIlpio1Q+n0+0VB97zDL7bt/iWSxEesx9GY0d3VQTXMnCCkptrs1bKkz0Ww2Sq&#10;lqEfayx1NMYn6fTwoZPafJi2ksFF+hMqLUzUcjPbV097KjIxlCJiYhRaFgCtKvGwEryPHF0u5eFx&#10;h0ml72zbpGCZpoM+LjJVvgm/yqtE/69Wv05CSe61GN6mN3iuCNTSRydrfDR7k6J7lgXr6OwMUEzE&#10;z+drROxWGGLewdvPaLcooLFuoh9f9d7xos14WN5+XToZ2cLzrT4ZtlxMeKQ8J0nAnKH4DTyxj1Fo&#10;zzf3ncPirGK/9yrS+9XijjG5/PnsG9Y5i+WjJlJLxWWtM+2m32YNrlF2Ez+mi5XCrF5Q7Xurd/Bi&#10;MWrDeOh7Ch2u+ydlCUeOi7A+etVoX9xr3w50YrzS/2EtWjPHLwW3nyuS/TF22M23S3L2/HVOWS6z&#10;ZrmviGNj4rOjof4PcULrwLU7yzV9OhvAavkaG7gq630jzfa9Tm89xnSh0XFce07gptB79FhnTwmH&#10;W4ZekYUL+dDuq2UDI58td/6OHl15cfQ6xmZe6utA/ah3xDaFUdT9bzKECNfvjtu23U/aLj/WljLv&#10;cWES8Xj+WjoP6+LnX7jN/Ha56etPeX46yviNVW9mkrHXzZaclN/aXVdRGDUx8Yz9kt7F12QDeYdv&#10;PYHf3y0r83f2YDkjv3SBQCie9/tl8rp/3QJyTBnK0pyx7PtDU8NTHQ3sH6m3WHNiR5lZCiIRyd71&#10;JYBOrp5XC8pPnIfP6h8xplb6S8WK7obTkMGXUWUD/uOv43ZR/9PV4fMYPH5BfvbXGnucOnvZLBQo&#10;YUhbsv66GNMdtqzy2jqYCRNVQWKiRi6FLDacCO3D8A7LLh+bvC6XOKpzmf+T4e0a0+PDxAPQAgUN&#10;e/MfkR8jGKBNe+/CD592HNot7+Nn+lJsX/6OkZzWXlLUGN+ybSQwn/wazLpGUxG5JMr62el4OS95&#10;R8cQafMubwjd6YbKBOrs7oMzwkooNgjkPn7RSBRLHyr9Twz3/8O1RNjL6R9e4q27udjuLH5AJU0q&#10;Vb1vB/SsUyAt3mJXNoXzMVWnnunMfzra7Uf2BN83VPWlIqmGp5QErQGUXljzTBw5INehJm9+XCEL&#10;L5Nr84Fa1g0fk30Vcfq2W1KxputVIkz+2KUUvBRLsIWuIW5FzXe45wimKuXCRAnGSFUHr3PueN6Z&#10;cR6tO5qRR4qHAn6EPD9hLKL2qXLlMWz7UBhpFOkDRk6Y7M4wp+A8x+pfbCisWXOcat07EKnhQN0Y&#10;0pF/iUXpemuBxXgznKrhb/Alqr32Q9LoL5qfk6GwhczP3BxZJKXvNBUjOeBdLy7I6ek3yzQ4VP6l&#10;SCLRr+SYk7zy46J7D/3AuP/c3GMwrFw0x8puksgitvaBTBr1u+3NXV6aFmpHvxQyFU5OMgqDZ5eA&#10;kAXwK3798S5MvWkljfgSGNg3SaW3julhf3LSFMZm7VdivPxjy30UP9F44Zwcupa+kS2KZPe1C+rX&#10;0AM5k3RIhN3neQzvwwdY2w9UGkbUc2ZdE3UAz3PmFJWfUlglZ1ipXYHEZoDqS0C0obsUcPhZ3Jv9&#10;M6RHv1zbwrGDxkcr7OTxy1uC548uW9VG7qFx+3J2CYtubxfjztvPAfAnMBivaxrB01Ox+EHt/Sa9&#10;3/udlKFxZ5LuoxGK1epEoN57vPABGNiC5fvZ9yiXbDSRRO08JhLa93kepB+jefhTGF+2nOdO+e3n&#10;ogAR0Pxw9kbhLwOIKwYtEBz+Z17mVYq0oVUb/Y5HUOWtUowZnZbdyZ4p00nT7ibZ/+oX0JId7pmY&#10;nQFE3EeX436DldEkhngrysnskJGrB/C6OXQUh6nWoEczIwZhu60+96XOSbxHu2GuKFEWCT/LyQKe&#10;wrJSvxcLHujDTQX5N+rmbxep2epoMsZ1EmN40yArodYOijDBJJFjaOLTiSJhVryMzu+Ytj4mQXAw&#10;KN1mg4z93ocdMkBfizptlHwBfjcO/C5mNObf9hJQcb9ouVJjYY85Hu5Bz/Z6pft/ZUI8Oa47IDT1&#10;DDezf94tyOlH/YEEUeMeyatFe3GMUWUTseuimrOD9yjwE/ZShX5Ljn7xncup2msjpI72Ksqi5lLp&#10;1I7bT1DptkXgFZYYGIKhLorMf7oVucP3hzLR1CxzYNR6CT0RMFC0hHKGjlwybPu0ZgwvjBMEzNAT&#10;k/h0ken0PR55DEHfonFCdgqoPArbPUb/eOJCyJ4/LUQLXMfJLPnTmDawscp2720eL+h0oHHYy4U9&#10;M3ia8ARNPBkxQKMNyYao8ZFTDMM6sbRD+3tTJr8EiOKIr/emOEI+PsqJKcLTHtBfOL+KycPqxblO&#10;hmymgaSYrhbiPqOH6RaSQZ7IcVHJWvWvXT+L5BrYeD/tOJzEy8fm1c0+MhctDTql2oXZtT27jBLy&#10;U86mfD7fq2KUlBIuV8gWtSU5RrWTm2GYctY5XDndpJV2V36bDUbKmHSs2c0OS+5xk8bu0hEFmTuI&#10;inhXUYcAIBHcgTlZwHq57J+DzC2HKtg7Hi1yXWZjci1+U/iyVapoWbIDfimk9kSqdXjffWDjNsv5&#10;3537kfYDN7Nd27LERsEhx2ApVf+1rPqNz671OcD7hSkYNf9P7fUc+XqT15RGRwuw2Ptmql2Rykwz&#10;FEXMyynl5Loge3NKERO9nsv4ujIlLXjWflzea2aHIuEKnveKr5l2U88zH5kpkgG65lXAlKIY7O8T&#10;U8IAEo0TSMnq0tbJ1WNWUVkR1oKxgQWs3QKVJ0ucgbwmhHbzq/E/YWPH/KEnTdtOa734i0GY0Dcs&#10;aPCS+pgzIbKMHDLrgWQX57gYl6M3SvmY2RtTycTVfsyPIuJlO9BqXsrXtnMVPFRjPYQDlFlhMIUo&#10;COx2s5JvsPoIwy5SmIxRvolSimzL6rtdw8N2eGsqbIzbZkewkUzx9lzV9qSHr1PZUUkdkwTU9e2/&#10;5qf8CYw1Gh9eXsKrU7s7+0paMzndfo41pl084Cj8FYJUUsS+fT4Cnbkuw2wMU35BOpCeXFnHXiQI&#10;cyshnRfdP+waZ/T53KiQHQ6W1fXebscckPCByQ7dM2dTXri++5Ad2nrIb0uOfthnOP6IB9nrqttp&#10;enYiTfq5/eWfmP+qHehAxtl6dKTrUZhEY/F0v1lnEboRzdHa/+XTafYDZ80CqlZgV2LAHvbHO7nX&#10;8OVLsvTXDzxWebOYPRVZQIk8tkgSgrcCQ+sZoAny7ZFfPGbWa9suH26ZxW/fY81XjOW9lFRiGa83&#10;iY0dv0QKMn/dlFaUWwdBtwfpypANNasphaZDrFF+WTrhgz1zl7SOSUcSla+e4DRKwlzxyz0K0rRi&#10;TTztu9tE6EyV38/2s7B+cI1O2mwAY8zgF4QeXkzKdfrjB7EPo9Jp1R7/YSw7PLO3Fryu8zupojDt&#10;iUO7rq7PQmxz+wUY/vVh7YfQZRdbXmCjHB31qifZasGUvYMD69dlFGOyXp+rS80u2XRZBhDqgMg9&#10;DGyV1lArI6mZr8Fntg16rbqW9boKBsKkWWOHY9cioUHLTyNd9lJnW+A8IWn0hNudet5LvLVh2DOo&#10;weMGBfZ7Ot9cihTlR6UQvHNJVXPhME9RveV66e3N40mTJmlwo10XBGc/nSwR/j+jDmXADoTy0js+&#10;vlb5Z03niVoUaKf0sSR0gsWR9AxFJCRye9IOKkTlWN/pcj/T+Mm/IUndCRfkNgApl+HyWcumSbok&#10;yyrzOZgy4aSC0a4os55aJ43QZMJq2tmLYVJAnv4JlTcd5kk3alduokZqdWoHEo9jVOpl9YuniE78&#10;p/E9CJvMjhmslU6QvTgCpGSdrCkEerQH5M42RpLNLyi/Kb1YXOS48oqTMIYZXO8whC7RgV2NT6Pg&#10;derejslKorvPiXNV2NQn2GeqNbQRr8HuCeyYVKyHY5EgvhBXbfovZsDZxCSxgcSuqFRJcVv2plet&#10;8dtEtNV4ZoMNu/vNqYtcv3eRRrwtm48d0Y+caDGpDDluNxzsld/Z76gP5Pcf1Ban0R6Qh8rzL6Pn&#10;T/vUL/BwnKnG3WE7Ofe0gQB1zBCZdoYpCMWHtHOn8Ybm+PhOfGsGqGok1vpol0AjurdJxsSB7nEM&#10;kGifsw0IHkp+ejqj87KJYoRUYMQYmeFC9qBeg29YhBVifEGRT/2J0DQg9Hv777kN9dXMJZvQfuhj&#10;ieMHuAIKkDM0uc+iFRcYtd8MukHuqxAwzvRfrnUDbZYm16uwi3UIwS33JwKDX7TQEZfVbaEQjr3H&#10;nI808U3gPWdtP8RxTKiMk0MCuPewfGtcehz2V1OObRZ7RdIlDT2lIiNYTpZOLNDy+3CoRGSk6oNa&#10;x0ayu1+lZt2KNdvRH8vgLsRWYM3oX3TJY6czl+XNywnSC9b83GuCv6IkF7GJ7BDMg7oowO60g3WX&#10;OzUcfvaTrL/jBE/VbzW5f0dCNjTWuvzo8so/OxqDXHzelL/dX/7+B+sX0syfhhQNs4j1WrwJrrEI&#10;37Owq2NO/aLk27B4Q1BnsCuyE1vQvlNRXLv0OaMOh0QNvEw12PJ+8v6I5ki5h9OfCFrZrMrec9Qq&#10;KHKgAynoY50Nkjvi5gsBwWow/AJFQNkFVOdCttKFhYalYqYv6D6yuiv6REYQupyHp84h+vNZ3SIT&#10;LMCK9JZ9DeXtSASu0EM6v8mti34qi/tN8THT+9egznr3FwOEhawuKd3ja/YIDuwUlLqqjUczC/N4&#10;u3KZnizwLWxNVIHz6w1bJsOpjS7hAz0M2gGaVN5gtBdeVpo/vx2Os/Y8VCPykmTnuTY9HRGMh2AZ&#10;lvKb4kOid9SzACWSMDg2fM0oiIt7nV5+p7DYdKlASEtPJH6O+9daAO27eZ/+cvB4tsk8B/WqBJkw&#10;WAUHC+b2ME7/jgLIhRG7kqMZfzaexjJpx6WNNaIe8/7fzwzGI5O9tS5LlRPX1vdEX3A7bM0mZ0gU&#10;OZR0dp+HMd/nGuEZPKl9QaghEQTzH+17vGGY0bj/AMiRxK7TDH6VwM5QmDLIfckwG5UlSjgJoR3J&#10;S2VMwMiCKMT8aVGLGfon9pe/DnM6hSfFoawd43ZO5F1Z19XzM5+V2dAxV4jnnytSVdxWURBl6xln&#10;nv4U/rMYPNmImdH/LlWlqzaU/2ejwI8yGw7My+111Jjo3dEuvETWaRUTLviZk66ZOtCA3lbAyAxC&#10;9jhzDgrwXQo3N73AMKPixRXwdfQ5ZgAZmf+AUa//iPHTM1eaJm5rzhNnEafwZygG6Wp5/gAH5gUj&#10;IrfXvVsYUzf3QRq18R+wiYnGAcloLTHh4bpHCb6OccS4h7My6lnYd30Q5serifsoOed3bPHUVucV&#10;5962Ix8jnUzx9qZ6Yz3moFG16C4LhFw1ybTFgF4MD5JHlS8PyE6G0itm1kUZTyOfRRP9Whpk5R1n&#10;NquyzMzR0CJPDgqHf9ccjSSXhczUqzyv/gvr/9OqGo56LmPRRSbWZDrr/8gXW2kvPWkAvM7hYtks&#10;X6LhZeekZmqT2zIbsKjUlSgiKnaq7irLn+uCqHnjdp2mwiRK0H4/hhsEf96oe29SGomFu+FUiCmh&#10;vKpO1nYLUzBFdZx1kdbWnStszaooJkmLW7bvf68zfLbDtAxVd2U03gzRgLUaaxF/0dEvnWYlbP2H&#10;m9g2KcFvDscvcF1Abcswm8vjzR1fqVyRIHJDWYrfrU1u/+YUu7wh+1Tv8xLmjP4Hvnr6vOozTbru&#10;WlMiD7sI/jtUO/JCfNFqsf8qYyaIXNVajMTJYVElwogRQTp17tZoGvXxSxaDNdDz3m/ReAJpxT23&#10;+6ogxqzTGtuMwPaZh6M+XbdIToQ3r/u08dOPCYjZs/ahv5xo9ethqUxWpu6TDH/JFh+f0RDlGgxx&#10;CzcbEsa/AEPCN7L17Ote6i5LdYVV3qbdBiqrsvS+u5Sf/v698eq9xhfjbT5aumLrPsFgOvnMeBdL&#10;fRwD9w05tzDgzCL6hxLcGn9uOkpjNtIngZp2crkqmPwZ9/YFJkDgSEAuAeObrulOvBRRmKmy/8cT&#10;hh9DfR/+yoBWoh/nW1bSarF8Q9u4pM/zz9eIXQajYg2aZDJK0a9Bd0NYPmEjLUbLSD0jOMXy9Rbu&#10;QyWZiyklz8xtorp0DQriXuHnjTDaVloy+tbzj8METnWkKwalpwRnFvulRnu2r/jndycl7GloKUFP&#10;vvQU/9FBG44emltZW4wVHNl5igGRj+JBwPWEMe3ymumFlDjfotKAL0NK+4py5CcBMywhUWPLTKyt&#10;hrWl8f7VHkPf/4pPPHOogYrv5H0mIOSGL2p4+yybBp53Vi5BCVlptaOCNHJKcCtTH1kSl69H3N11&#10;O9EJed2JbLfC2vfG0wxOz2c1y5Zpql8/UfoNdTALQ2tOY6SnfR/gPB+qMhPnlj6lIS66YSw8PW3E&#10;3GcpHeTUeMotPzQjcaxupiBRdzLHNxna6bPcwPmIWvMuRMs/BQULOdbdTpUs0bzhJg8RDBPhcIX/&#10;5yKje70/MDgrXS8rqemzAGYgujft0mwwD3gt1+VFVxGG2oXsW0/ZHrKAU1MKCZRkm8YQUgKSJXay&#10;0v+Awjz1PHycspyjUSiz3d7iz/V4/ot+ZWRV3C43PrnsIlTTLe5ToioSYdZNcClq19ehZ9zUdNmi&#10;Na3UwDZks4benZJSPFuQda7PwAt46DvW0ZSKntpkrzXmsN+3HwzLb9j/e754kFTuM4yy/LVK1toN&#10;xo645uhsfM6Eqcg/mOy4xdB8JGvzZW70zZ3r0nX0Hqc16Pwxr/2yVFWNneYdYp7VbzwHI8n0flbc&#10;ja/xRK62W2CE/c7G/Ee0mBgjnB+T/6nS+x+Oz5NCkauxs7k8jMCMzUoDpfnd+gU3uNDq5YR/V/kE&#10;j+gTcrbAgp8SsU3843vQOe0TIW891Eagiop2w4dBjOefaJkxet/nxEqQDf/gBE/o8R/21LAkr6+L&#10;Ci4BWXtq/rSh0hKSuVcG5OXCiNBQw+3K5hUw0OXo89Vc4vvGOuuKQVE1MrTtkuGu229qmwjpf+rb&#10;8Bb9onG0XooLA84ZNDCCyqPnRby0VvN2b4lcM+vs7e96KxKfoDHaoYzFNusOrBucXJ4MDoOrubjF&#10;zR6qHYk/pF08Or5wuTQqW0JAPwygyI66VfTnz3Geepa8LoJC61MnkLJhnTg+eKG6AcoPVM7yNzXN&#10;/74eOiG4YFLQDtoDDVKCieGtgko/Up425LxQH29AaDjqOPFbZYgT3If8x61JOrlNRxrDq4ouKfDV&#10;nKi5LU4POS4F3B7iI5yJdBLAvJOvDzpJaC+vX8PrP2atATDKS7jRyu2ow2sjIvkx9Nvv39LSvC/D&#10;2YRmci230ujXMPWaJ1hhgNPK73qFVYpWF4s1GGbs88UhWxHOpu3giKUxRWy31Hibt0DIpVpQpTas&#10;S34fTkWJ7acW2ljYu75daAUDa2yxfmy+wbrqhj0TCANT4TmxXkvWYcHCXfwhevh0EjhLP5Muephl&#10;hFP63eJwi3UVfQyM+/JB/z+KzWdrkf/kX4ZASRWdlXeEn5kEPdT1/xIyc4pQZQR/R+NxetgscOuB&#10;/8FP/XDJKk22MAm1lj7sOgycYCdDXGUygaHmlBp3kgv0ZXfeEm+LKpdDqxVcpXSZsoqFEpf1sTN2&#10;C5TRKuv3lGt62dikWT4f1+yxtWBU5qeybwpoy7mtYnsz154Dsw0RJxiF3sgWQku5QSeN7R/QHAsk&#10;WZ+RDOsXwEP7bF8yqm+r+D6J6wJ0Km4d0kvjsFzs9ee2wnHidHP1L5OP9VM2sCm7SJjj/UwVcQg1&#10;1cwINdekcD+siXnD3YPl/+Mg3USAw8bf2ejMos2pE7l5O0tGZFXrUrOqK2G0FUGiGlS7LJwQ1xSy&#10;sXVcGInX2OPH0I+/KCaNwt8p48KpygGNH9Zai97KYVFGiRyQIjK+qJXKsrU13rF3PhQAvCDs2x0C&#10;GU2ZhNJo0tjSgou/EWRCGbrVtAy+4glDN4hSNnGIE+YvNo1YVn+Nb/1cKlM4axoi/LGZ3LYtBa/I&#10;M3t+hPc6DCZJ7m4urzAQiR1AlKU77BPg9W2+sczrcdTJAPL53W80ucV2ZZ/hrZlVeTws9BrbdjWf&#10;3Cu/RQWf5AltG6yE1tVirlvv0cPPZE2BOmM/Pfb+Xrh5T5l65ANHXl23Y6xQLkp99oea2fit1UyT&#10;HYewip41u1S9gqT2tuvn/XbbykW68hqO4FCN3eY6DZiEcAcQXiL/Q/rQgMi0q7geRcE26OALc2X5&#10;d10o/hqLA2pd0pYgbWG7zthRedV5EvD7cX9N1Tgze99D4tGDn5WspuZ/C+sy+BEtvMfAm6hZXwgK&#10;l4n7hrzRSetOgdDRdVJ88qsSD9cN3dhIbMjvzWejDNbh+8L96mOI8AJzzTOl0FxAvfHOwR2ZaFiS&#10;hrcphb22jC87MqeQJtI/dmcxYgkK+0iPsdqO72z6UjJBOjUuTpKNcsEBAz8K2uHqd4lwoRzmFa6Q&#10;8ViszwYwVbwwdK9hxKJob+nUom6Lm9b8ZWIuEhORITkblZu61oV80V56oOWZc5KeTNLugxn/fR3B&#10;1udGabeRlEzoReO3lK6COyCEyTlDRukMArOkyaNoVOFVktgzXpMyz18rGj53j3rpcvxAXo6DYd/d&#10;UobkO/t9a/yGRuE30w6RQUn7VegQP7BeCMoqhTc3CDEBS/FbHnb5wBLe1l1pAOhzvFV93iFgN/GR&#10;cAchvEzecxaMdRKxJbU4+7R8zj6GUwjbW2BH0llzMZ76EoZ869KZFdXMyoJ5E+7bhDFL7BIvwGQW&#10;3wn3ufLz1GFIIoWWSVeqLtHze1Oo5yHQRxnVyzmvuXl5f+SxYRPsADTjFaoPOJ2ZAQtrFeuICHtO&#10;eJSLav2QIJhEK2TCYQ35IlV2C6RyTNlmsCiMAcuuxv0vg+y5RRfEcG0Okz4MXIBK4t2K/5dB9+tg&#10;0H70joCt93f6r2pDkMj14kwooqesl7FYtnyvRSY0puaEZ5NbFFgByOQc0rM2PgS5rD8Q1fiWWp1w&#10;l9UPsoGeZ8IjZy8xQc8wWfRmCEKyNYqLMTdWM44wjDp+XpSvleZ9UIMiCUMBa1BsQo/2Clj46zhv&#10;jyLcHz4+KK0NUIsUFkaBH/NvgcLeUM4EnfrHMWUvaJ0ZgUFjHsmsP7rZgNO9y9541Z15Y5WVIKMN&#10;S6Nv9pgG5VpCNoRGDNXFHrlhEqREcQtdz/+R7hCs6hl7wqkfmg8lMTB2fSPTzAQVVBZMdoFSnoDw&#10;n/H8lvCSFX4NlIZ37gTVG7kdgrzSO0QbyUTvXwxv5RMMkupeh6pEyZXdV0OLXd9OH78I/jcTo0T+&#10;UMtkr9lawgxvO4ONx7GxOfUM4ZiPK/y5p7W3HFx0NSLD0yyr+t9g0wOaOrnPu7Wiv9P9eK+EBEtE&#10;rlvVtneuOyVaD6FGusZyiF7tKOiRU0GOuYGSCdD+G/p+W4dRtxbtMK1bORdxokchsrfMXaiF+bjb&#10;rbCHfS5sspxkYn+vkS1NEq2Bk6zyo08IiujdKRNaji36sBqCxDqO/RgzrG7A26+43oxagI18C5bX&#10;35E77NrqnVCpcRm9GlizCOeS2JaLQN2L+pzl1/Wp5m8OG/QqLk6Qzsyap2rL9IZ2nNhdquh8oFHP&#10;7IZguBE2uqXe9jCY4WBBXRnacln2PIHcygQ3SJhxvxkpQGPskRkr9zSdCWMS6nOMEVg+5sasYr+n&#10;hA7nX2o1e37x/WXuO8shxsV1abmnQyIvM2Srkp7U4vAg7Bkq8/K5ru5x6s8fU4NPV30TK3qH5RuQ&#10;4afA2Mso/YvWKLGbW7Vw2MuS8Hfwg1QscHRBcgXh24syQceAs8fzJiALFBXGNION17aQ4bNJ6O/5&#10;DXKMjdR0c1DKnobZIchjfBHVpcj3i5LXDRQyvyBt2zQOt4KEcww5XJ1aatgns01vf7PM28k8PEm8&#10;jjqcMqjQ8TtQxP69mqqmyHUKxAxtMVW/m4UvcojeUPckWSFcKShNv3JwOWtc67cTEaPa+u0Yv/T9&#10;EMiKKupXT5IVNPWV49/xL1BPzsISuGmfjByHNM1ncTfmdz6mw+/1kfQyLksxcBVqqVEmFFav0eW+&#10;MIW73GmmUsF8PahJbEJHFasfosOCwD50FDf2PTNfXTJyrktvWT5d1I0fZjoZfM5yWkJVNTjBOLmQ&#10;GMPq/GSnZ+OAz+sgyV9uJwRXWiXeiDwEURmp303kk/fyHFwlJVTfNXhhGErpLqZd8Mz5uzku9BOo&#10;oGb2+sZhECio5AUTF7ErFQ6VTh0HHyfDyLaH5pcUE7NVHHHZKfL9JxC0QEO/xAIBQRo/5rru1Uoq&#10;7rbbrvryXL3QpSX773NoVRUyBjzewo/YopTlW2DJvHvZLkuXf3ccTQmTuXfuny2oXQ8bQO/A3grv&#10;Kas+XJQLaHSNw0jI3mb7bOPnPPbzk8DI6Xy/7xHzAb1r3fgaXrruqTI/XN+oOrY2BZqmhEmQa0uX&#10;dLEyoUKmm2i0WS1m1t8ODYTEnh4Cp0zvPd13cRtPCw1d3zb+s9yYd/jeNtK3e6ORd46dhuKmHPK5&#10;SaWfkoV+ReWPw8+b2YIMlmDUU4GL9ocpqkPw7eHUEgxuuatYw4Sty+5X5SoOOy1z4Fifuu/QH9Yc&#10;UsmEphncZMeP2kX2+c8kgtat7lKNS33AwUE76Rf6hrKa2ykrYW7+D5EVS2zBkzXf5oShFpN/VCmM&#10;Bz7xt61P61IZ3S6FGoJ1ZUKS4i+1sLXASCNEC/VbtaKsE/jcw1d6psLmp8FLi7ZmGf0STsVS5ZNd&#10;lCgH/Fq4C5vgLvIhyH8QMI4qBeh1qS21TX0Ka4m/9yFIuZBeNUnlrcx5HJoJn0J3gjpG02vsugDk&#10;meFgpeJnpLay69MvyVi+8ESudZCSEYLu/bBgfbygWkEO9P6H97YwP9n1zkqnY4vJN3pBZMfrCGJS&#10;83NFSFnJ+0ZFiEqzjVc18n0spkWb3fvFVBB/z4Pqt4ycC/c/5CRdn10LXQl3ePcugzKz09bgGn2p&#10;MQ9uk3y+KJ1A8FxTGwoZ1v5olNeArn++Fpu6BOek56ZPgxnmT7MgHwih06lJOTKDsBxT+XT05nZs&#10;o/TCHPr1N5nYIy6axIrLURlh+REvFx1DRq9dolE4XwZZ5hDARHmwJ4fTYB5N7X1R9dc+GF6G36FO&#10;mf4bEl9yyBroMonZ3WjW6NWpJ5Rth4s8koNLVTWQG8D7wzygQWmPXkb/pYtFKE/qwTVKA/jP3yf4&#10;/9avZTDIR/eNz1Z4XO90uyR4ghO01zuBEQ71OoVcljY/cTeeW6d8MDyXnz2BJDIIa2KqcqwNPtAe&#10;aJ9DXhIj0Y3aVJQ1ecNbMJwr3N+OB8hwhY2vCVMyqHmvG0A3+PA2GUfxjp7evQcVfQYWdDdwdqH7&#10;uXjJfncj7hHXI5uwJSaah8VmiOxITJ55/X4/j3WcEytWr4bEJnKU9ggeK/+159LBFTNICuJSq4Z5&#10;8JjkEyacCY3nWnt5DmUYt13m8ezty9NAPxZqK14Kk15r7ez02Ypkg7kFMng6F9RmrUYNr5zVisrR&#10;u4fYvJSsa4a2OnjE7MKJpzS7pm6llDJlgt7jwmCWwZQQBoiksXWJCBPWUQJjdl21J1L79v5xsLPW&#10;DGdFCLsGaC50GMHWre2/oQX6vHoqUubByZMR23zZ+dXyz8M9Q7IkrXHFLcewEmz679hiOw8Dm4Yb&#10;cknBos527HUGKdMTcBB1zMr6zsBwLiHcNzAQs/RS1TQJHV62q1luLNMz929gkau4NQByb3MTqiA2&#10;EwpDH2N148PtUkaVKhcmQcYjRaW7TEFtdHlEhtaZIO4Pi2flHSCt/6RQzQkmKsrKqysFC3/HUU1t&#10;XYKG5w1gOQBEXHH7YQO1SKEw8TZ5r364hVH9unvjL/xs8UdyjZo7nk+yFsvSHv5alJveQfhW/fxx&#10;M9SD+yD76mq5nc6SPB7JuS62GBOaB+Wnn3N1Cx+zOY+NGavjakqsrJlENhWvCGGFmr6NSurZesoK&#10;OXY0PS+z6KIt+dwQ5Q6Uxba31zfv0OU2uw7pK67/hCCWRhOcDw3aUcQ06KkJQf0yU1AUCoTuZm1s&#10;3ke5vfUdVIJIItsqHJ4Fd7o6DJ6LUrPLFqr3X6wkf2DUcuhOdWo3h0lb3fxLTbKi9bvqvdEf/+6L&#10;AgxiVTlqRaDoNFQ/hNZst2BMd6f/N/vSO+HRqLw1ZYt48mTq9tPZXyflSiZN3sfpQRRhb0JP0tTt&#10;MHva2nIR01aHgEADfrVL/QnnwKQkxNF9HMqLfFOnukBb/ZqIIAyt43mwiaGx53eShkNLalkUgt5q&#10;kErFSn8n/6nk+kaTENNEHCd3eVZ2XHk0HqvJw/5dv/kft2Nu1mB/clOTEPTA/Y2fVMyXvzHzY97H&#10;WbADP8whuBWUIDTButnbuw5vpZC8QrlmueiettuKei3KY3VPecITxmDyVvbRXRh6713gS+X6PlLO&#10;0yjguRWKhwd08iQ57GtXuRgwDqc+JEh7eN/8Bdb1NGqwtlIR0RKmtRdtNFhaS4UWvs52DvkU06ID&#10;wSkoF8k3GqzqKpn6BkWvH1uwPPycJEQaOaT8MvHeQoNzYEx/Or/drwkrDtzNGLUq37P+nU52aaUK&#10;HXQxiz8kyu+ArRD3M7c0NYjFqmjZfOxHXjItqjIKCg8L8QlNzutJf98nEb9MN69nrkNn63PvrsA2&#10;u22dqgmPOzbSMXi8wxrDrNWNNmGQz7udRt5WzAHb19DBxtDji56VUEvcnbL3C5FfwEn2W5KBfQnT&#10;McMNf2FmZzeQH6z5orlYaLFKf/tssSmI9LhVgv9embq0VKUvg7EyDISI18hVDwVP12o5m5oXsyBz&#10;eMAdmnR9F8ZU3hz5xM1j2Rpd3RjeXzbWh0ABZs+ilVKSEx89/FFYoRPqGZrd16hmgnB4XEK/qqIV&#10;LXacuM+kqZNwVDNtOmnZkRMQ7r9S9sWLBegZGD8JPZJeywoW64r7RZE6FrBoTREljJTvE/pMJ/c3&#10;8YMGXYOkCb/hy4HCj7VEUD8y4uNY5iRQ4pR0mIA44YnjDcn2B4/DSg7hsth/KWHiqc/Opp9WYw9I&#10;nuI13U4WY623lngIHsWDrWax/4V57FDBym4JFis6xJChV+0q2VEVr16n8GpNXnDwjo0TkhT96/DD&#10;rIs93ekC9Rr+D09wrcmib78GQa0QNEv1haA9aCobomLQOLb/S1Lo1e3lh+fn9BG5tUsck/nvc0JQ&#10;U1KGRrbcnsjGGAsje2e2zoetKfUz0sFFsxGCjAriTNR1VmtYsCr2TNXqXB//2bow/l7JhIZ5nnob&#10;rlH1wmrmWeLFoMEylLGi2pWTar0Kwne9LvaW3vCLWflIHQldpjiFtadXgi4XZKpvMNV8PmpYVen3&#10;pEwo8mDFM5o5ww0DCBQAi5xV5/0vJkZqmFbYi4DmVbFgWez528ICmKPydyUPDpRtY4djRtd/ZhJ0&#10;C8ujcFGXC6SJlszh2n7WAvlj4Y4vzkyd+mijhHVfm1DeL2lJ5Jb2PPTYamWCOCT+39FrKvQ/J4lH&#10;vatN+pT5Aebkoc6bye7MJ/X3ZRJBBQH1NBbLwAxKbS07AH5IImLfetmgAH2CvD5ukRiWUqQ9syzq&#10;T05OeRtefx2a8gMZHOc46xESkJHB7K+GvEW32JXM2r7u4xNpIMkzMGy0DXqddP797s6mUXeN1uPA&#10;2BIFTrF1xxoRGrdmRwhhgOEQ3fXXR0tYNfg/SktvobPzvA6wOJ6YsyhZGJE7Vqg8aRBoVr1mbIEf&#10;CWEb3zJOwYE3ehb1D3zHT7oZ7QW/XhVrSR3yPEYZtnyLhDz/5e3ecGulqvwd86BaSxrw4IdelaVl&#10;qNxv+eydxrx0Pb/VVLFDVt8JN+HOrIzXNNIaXX8FvYEtEvUYJkUzGsDfu1b+Y6C9XhTi1+5xrGHM&#10;pSa6GiI1grSfx6IWSodcaRLPcOSgNAuzqN/7gCJwmXcVctn1kY3tfWodM9XSOtNgnNLzka7+s33k&#10;wrpceu1MaPUKXR0XTAoRpVnauq5X1vPBhdy/lPI5iE2vxvefl09v6T3rvIn6+bMIqU1GWZdd3UXf&#10;xznxRodG6sPKOf0B1JGcG4KlH4ddrd0PocX/98LCTA6DYNs30hRVnO51868ZIqi/1rpNWRrbmg7E&#10;ZpFmys9edzWlos3kLmbWanz5FUS3VomH+PbV8vHIvOY+2zSComb7DKw67XVhkqeuGiR9Cobv0ofQ&#10;knBwaLUd9gYX49wpr23FZJcYbHUYPIVE2nUmOlx8C/2TmkuTN2BXYmUeUjP5i5mZ52rshotjUvP1&#10;Y6ve3yIGwtaGT2cKznxlMeEWVAvyXTvGfWOeJ67f5XT8MtfbPGFVwoFc681nDEpGEZxzSNN/LuRo&#10;16np7ZNd5PtIizPuSbv0hvZgonPHLrU7YUvuuZRzLX+7MqF9GNGEo9FbzOQ0x+HHS7c5s6m9HNUa&#10;LWaC5D5LZcokdO93JtcCnS2o2Pr9cqfcqitEx6QMsfhq+ySCsVwvN5VXFtrbKxKYtT4sQW6lYxBZ&#10;9RQ8+FpjDxVcEA4FP3CsmqxqOVbSoTmi1XYdZ4jxvhrXnv1ryiyYLNsGY4UVml7aBK6UEMOIg9GS&#10;r2EQIbbXw5AOA5KPc/uYpugkjaKw9cZ853aya1BgCsl0hyIENPztriLs5OsY1RhD3cYN8X/AgFqD&#10;+5uv/+o3ED9sb+GsWBEah2oJL4k3A5a+qy++0jRYjGKHKfAzW5zWDuEJCcnTxPb62I4bDMJfkDNv&#10;EayISu+r/3Bo4hXe9v7O/W6bIfOdwXQE6gZqY83m3X+ntYn2X1sPu0nwZuExVu7Q8jbElxJI9D37&#10;cRRXMz/wlYBIZ/H41xTuZQuhASq6wrPVXPylvnlGCXcgdcJotS93HizV7gIxNdeWPh8CNc2yCBRn&#10;KGwlLIYesXidNpqe5DO2Vwo3xB8T3/ivz7/XVTqvxox+1lDLuyEwMRmbAXHmIg/ukZsY8SKbAm3K&#10;/4s/+KuSFz0TQyNX2Ou8u0oiXWs1X07I2plrKFt5gMI/zy9kSUtb0aWOXXcO57OIeDaTcLiywVc3&#10;UbzhluWVhAZWoiKHKDaDvtN8NoXPXV1WH9dsYq/mWv7ZwDAXZLQCXQdYKgnaSMIWx3Ry0qbZvAyQ&#10;fZBtW2mSqlspw1pGOnxtduf8Q6JFR9dKUH1kiVy2GZFWiI4IJ72sKzsir6gI+9RdjiW/dKFPsB3a&#10;yUVOWpvTSLN5v0am9TLDNfcLlyIVTGgDWJtM2MlrwgN2zPg/RVue1Io+zkRjV+pXbJSrpF9ckv0g&#10;+OnclM+23KiDLu9+Opg4Yc8PySy5mQSlFEBN9SWnBcPj3P7C2LMQaFRnx/aW1iosHVOOb3ePMPav&#10;vwXgXEP9nIzfcnIURhMtzC8oNnz1j+ceMSfbbwuL9+o0RZbg85w2vIKK6W96bcrIh/z4lMARbia1&#10;yLkkv/Hx45+wCNWdxR/qBktDrrqLk4KP3mBYCyfdqzhJvZKc5PcDQpRMtVr8yCr5mW0s/enziugQ&#10;jqsLsni9+G+6JaLjcCN5szlNds6n2sx41+HMDw8LPPkT6aWEQTxzy/reA1d0bilUJLCWRtbAOveS&#10;zmGXvem7VnNnJbVQLZts87YznTg7jQZ6usv0iYfCA/+zoqr5lw3uOfPkyipuLaN5yL2zZpjG+jrP&#10;Pkm5r2qO8+KUGZPY9oNYyRHic5CJ81I1NiJM0tmqco4BW+a0BgYyltnTZHZWY/eb0obX3o+X/7WX&#10;Kj8htq9EHtojZXCIr8ZXykrXvsJdRPr+QxlludmdWegXmwDrDNdMHgkMDQGhLyYXd6M8ZveTbN8d&#10;G9gPNMoemlwh5Ffoo/F5QhoX4oIzQlrqj1k0X2Am953h+ppiBX3rrufcZwZ87OwP5+/x/pM2AEBi&#10;NyFz4yJbE0zqZOukabWob1HaET7OfYrJ5mJKz+xqmR4RpSEzMLduoOK4nqhhF78cAdEEcNtjdKFM&#10;4/VjsaKTRchwPxBvdtzb7CFAleXblzYOZYOOqLT1wPUfGBlqN4rDZwlYlx/SA2IC+NS2YSExzHhI&#10;ncfI3qBrXHNcbOVvym7fe+tRsZRNzogzy4R5Vao7Ogcr35gi/VUqTn9aBW0U702w9n9Kf1B58fOb&#10;1J8LVdPUhafc4sqdFqRDm1D/T19guGYNbOBMOVeKzt2Nyr1YfksvSCmq1BrjM2PmUDGoazS8LQkp&#10;t2a+m2DfPkRBl3ta4qmqzNL0vC9V0RgUN3r5Wr1Vl80PuiSa0MEaiXgbu8vFeNPvBJt/WUAhdbud&#10;fkryhhVMsxEtitszNS2+T5xxskMHSdzOSdP1BidWYHfWUbxPIQM4MIulhil6jcmGtVOkEDopQ2Oq&#10;C5rzOhDR+f2lqJHi+kVoVKfgzwou25nG+HgH75pfdw3+Vx0h1ryfdutSExJ/8ECm/88x9f9fXz/7&#10;lzPImztZ/IhlbNTY5La+jhE+YN9aKC/PzR0c/+qANHs5uBWlxaWA9aczCeInpguqn8mRJApMW+kN&#10;/NyJZ6ruR6K1tdT7aRhqX/kqFbSkdtZEdCmi0bU8ZpJJbupNoBHN1raHYTGpi6qt/XVmOdm92sqx&#10;YLI2+uP3uPvCDvFnz9O43dV/0vvuB/YCM/5pVWjDU/SoeoFjOhHu6vPZhE0NnqsHahgsLNETjcqd&#10;OnuXSn5LtLFpZRgD7tN+K7uXf4WXlYQoMhBbHqiAXUrPok/GggIqwxxANYfllwxtn68u7XLgNJjh&#10;g+5u3FuMX410qH1GG+RnHYTG4uTDa1sClMhJhILlFRqXnZRWpTB8+Ys0r0DltLUbFly0uAI4zoWL&#10;Zk1XQfa1CMnXGlJFhUUKm77ZP2GO77Bi2WGWRi02XwqNlbbfO+Uivv1nyGhRqd0kWwTC8NVmFrr7&#10;gZasPsbxKYDd3VjqP3s4Cyv2fnyyFuQxR9WhZqgJU0PuJjNaaKeXaEIMZwoajMTehmICI7EP2cHO&#10;H3oqBig900OPdoiMBSpCzCjmIrefEhsUjVgT7fZz2Fn77dIf5D4UW1aNzfrCfvo5rB7bJI28nqBM&#10;32Pqy8YprKuiamzcMoa4MMnhZ4lgoq+wFVQZkCkhpIO01FO14DpCkCxT0v5UlczO9U5FSdeV+Nkm&#10;6JIY8an4Dnu3AWHmpuQ/7Ycnuyez/JYPd1QBE8wB2I+LkOMk+QI1+BPc9Qdc5NuS4hedgnjWSKfr&#10;nR8DXOVGVfkGqQoBE24Nyv49DZW8HH/jPXh9U92P9JML/CtlK+r+4C6RzRyzDw37V/8CGio2NfHF&#10;mLAzdHMoSA1s9Zg7a80qKsEZhQNrPq3i9BjPm7ro2fVW0615G9mF3Zx+vO1iDf4MTf5CWugPMwLq&#10;m8WvJ60nNYggMvKBKA8ITcuKvb4pH+T2O1Tz+/vxii5PycSWGECvNO6eSoqUKLJ9U/dCJ3RUUmx4&#10;c5E21ED0gu/7BQiyMlqf2YiJeLtcmJyZPHgH/NCi5n73/8eSD3l2uXu51DhWqgevhG6GPMCgny0q&#10;N5g+6z2e4Z/k/MlGn448QHj0Hw2hKM+ksBqYVpnhniFFV0oJyTykFj+i4ipRuFpAkcwcn8PY6oDG&#10;HouKU8SxUuEP3Mp5TEbUXeqvp4V5+72IDZe+/8hO6f7wsn2bo5ETRgqNTMpvUkSVuvHZ39Yi9FT8&#10;/neIi/1oMBpR4EykZLfezKjrnAX7lvCfFlJA9md/TJ4lZvYbuj3hPFh3B1pyqc2TQm982LUxnRSd&#10;Gjlb7lDavlnK2j1Sl5Le+lSwNVD/6YWUkNr56a6grQt8ze/ZsWh9CcFDJT6HuHvl5ZdRK0NevMO0&#10;YPspmfLhPS7Xzztvp1ueI6CovRLXt3CvjiJd2XnxQ4qOOCxMpedbmM9IRAbqXm7Xf0a5DlUCn1LS&#10;TM8YJtv0/XlgB2yloZxXhO43+4X6Z8tjue8Kku+FZ0It6AmUDdn1Th7lRRGcS4QG37ZKLt9+en5+&#10;ljkQI2FJ2HL9y1hDNqPSP3sPUt4GbSdfMGVzxtZMAlvgEIzD8mNi1q2CPx2n3cGz7KCcc5bhGRkE&#10;9eIxpw3BXTn+yOryEb79dkH8x1E5qsXB9OL7gRvlU1rSzUEE/NHH8x23v1X233spxiPc3zAoX5UI&#10;MkGtjaKUnodEEVCH3KWEx67edcYcZ/m4bLNrgmMRCeGmuPKKIuqRDGC5Nkuzd6+D8aY3C1ZX//pv&#10;oiKCCrXBfr1zbu9MYzKbhcmu/P1QZoJDjIpJqI5naNFnitdKFJ/7DYoKEhcVVZfeAWhG56WtNtJa&#10;OOyIE60ooxL2TOjv6CFkbqKCoor5/UMLdmRtMX/9QyBNHjXgmUzbx2wvwQ4VJrLbWXe4vzzKxpko&#10;ZQeCYJlS2Of22aIqm26w+vvGZJfLpBXaqxR//CVGt2MUTtWQLtRNvkvt3quAcaoFgUsZ+ZlSbvj6&#10;sn4PODt14pTH7fP2bKzuQrm3/cL+5uOoEav+fgiNB7uxp/x9fnZ4O1v+k/fmPM0PR1EhBu8tZ2N0&#10;BfdjSGwUEyiuhfFb+Z2ey6unw2W2Y0gw7KwRTUp/+JBlMMPyDaZSCFf8LV/7mC47ctfOjvGChuVL&#10;V9dKYVgKe3+aghAVqsp5XyII9nzj7K6DoFDHPrsWV61fBwHLGjD480pNAiH717ZGQ2nZLcU6jb5n&#10;POrfTFmC7HfYc7biz+WOvQOzknnqWYbx9kariSDsOutDC9X9oU4beDsM76L86i+IsFGereR5W7Yk&#10;nFGnZVnxWpSvTH/VMwkdKBtVJp9ZP/NVSl3j+fWwij6sena693vjCQ8bW7IgtO2aFOtGBLaRImuB&#10;4KVq8M+ufLhDmSZMIhSqmeUSnymh5fdOVei6xfKRgh020LaO7oSWI2r+Ixd37m/RTYnercQHndT/&#10;zC+CleAcxlDEzAsQQmAveM0gS9/0cD8ZBtKOf4b5LKe1Rq+FM3MIGwg+/oBBf64XrfxG4+czY4Tc&#10;KWizns5UUQXcX/o2rSIub8lg7jKcMJksnTw7WOrCJyITytdXN9TjtVLjkG2a00BfcP4Bwbf6lgI7&#10;/ueHZ30vuwmvA6dIPzS+gl433EVQ7jOwcglcBAASSI0hT8NQ8hyMadnfqgfg01eYZZBVdcU0/+KE&#10;ITsRDB1OrMVsFsNY8jg9PLBnisjI03b41ZFsfYl6yj6k9i9vllLA+njL8Oy1z/mRJ0WMMtbyKKHi&#10;NXUo+Bx5qlXMg4sEa40IBk/OPo5Cnam9MkGIew4oxjoJp/posAv/ZzW2MJTFXb21Xb2954J4aKXd&#10;YVDfEmR4FzHxSQ4NW+V3w2s+pJ/mL+wIqWkGCQNv63l+pYufbzdjSTokjwrQ5KU1zLHXP/22wm7b&#10;WvY08qyCuR6iM0c2UJisUxXdDvZcHHoGOD8y+uGhT82x+qb2KdkNp38aprhiqfonu4RvTka6pL5q&#10;JuzQK4A/DAm08vXVuosL14R/OsvK9SEJnPFqvhmEg760Bn3IBEEnuZ7U/CwTf0X7wrBuXL85ngdX&#10;/8a2XJ7HBM3nO/Jlo8PszoT3PrFRY96JLaaYWe1XVzlzQNHA8ODmd6u/PmbbaoComQZhjnhlllYz&#10;1+GsfQHEJgB3/RcLJsx6n6x/yt4fa1QUx1mmb2xc3xhoz3yInovbpYs6/qLss4D9jMLvrL79d9KS&#10;ZdGs0VNChaO1oMMBqRfCKnzfDiaud0THt86WA4ra/uv3ImEwn5vqDfx4jwAtpv9aY98Y90Akz4aH&#10;2U8w9LIzyK9rEnY+yjpMd340HYw2alJP+Jm9rnS2XEUbPwoLJRbK79wiBk7xOFho551+uKnnvWMr&#10;bG4Y+vxXz+ec4vnvu94d6Ov2CQ0VqzxenRA0+GFOZQ6T9eoR+recwVkYIMZMABsvSs+Fvli+7pjy&#10;KVsfbxBgP2Y8VPUYGC04nocZVhQIeFluzowcHZtinLSAu3rBPPvOjK5Xr9acJZW1WnYF+d3LsD75&#10;o39Ij+zOr+Xtsp/s10PaD6Js1zdUyuRRWE31TlpE0xL1pzf0jmfafag7ivbgG3I/3sREspAy+nGg&#10;/PVHF5gldIcEWbdMqVrKeTi2XQBVeNeVVwdjCQ8LDHs3UDrezz6eNJn2e37vY5v5fmEFzPDkLv81&#10;ZiXFchOot/IBz4Pj0ET6sHlvOO3hvzIKpleEpmhh7Nodgh6LgOtYr4mzj8NkVtwxH5+LEfonoUVb&#10;ECdgjUVKttW7czYkM18JPH+l61VgNV5HkrcU10MGdj5voU6wuW8K0+Cjs1zxliXO7j327g9T1zfX&#10;X38XwFgx8s/vnsk/dnwmZ//H9VdU1DW11Zx2rHShr1HCtTj8420dJsbiKKq4/aioKBMIWIWlVTvB&#10;VQQf5vnT9C2Ih/vs/G/0IGAcxoQr2Qj7k8cqTcK1RAk728PxRWYssYpArCgMNAD+TnQKwcvKbJW/&#10;Nt+EecImnielXAbzpUwCd2GS5wLOSek9h7+B/Jkg3iSy12fP5FypqB8SZbdY51KJiW5MDpzN4VaZ&#10;IEMG7cZ9WphkmHqPswzeMNbHOeh2wdvwES3a+U9fQLR8sH9cgUpPsxAkJAuuMN/3E+rBx2PIUrQi&#10;BHnc0wnC7KU280l87TtSjRAUVrMsYAl8jatJiFUazl60N73IN3+da9u/fM0VjHTKuS13rTNkT0Iy&#10;JdTY8OjZsjZcvG1fd5PCXPUU8juQlR6K3JTCvhqwgaqoMP9B8nX9/DtzZZXMBN8B8Sn4I3AGp9Ru&#10;HPjXj98slMZFf4RY08JI+e+U/3/OCBFmH3PtpUa/poIUHvMr/lcgS7U2x6Qszu7tbUQsvR+YhE6q&#10;AYeJ0vi2G8bakMz3+oRgdCHRT948d4jS/aOJarn+msy/DGdDiJHrb2HLq1YxLpf6/xUnniIHFHvY&#10;bHoaOamco3a/HmDOozR8nCIy16M2ZVRaBOPSMycQipedw4Np2X22z94wEaY0kL/FUHkjrP8Nfmvr&#10;gTWyF8dJ4+LpDO6gB2fHQKmGw5x89CGWQwT99ZpEef28XJjjrsA5UUQmXeTY1+lzFgRpdUPS+SjD&#10;ENug/SG247njfB7sNh79+YAw4FqlIz27R/fZXySXgb7ybAJGmoYt60LoMAR1bytS+zCb8yiIzSSH&#10;w2VxNcVID9b+u5kv85wzIk96by4Kpqj1yNhZcGHGEQXugq1s5A11vcAWG6ll6rdHd0rTyFulV/8l&#10;sy/hbzrJbIMhuqNfsX9ek4gaGCIRH1LMK1d6yvegnx0TRSg/bbt3TadCg/kITwKfHgCqM+yHCGPa&#10;y07xI3T32Ds1NpJV2KsW6nowki5WhPwzS5QddlppKmjsv90oqoCmoclbQ7HS4HmQD/Ov2tdDXeVP&#10;ciQqAgbxFuNf1vJ8GtDcFgGP6I7K2CgGqjCqVZfXcRkXFPaQdqFvFgyV2pO6mP6xNn4x8wGfxJWO&#10;IHj5mCk7n79QiS+3JwxMP67PB6aOooHW6d8Pfm2RlN0vf9KJ9XvEvhWAzVzdkXPqY4kQnGiV5beQ&#10;ZofThz8dWINf4WApnhxRl5k6hnol2aL4FNo/rrhxi37LjGOCeBTN8I/DWEE2QkUtO+33pZcRKuS7&#10;VzPJ1DXl1NwkaL49gcGIXLVDv4Qobc33VyNsVHCoXxm0OklnzSs5jIPKJHp/ZSRkZdeewB+4UeSw&#10;mfP2N6dugHBut0Y3Dp0UGRCkmIdCkX8pbCmgY885GQ5atIuwGw2FsvbuY3AxCmt5indrmLwd2653&#10;qxSEYqvYo3xZc1QmLOnNGUVjH5oI86QblcP7AItLFoFJWiSMVMRwp1ctwYUAP2p5mE19UGZ4kApF&#10;BIcaBL2FqM4+Yn7t8q7d8dnIV2ndxWDzf3IvwsV5TTAvPAdFeG701jPAlrve98ISGwnQUd33Xu1N&#10;YERi2TvrUb8FZ6sXJps7BnDQ7D/P7Yr3ucmStegdonPWPwvHMgx3ubl1Qw4JiBRAkkbEUmtGLTd/&#10;aPccfFJcfKjwcjH1m39w0VbaS+3UJgfVyetg6fjly0F/X6Z+QK5XMcOug3H+KqQdUZj17FCnc0Ey&#10;8htXv7d0MLQ6k9NgZpT2lt1wfRuTQFi/22ZdZ1RKiFFDXb1U/+rJ1UmPmp2Re2aflm0Q24xMwJfl&#10;lpnzeRWIk/Yjs+DY7Y2pW4UO1jCGJLFzMVvPD7XoGiodw+bGDN1/Tr1u4Qs3cOQfEosEAvjPgjni&#10;BVxXyJdiBL5GBpwteIURI8/cwAVSJ7lPXZInuKa3RP23IoWMFdxyzFzDtOQmNa2BKJ23GlVCDD20&#10;KG+NNBqk5uTIgdlaCzi7vLTb7ZySkFJjmPEcMN6fwrMCP1LSRUbTSCKAuCpY+SyuYA2faLMnXg5k&#10;wv6KCqVdPBdZ+Dh4JI/mbqyaH9Oc4TBXD6r4CafgljMx/ecra2iLGUQSVzekf500qdwjMnB30QYq&#10;hV6DF6b05E6SBibtrydNpdvK/7p7cCHHXkZRfDyCCuao+/T+g0LsQMkxjN2/VPP9QwcseDf7ZUe4&#10;btW3IFmXQThWJLWemKlLEyv27zCaE24Fklnrurganmed1DP5X5VIA68KD7jkoGOY+SG7Q/7P8TMI&#10;3gVFVp7HrqJGfmIUnPH0JKyQ+nXT4KUlNL1vF/9D4TtiGIvgwTPS7xg+8mdt/cL6z6m66YyQiXvV&#10;8YqnFgriBifCuh1/TVG54URR7zkwf+6jBqlaewOMoXyhkSIA07qQkP4Uv8q/xbKaF3YVJBvDWKW1&#10;XgXeusx67cPJRWNk//kRhZbXi31xxneS6RbhqXtldgiEOYTTRqGi6JQ+l/4YWoosmr+kcWlM+/gI&#10;E6WmMZXtYRr/R3CxbZGl0OgPWP7vUF6Jl/r6jsRUNNkjTpfUlkGzkrKDmUqV6mE8++PAJzbCnQjs&#10;qfKGd230jPSJPj/v3jfpW1WWu4yT2zffqgAcpTQPKRI6YaI3d0ztTp32IBWpi2X+kzbbjV5eCnej&#10;7QbjSGa9LCQx/oYr1QN1cQMlRMd7r34DY/aJS6QI4iqqcOtziPOw2uoBPPdNjQkemL2RtL3deHs1&#10;NhtGrQ8T1CYOI7CQBxmNlsb028PCMLL6NtDnHq91KYFJdMzId5LWGBK8E+apzwn0hipEP5v+IVq7&#10;QwsHb8FMXgZqOH1/QRgYiGxNydN8h7p8v0aZsBP5rICL/ImZ+WFlDpu6XbMy2vEfQTFHDQPC0v/Z&#10;DmB3pUrGkEV7sSVqkPZwzoIZYH3EVlZHJjFwV4W7tZBemmwYjQrZ5cc/WSO9n7jabqEyB28PnAeL&#10;F09b5xuQvMwBApawdwUm+7BGoF7yzkLu1kuGDO9Fk2JWGHGpxPed/VCZip+VcbSGbocUs8aGgx9t&#10;PzQTwvMAR1YhLe3lnO/DNGA1in1EmPPrW2tP4yha0wYvZ52uT1msfOtgG4/Qbd7evaweReuX9pvn&#10;VbmejQR8yZKwE7fIFzYY+dSRdTw4dOiwa8gkA+tLikPI1irNvkDT0mV8btd38kheapj4o+lRRx3V&#10;hCDBDzgLdR5Q4In43sVDCm79PKrVef2dx7zx/8OcvNmRUWivPc3vsHs8cRx2Ro6RI5lq2SIUOWf9&#10;PKNf0/4z7AR0gJy0slTlZ8PA/xdQSwMEFAAAAAgAh07iQKrDHV7oOQAAOzoAABQAAABkcnMvbWVk&#10;aWEvaW1hZ2UxLnBuZ427ZVScvRs+iBcvgxQoVtzd3d2dFnf34hQdYHAr7q7Ftbi7u8OgL+4uO/3t&#10;f/fDftqck5mTefJEbklyX7kmXEVJGg35KzIUFBSarIyEGuS7D5LHERGgoKBbmaj/gxSgXdWkxaCq&#10;Jgn/FeAsRRVFoaBqY1FejeEhZSQnme+uUFCkC/8yNFxmQxYUFO+0rISohqfBWdYnX5yB54eUXJov&#10;p6Cjux8Y9APnjfSFceikwAQV8QsasqZlEVpZRGgxpCyo8KBZW8QOhGAMySu6INDSWMfS+/FH8jj/&#10;VKbl/fhk2kZ9CQWv7P3L0+vw+Xg9P7/AoUdT5sb3CaaKDGrMzErCxa1EkcXNNJn+UAPbL9LFXPKI&#10;Sn0ZF5HUBLqUGLV50BMmshb1nmwoX8Ozv+qIU8b2x4M/7YLWMeYVC9AYrKRKdi0ft6arqE1HYoZM&#10;kBytUOytsLiApKtqVoVvDB9fV7e4Qk+9qEJTOYHG6YvmpDMJh8+bKtY/+V1Y2NJFxH28xGPnQt/F&#10;CLxpJjsSDMbCk5uANaF8T8vThj4hibN4qyrYXLeVbaSoMw2BJBh/Lnz6p+OWyfl9V/gzCWMGQnv1&#10;0YyT3HeO0LqsxLWxzMWnyQ0fy5V1O/KeVcvOQ6QdyVaH7yRW4oQzFRzlR8EFMjp739SYwThLcmxj&#10;IC7vekvxQKc6Q93VYZSG+ObwL9mS5zpvzWVVoUBi+GBvQPWMFFW9lE7PbL3EharKDppTLmmYHKl/&#10;Xy1HVTLsF8eDuUrM629jQ9cIMyv+eJirdVtgPS7S3+EoR/sW/rRLHml3ZcRjlAiP8yDm/XOkRCko&#10;L1JnA83JEs2j6FRSZpqp5onnnCUpus9WAN0Oj+0EzI4oF3M1g0ADZmTTwfGVu+egiaHdFYGwZO7/&#10;OG4IhCbe/1Jji2QV3qyZv/UU87YriThKDNlBL3DkfHJaLaCG+mP7O84nSrm+6/2STrClb6T7u4c2&#10;2XfXtpfhWmbBmgyFz6cNpbSB3HX/bXrW5ZnDfPfwCNoc1v2533qaG0P8BX52uClsd3jxE3jEojae&#10;Xy96vJjeEOHTT9a5V1uzQ6xas5cCZ4kFxFAr+rzA/jSJyLva+A57k+HzElNQOQDVOZ4tx0rWVS96&#10;+Wwkz31mT0SCY6XEZo+ZaNI4tfhOR65hXhLIOQsguFpMZJ8aImK4wJbtl7o3IqeMHXz93Mfx5wM5&#10;/46WojLeYRm0jEXfSbQa6ptgYmdmKPFCUvNjLrSacnVbs38a8ow/k2gx1HeVV8wRLrKsrQnrrDVa&#10;YgXxth93Et1RPMYj+ltHPt9scNNMVcihn2SDtkcpwdWnRZlmRO+a+/KTADSjaBlBJCB736rGfCSe&#10;5Wsdlg8mdq/ziWQuICw3l+RshsKb/5r/9WmFX3OfgVhlsda/Ru2dPiKfu/vEvJ+PSTzvVRub8lEQ&#10;40PNjrMbUILvEigNxdWtOl/PZlBVXk3Yn9y/ODHKa4Ka8+WQdqS6+qRiY8G2xyJWrngEZ4nyUHFx&#10;jObNpWmwzJSx/yvU0cx1d9nAit1XOg1/6M5vKXpUk58IWjAQhpS0lgDSs+S9SLctdCjo62JILenN&#10;eSEnYgSE1uV8c4nEzjHFRKky3H7Igg4ZokkkRz3GLDR+LJtuOgi4V0d5+CeogghmWXlDgZXstwGu&#10;ylPN2SGeRyLoG5cC5a0akU/QNHo+FceTp57jbsuftMl2pj9XSYlZbkdQEFr2asq2srfQmBKfdWOu&#10;BpL5xaEs3W9f1tDxwaao7SzjMAn15hVlTdr1T27TRXW7ifO8AiN/t7MnJeG3KKBI/3aCx0HX33H5&#10;k8cea2r5HpTlNbyRBuayNty2We/mlOVpP/s77QZCyQrsW0evx0kbQapkd0LCQ7/c8WYn/FrBB/vp&#10;dXTylfL8w4nTYdubmnCld0CTBxg62W3MoTexnxXP3sePheiECZ2StiMBUwVVPylhbNlbyz71l6/+&#10;hXY1rWTXf0hyo7tRg8clFKXZCVR1HKVpEQSfWSliuQ0cqGTHs4GLGd/JZ8mEWf4vKjVtFDxeY0m/&#10;7fJUok+2THkjPlM1OR97LK6cIIVHEIoyWT2jjtpydCpvWY7M88S30szID22LvZDhbkSxoONNds+3&#10;0HaOFjiH18GeUcmvrp+Jv1kMPnm/fOmV/7m75eQmIjT53fvAf7U9UcyycByIHJfmDcCKImCGFeYE&#10;pTk7ldJOTzUs5aDA9Ixyb6owjaGcgciVMkRNb9nNF66v+fa85JBID0WfmrcSImuGWxjeTt7tI3Fd&#10;jtpJsVyiyAw0D2aQHDF76lDWFJ/QfmqG4RsGevLmVD0rOSmAnUfhcw5rqdjce2N4fH9UHfbybYYf&#10;aWtNYg3s9tdZDlZaDSRjxS+WJFRg0VkVFdUW4aSNImsKgMRLEtkXmw7mksuJprOPlkI8q4+2UEyL&#10;X4dLmCPGBAdK7rrADY8p5JO6/Xh+rL93t5mV6nPonJ83zF9eOKKynj0E0anSf46+0O1HuxXowWN3&#10;YO7c3F48qfIaXluLZw6wIYRPe1VndXeZUC8bzm/8hyJdX2dkfHjQBpgAtmWIoflFWzdeYv1R4DuD&#10;Wr8c8mtC41xeEG7phOtiz/gJVwUV0yufuqIxt3NsWFpT1niyinmB2BZF6wbHN51zrPj3ykmb4rVz&#10;4jzKDnd7P9WoZt+vXcaigHz0pIa1dWEN8AaT9pkokKH7T4ETOdS6Nctf85zjE9BQklAH+dVozOnx&#10;a+9XPY1d3MSdH6evB7ISkRkGd0QrI1XXredcd0eIekRhMTRMd7vgqJAG2NNk1JbZlDjqnxTd9L/c&#10;A+h9TxMozxD1FCyIAn1+2v+E0867If5JZt2UT56UCrhSK1qOPzORJtbw2Lvs5t4QJierxCK6qagi&#10;f+nT53Z5XAPoRcdPooAWrQ0WfgL1HUP4a/LIPV05XrLEZgD3/CHz/57PD1RFDhnwY8LFEso6Gdre&#10;lZC3fCUXTAH88YEuq4vpdlskD393g9M2pugAWXWkYG3xY3ZLo1TVPs8B9NaHA5IkTh6ErkrIUxpy&#10;nBGXwCTT8VNq1tKr0vFqBEQ9A1Go3xUbREkwTaWRBflnBwrJe6D4rr1+wD21BLeRnzqjlJHjOZj1&#10;8+Wj6YrPE9XGxxu52IgQiEs/Onq+kOsR9bCQT0H21VK0/o14zU63QjYeQZWNeMEGcjyTvZCJ/osY&#10;DaqST42k1H/DEgtkLyvKK8jvCmYRBWiDSB0GSb4dx+h4mcnCM+m3ikh3HvXwz8a4k+l/tEaqQfYB&#10;+2dnsKt0eYIjQhufCwNvgjn0+TjQ0v1Ysl1STZ1afzwIuZNykShe6McC9InMlJMgCtjR/WlOmHAy&#10;6NS9kI+XvRDtDEpgHm6KMLqg9zBGhHAsprLq62dPWD6T5zFa6YX4+BOxAljCpY7OCAbQMBGSbCVf&#10;9w6Rs5OTU2nw8lM66m+RVRXGoRzj6RzzbgSBUV5f2FNQQbl6eAFdylgLA725854XToS53L2/K+wk&#10;7QnaDaFma3umEKk24k1zIZNNZWUzOXrWfSuWBStdKzWG9WYDFlm51wLbZn+Pl5/hJ+zwB3e88xuj&#10;bZgq/AgOxxUkIUY5hkPQnRa4dHSfrbw/SvNGJ8tgOP4gOAnJUEhp4u+U7MLhQBcdPh3vbLty1rab&#10;S5SeAxWgwuVzvxG9s4abhVh/m7VI+6YKlbOb2qY1iJasUIh+++R3UX9dAvgPMeIBXypV2xRUB+PQ&#10;Nkp6XvVy6LjKQBCPxY2FCyK+p9yqWVvOKsKeBm2x4xHXC7mgEnZsXgT+y44alzItI6PgFnko+W/9&#10;JA5T2BwLf2ivH5mH7MaA7x8z9Hvwl8x6+XYYvPufaitrnBzFH32c9c6htQYBJlQMguu/J27YYniY&#10;+wn4SH/XdwXoTE4HH3FDaW0uM36YaiFMe7n/wjkR2aB2IHycCa9fqvGKYkUce7ZwjME9XDEEEE+F&#10;mLvzzdivP7etm/8kM19fvcKKROfYubmG4TGvTCz+w2b8SE+WjORMTEL9SK8caX6OBG3+TTLTcu7x&#10;bWJs3/u1zf8jXOrHmsISDWM5ngjNzSpSDA9RRPeE4euMMn/zfhpr6XcG/DmGmCjbL1MOmr0mnxyP&#10;PPB2Jni9xVho8Q5wWlbsERd00oFXHNCJpds9pp63jQZmTYkY7I9/DF4PyPyxYJCg0Iq8w6l2iGiR&#10;nLYI1rkGz1VLz8NKxZHcp4i6AjFI8O9lEJWRFRHXIy2TMViRqqcp2ukpoc+Ns2Q5w5Cziyw+Nyze&#10;Abv/uOteeGxhFSkgdpHOMpBqMJA2U7/iao8FUHSj9TvhcqxLoPbljMoG+GCsuG45fVLWV0Bcbx9x&#10;3N7rIwA9CP/FAv89mXQQ66ZcBsZkwrWkeAotkKUDYegeNirdaEgvKwX8DbJjLbaVQCcWGrykz396&#10;hSjgMtihPArHZHWU7i7nqrEYhabuTn/ZKyO25Zwj7Rx0S4uKQSRQDqzZoWqRtxJbrsHSCAWqhCP1&#10;WCSJYBot74iVP5QtM9p/w+OHcrDfRQqEBtjIiy1PdPWidbuI6cnmMbHKI/rZf6cEXiwPAI1ukmso&#10;atauD1ouWCvtkYw9jG/4a3PyynuB21SeYdHFrFOcdQ1ZwPnCaga8xj5Ol0+auoQRhRGYdcxnT50t&#10;+IvdMt9Oq3Tbp+aUxGxGheDOWw/ES2ugHURMxDzVIGML4HZCqf8udvuGSAWkDqGCO88MKwQhrTzL&#10;hHXtWujAFqR2C5bbRaUNaFAhGZtOTgO7W9jjMPB8Bk+0v2jmksPD9x4K5vsHqoZuI3hyzargUJmt&#10;FSBVffLugIYcmCd6WQpR1y3pqfvHSV3ExjvrCn/JBC+vG9bul8Oe+4SR5mxbw80BtxXfNjHJhBZM&#10;0+KkTdCoHYq7VXicbBmjzmAfkD6lYxi6Hy9Arwscx2N41pENyosZwdGwkmpsYgYp/oA1xez508PC&#10;BFg/JKwELm+UaXOzhOJRwIVuBlkCjBhYZRBRe4qEE7elxdyFMx6xuIzRokrgHqz6oFSdDtv/AFXS&#10;IBIWF3G/J81DoIDLdtpBCrya3oYGaIot+8Fh9iaYKAxnc7Fmky/QyuhcO6O4x/KiOsA/pBFgiiUC&#10;SsXbz+bFifBS0TFhLr6zyoOysWlJ7wr+rh4bra2EFdeTzm0LeeFZV7JhkfmbL3B8I708+p0ZFwue&#10;RwqkgByNZBemfCyHzjzQ6NAfnrU1xWz4WFZJBXjhyYl7TY1YCAUEROHJSSKkf9wVeKveURvHi5dl&#10;m8b2bdMJBFriGA3zeV7CIBhZIvVQyzJggU+EzKytBJMwUY30RJLjOu1X1I3iMDwxUTFnacrDpDF7&#10;yQwHDxM2KXwezu1BFcYSDm9LWHavIqykLDFGLFhqa4HA7kQ7BlJB/bBOQTDf3MejscaUenQPhVkN&#10;BeRMrwwPy2+RoE6ttBFRMbP8J+CSItZa7PV1tNy2myUX3AqiR2Ke/fiZDWxmQcLaaK7JzVZMa0HX&#10;LgjByXz6LI+IiouMNMIHDhMXqvxlKNrZi+Vi2gZoSsiVL95WCCElbeqsW+RBinOOZhxLvERfoPBB&#10;igu8smTsqmMhRV+8PedQyYIzhIg22NFuteGmVvHEveaBDK73oEt7venEsWsrqB79/0mNhDs6m9Up&#10;RIhjn+RDm69Vqb4QHTtQenlpRtHo/QmsuTx1oS8z6efa55uGZ1UXNqHHhQ2mwq/gM8RYJKcWq0SJ&#10;wM7ETbqLLK0BjfuPjQ2zmnSUr79RQZGyWCXEn/R7tSUk18sBdwA+MSpThb26HSCMtas/nMxGZZb8&#10;7vvfc0VKtX9x/hf74Doi49Z8m/qSzsAq9Z35zxAdQNxVflZ6YjWNRq7y08gdMasFiFXLmbBeh4Hd&#10;A4icJ4QXrgI2VXDz5aTdlVgJj/9p++BluuJCnEQHfM6lFGO4oYpR0TozVCR0HPOsWALATgSFPKdv&#10;g+QUgRiJbcWn1kIb3yyOuV06iBaOs9xUzEI028snxZKSQXsekUyuf3REouIPz+R+TJIDNjGSzZHh&#10;jCuRvH7h34wx4VIODrvptZSiAZNCRpGIqla4uH+mPbW6CGolxB8Lr/96VfMkatU7T7EjZcDADEeE&#10;W3geLwxKVp8c4qWc2re/+Kk6Pt9LReule4qM6+bkJGLGj+ztOXz9B6+I0hKbU2WApeeBwsVtNsrY&#10;uxWEN9Xz5O3rxSr1RVpziDK/vOSY1eGOyKRjB82LkHiqx+vXEUnAEMgZ+03RW41XXG+wgBjlzoNY&#10;rZN6D1OcJefgBgal+bfwuWrYzY6pFgPmoZuzwoEggj9mfAp0DQPZ7ht/tpefVyebFIIpjJLEmoI7&#10;XFJ2a4h+LaciUCd0zuM+TThqgt0zQI4ws4vS/vxFxwTupNn/esKexcf1OLO2PWqpq8Nz65vQL7fZ&#10;8cT295kd+Q1loEmaGqGkfkG/Xp+TuUKQfBLiWEZE8M2ohMrXQaU3pGJm0ORTCR2A2yOrLXAico1i&#10;4Ag+n9xscHzVreAwCOSpwNg7tsdX7wI15uvc3505oRxuLim5/6x9hBM+p1TzDQcPq4Y8DpQi/Jho&#10;QLVw9TQkxcR8YDPjoVrGim5ZidkT7uU1IP/cm4/dIGN4SVXdJeA3KFyjE+n7XzB+++vLRVcXXKS+&#10;UasaoRexSr+b51ufnTgv3dlGYxWWaOZnLbKfnrzVff95pJzf+H4hPMk3+HH1JRlIzL8aCwq8SnUv&#10;7PwNlPSLT8pmhQpNyJhxttNmcKnpi1nOq7h1TrUi4xJeq8ar8M2XrqjK6T3xMByozQilMPN0a4c1&#10;l24Trdi7SvkGyMg+3537brm0qB+DVozkGU8FhaCxR57KecFq6A9bFhx0dvZczUmAGMkLLru1x7OR&#10;tRmbzLktQgpYIunjz+yBvzxfpdW4/LJj0XFwMqXOg/hb4mHLjBPqi3L/IvWcxy6Z3N/G89cigXxK&#10;VHo69GJEU3OOZmcWtZLlBeNL9zbxPlGyiLV7YVDk16NVtn1CilySBVcO6OoCFCNC4XMYTxxOnxwu&#10;xX79ty/2Q5InXD78scumnNtJ2Yh0rIC1xBz210/uNjNPHkLp+yx0XhzyXt8khbwVxqAjH8B0x1Qv&#10;/GgbjpZ7rPUSv2NSt70lSYqk65eRZaDaJYkNet+pcHzRwl9gzmHw+i5mhgaPw604jUb89BQ3TAxH&#10;44I7UaEtk0H1J8J/EbRHBt00W0U4i+kJlDj4tJX79f+LhPXJcVA09QjzK3qPGrBMRtRjNJ0/Q/r4&#10;lfE+1KYf160HRU7Qp/u2U/SIUvpFHNOogZUUcFv6H0tVsXs9fdWDqP8nSTN+O4JwzxK3Y96F3L/X&#10;Kvk/GNBfqCjAg/O++0pdizXcTGe5QvMZzRIyfUo+8v3FQz4X/RZ4WCQy/HQxF2fuomTfxRpRE7oR&#10;6q4VJOaqnopa0lcHOlvOw2CJktSUEZThqIKpYTJmvU7S8ggm9KBgj/9KY98oSCRW1V9Vnfzo3ezP&#10;3gdb/Q7t+fzrJ1CT7F3zfT96uVCppz8ftwfe13JcXwVOlgX17CANdNK2X792YCvwwn8v5GCJLSe0&#10;yS0Pl8Qcvm2onPEx+0Zvt9hdhrW1NeoxGAqIFhxcvlHoj7a+EepbmFdA/3n8az1lRwRWGei85xMv&#10;W5bIdMDkGWuzDBusgMBfKRnOk7r+AlxSpWbE3LmSgyEIX351Oka3MxgJe2pjXtCHgiVKjxkrl5Gw&#10;6Xyqdssbft9rYLb//PFfJLkOG1DCiM2TrMZL/kCIc+8mKQ5OCFz4Odxq1f4+pSV9+sDIpLl631nH&#10;iy0IjBgpsU2l07tpiBD8laqPJrGTGpz+u129pXx6T+Vlklox7AUbSxTnVCKTRq/asLMGnLx8+mFN&#10;y/O3MCe8BfOcEEkSnYLKv2NrraVCKyaXjSJo1IdMj3lfZ4utZxFPVhz31F/qpC7AKuswUQRrhob2&#10;wlbP3kpllXQ/6gza6Q8hKbWYO9w5tSeZDpsVmRM7w8iminuiD2hqmwJcV4i/BT6uSKnbU9ryJnhc&#10;ZAC0sQDGcRgAVWalRKLKx0CJy0S+dVT5TX1nMMJUrdaAhEp4n/jL9cJvgV0GLnVBwv/Wn6JcunVX&#10;AKmogoDUKBGswAxj2eb2N4+0z9701EFUPbESellsJ6hc2o2EFzlaFpZ7xnMScEeIkDYTLE//Gp40&#10;og5qUf74nA5XHX75UfFf8fwrm13T8SUXuOaPhAAjRdAFNQvAVzhPDs4hiPJqzl3olNitxQYzUFEb&#10;7UOH9QVB6PZmplAEi9SXUzZcpYMXhbsnIcYVXXCP99V1nzpoo01X81VFy6WVB4Eb9ckuCbEz55Ia&#10;kE8OUdnsF+L2JV/C81FFiZ6qAu1tCw00X5ZbrI0KKsByJeUbcsxmHlp/XnYFOUBz4qJNexM5fDs4&#10;139VkhBugw/Q2UmKktFgdhQR6zgd5lkVKmFWBZESd5HNk/FcwqJdpX06iPlx+5AoBGIgtxKXb3DK&#10;cDjKwJXI1Bpa+ey126XB86smazIEYzIGQ0A3lug+J0DjyyHAETepcVCxjNhvueZR6Ne0q4wE9zGi&#10;IOB+E2SejGjXm5CA6UJMYOlTynPptUAJPsMh2QrLUOt4/Wv+X0eoBB7hzlbFiNPC5k5wlvZ3MitM&#10;FsBF+8NIRwtOXg9zRkqDUfjRoTucD7N40EW4UUrGGVRwZiymVFaznETcA+DC99IZZT1iGhybNZbe&#10;Z3UDfsH7Buhsr3S0egZh6mVRNiuvt+rxvvrjUJj0hpFsxWQA0l+16sAIG4BURMPNdM/rvREUZ81F&#10;nY4w0STQNyLOjrZs4pAFOD99/i4kV2BseEAKfRbuysaJI+whHR3TggFDkx9paCboG2FnZ8PjtFsL&#10;EmdwRFbI0qWEZ3uTmp88GVW+nwadpmNC6nvdC745/NIB4ZOYjyn3FS0AXGHyKiMxOYnV5NeKwrtd&#10;gYTZsxXz+L38yi3ptRAd09lNwzIdaol+sJcsLC4jP+wjpuLKbHQG2V6MdmZzXbyhdk0Aq8djUQA/&#10;9OEe8QUxQ1oxkZv4BatJj/3JWH1nAmxLRwooX9JYjJUrOBbHYgHZwC1YuYj2R46+gL4yv4JzuRoz&#10;j8JVeMWUgCuTq5Bx2j+fWtg1Wdz0oZuSbfeSeMApA4+JHC8tKm76DNW3pjlP4GawjO8XsI3Iis8f&#10;/7pTBNyIj3zi/s4r5h54MqFVrdKh1Nu7dbv+nVlAcT2cZ0+uXydSYvgFkTl8mInXD6tJo+3R/iT9&#10;ZB+36Vqi1LCOumNL0Wg93vB8BivelYEnPIBCZd/+7dXbrtj92nXkuGKnIxesjUXRux8Ur7EdVHsr&#10;TKR3ibCwpnGhpnhPqAxjEFcoB6wOqxYjs0jydees6nAXl9M23HMB8gOOmwnT29cU4TBrtzVUMFkr&#10;btcinf64waqpuWQ/FustdUJ1hnbDV6sFogyqIjHVyAGNSUgJO6+XlNLPKq8uGw2t/3tqafo70LpB&#10;YjCKVVsgzaEY8JouG5lyEojh3jOlS6bxgqgg8X7lmgIuP6YSPt/wpFQGzsBX/Qr8UuUEvZArOvce&#10;VWG0l1lqZZaGmJh1l3k9pw3ZObmEL/T80doN6kThKETXcUv144R4mnmZbL7tdj8oKmDlLUuPb3g1&#10;WRhElDLIWI8sVD34/n2Ap8O9JWBb4OwtQCr4nGN7HA8K9xSjJuz84nvvusGDfI3zaGODjcS8rXWB&#10;ghCdaXEydFsr7d+6OAc4vwH1XpNkVX+jp3O/6NTYD5opcM0wATEaCDzv4oRKbO/YZm0hre33P9/h&#10;4mGx9FR/tEQl7omxAiT3C6G1eJcpiz6ABTz4GIL3b7ZUSnw8/980zwasSFPgxMn7PGMqjBdRlCQn&#10;Nxia0e9eu/y5P+mxnszryUjWyGQm73yTgunl9GYMt8xEYqccDRhimaJb5ud5T9bnu4fdxy86wMfU&#10;BH5FG5qtpKiCK4yIH9Aaj0/+nC6hcRcoF0I3WaofwWa7old7gVlbfhM4humSqLBEnvxJHnkycvRZ&#10;8rdz2gjOoaSFI9ug2Qfd4NFYuGOzOaKoaCJIM+vz4284HLEOl5xv8+xefVLtK0J5xj8nrU3T8LAZ&#10;wkuP99gc84EamOMmb098MPiW2KC79/7/86scZpVi9v479pgzJy3S/0IUGt7BgmywPKbUv+hEvtLf&#10;pL9uRetOAfnHvT7LhG4UyN9Qmq7f29+k8piHy0TMeIhhMWeL6ST2H0wefdITCE+p7Zb53fMfXu6s&#10;v2Ic2sPZLsBAdiLs3dpuoh0I1LlQjtIkGpJSKKUU1arwQ3mY6RLlkdAkXXzBKihPHGsPxzyW9TTT&#10;6fF+XmqmOKJBgf/XlYabSxq3qpj5EEMCl/EGrECn6m0Dk06l6UddSPO32s0cvAq+mOjUOBmY6uDm&#10;xMgbgU6pX0QjyyCkEIpM3Pi3+jyDmGp7WZoXcFvbwFPcMjWUDski103XJvjthQ85WeL/br2cA0mL&#10;Biw/esV4IuoshsHB5kjN3zobb6phvilRKyd2S09/6JXYcprV8eVUfYCis8mbsGr2q7G+QqaKbJBt&#10;EUy5d+t4Bk2yUk1wTaVLzjZK718RVmb/SxhsS+wkwwTWrlOXqvPdpibsXcjlVpNQNSK98XWSSIp0&#10;UBqwRsZ78Ji519us0d/0DibKZL7McNEu70cYNxJFl+7PND1D9+uwsX22rj2cHNy4uJTPQT/udFuQ&#10;lxwyaobtHu6+tmHiJXb1zYcvuaV/tyu90TS48oJG8nqCWmjZVRhb6tOd4fE6UFrgU6TEEmoVs028&#10;E85Ud9lru/hqmMQh+JAew77EKTuyZiLdUhr8L8FK1oqvqrgfO1TeSYAiPZ3NAcl/d+5gJnwm1/Lo&#10;Ds0HhpQ26CZ9IFAtbJqT5OxtfblOX14RavJS5PCPKMrsX+AbE/yhSkIWfaXKOErM7O95UXl0dGR3&#10;rHKGWwNXredL18i1OuCvxNJ07P3h4NJjlamJ9QXYggb61alHJZw+CSQbzH4XEU2pVhqmB+o5898h&#10;Ou7qzbzVvafwteofZRH8Xfr3F8T7JnU8vtnH8T1jKyoPHiVTH8Mck6gGzP16GIIDv7C+FH2fgie5&#10;fOJirkwdD6IIygKm3Dy0hL3t7LPp+Hn13k5ksxLDYzO0+Rv1fHV+r956m02diDTagD8rfkWod2TY&#10;5A9KqfUOUAqLpfVdVImZiwa7PNR4iVRq95yEpLa7Sa8/pMHwbHyL8BNRQPyBuWctkl1S4yEA2idm&#10;VRPd2ZxD88JHJfZ7fCwrdomSKXi0/rgsxT24OGLfcjNXpeNWcPVMY4hRWWS2tF3nlJ0bunwKC/ti&#10;hm/CUOPa2uMAgWP0LMETPuPcvkYrHJ/Gftzq3kbwTBXjt4uo/eKZKFHwvVAJMqjaXpxv/SRw7Cz0&#10;3vhZmuB4HHI9rQAJoT+JjSJZf0spQ7TAxAO3632SMUe77Cz4h1q0ybF8+wfw5up67zU7ayLK0LN2&#10;n/R7C33uGkB203ZPdccsdhV6pNGvxgWYJF16R3nZzF/DxJo7CVVsbzPqgEVVumJo5uETb9nKmKpr&#10;Tr1j+VRR+6KQnsUS0T6swQClmeTZsRodH6+ezfdz87phRuunudzXS23LD4ZkEgH3QR4Mnmp2cZ0v&#10;8rd18rvFv8gnCUwgSoFDYE48cXofjZmbEuJy8WJNYZ1kMYWOLfBmcnzhB/t2gEas6KHziOX1UpNg&#10;TbJyxzBLWjcRmJJdV2c/h+pRDY7ka8hhQhk4kCf/wpm5rgExPPtbYhYCh5CPhZwLrsu+iGeCvvN+&#10;W0SqU4Ax0qSKVPOSZfH7RkzywzPFmsFI89BocrIfULG4ni2jFZze1lg0EUCEp1Z067BxNpY3YTLi&#10;OgEelteoVu9YY8hufxyfFscDb2Po3f/0M55b5ccaWeXHHPnKFEIbUYBAPChJl8T0p+1tOSfdCG/h&#10;Zh6KWb0jUCpVhjOcLvG4LE+ea5cMHT2wtuLkCOzmQYk5/QMDT8wYeQVvbRWNL6gCkS7rh/vbH1zO&#10;biiOXiubAO3SzUISXwfgiBXQrpx2AlNmHLZvmLwvxaFPk4fncTCbqUD+f/SRrbNZPoz0IPy+YtoI&#10;cgQ4c98ZpT9tr+uJfo8+6mgS5O0iipd0C7q34sKBclxi6Jy9GuXWGuQXSuQ/5rGvp2vM15yT0NEX&#10;T//jaTATj4TrHUA1NkHuyw4ancVWfuAHKT5KpHyhteyByxXSCC4NVY8WJW9XFL7djGLJoou1URnb&#10;nMfgHcf2eDDUYDzkQecM0L+CjeRukvumwFgGEKFTz2VVeMA2UKgtUuwysZtNaFikNXTGuhSEwTOG&#10;SxKWSpXlzCh/Uq/G+kOE12seseY90XiHaRTG1z25fGuf8WMIKwVzmMoB9C1VTBiolmris37p1YJE&#10;DKKCuhLslSnHnUHcPQrb1CbfU58oms0vURMPWC9u4Z1glcwy11Z4jpl4GMAq9tEvR1c/Pbp24V6n&#10;yIonZye4FyEvVEeTIo8qovKMthF4m36xBT5pXKyvJH0l07aOIFA/5A1TdgsRdP7Pp3mdRPmnszio&#10;eDp6xxqiph42eEpUbtVPDk0FUqV4kmhQUsO53mF+Rz2ITv9hR8VJUhIYI+DgGX9JsgPCT2COkNEx&#10;WnzFwROzj8iYPTjvm3AqtT89me6qfOzxrMO5haJTUfdcU18/G8C2QnWIcPvD33ZBl5QrVQpF3r0Z&#10;8BEKJZUqBi81XASWCuiAxjNGhzRMDMmkX42RFhJju4ChNVwDfzpwk3eoeOZ/3rsdGzad7fDUneXx&#10;qKF6Y1CkBclxhDigcsCzhzohmjeWsOAFfxXb1NVJCyKA5dYfAbbxvZaywRB+ScM3hoa0yvrVmHZh&#10;/X83sUoNOnEe6uubPqJFrw5gFXhCmfMH5xHyebhvLLDapaliHKG92EX1Ft872zzX3wQ/P9kCzTVQ&#10;ulGv2PVCL3uwJ7wZX/G4e0jnV1LWm30hzBWzF0OwDBIoPVDeGplDiiYdps1spBCdeeJ3NNThJy0p&#10;mkLvAknlfMq9VtSdMFqHc94pTtRG8aNa4bLDEn7iSMrcs9igUlIJdcRBxGXsIFa6OWwCkuODp6Nc&#10;JHkEBbldKacsGuqaG1gWsX+z4MXB2xGkY3QuljdCZFdf5il5VD9en3LCIizPEESyzjn1JUs+9V0v&#10;Isod5YD/2reYDRNtbIPMEWqFbAFRgE/Ce7fDKhX/TtHiawTgFK0bsYYbihxbNRCgpWJ9ZtmKTaHO&#10;cS7wgrUOF1Z+ICKWouwuiC+f2o2qt2CMnCgomdulaeeZu7ZV0yZUbzUbMVgu2PuigYb1X1hHn10z&#10;aZBVhC3f5Cs2d09eHW/c9F0/hL0zcl6iN4sWWMcWMobHOYSdY8F8j/dtSfvg81Sn3jo5R2ymTEMh&#10;L40NIr16/yejCKV6pW0qHrgMcdkNpXMIp4tF8GzWASNdjCvUXh00uF2MEU2aRnbUpYk4iKFYe38O&#10;t9tXA335/puzORBwHk2o3LDXKnGSGpugQPq1bzK791YiIyKNLIzjnOPEdh01TIR3vnZt5B+raNNy&#10;43oM2ypKjj2kpRlxGptAt/HhSa8nwlq1YG3+REJx2po4QonaVTyAbg1bXWaOyVUJfMDzKGd9eG54&#10;5kggfu8cSCrWg53PCvNvVnW0ETlnzqgfKEFiYFCQ758bmHy3bOUG7DgjRMfi7VCIRs/7Sor1LfmL&#10;a8akafWViEAgqpe+VhOQA7INgjxk7fBlhdhvTjHLOW0l89hosdFgnILz+Xqr/FUXqVE+NY5wmZu+&#10;TOrfgG6MPNOIwSzLNgRcp8s9J7lD9k/kBSPQTDaI6uqpp7T3WvG0qaxw6ngP2J0ZJsqzcbmCJevu&#10;vU0lDfMDwLI1spRXTnh2if30oGyrnB5FD57M+SvHsFXJxGDVoPJp7E3mMTqFwMEaId86LvjSx/Df&#10;/jv+4t0SyptXpYsdASxFjM60Ggo9qMb2EWOJ151DVfOCo3yNH1Ucf4loo2OowkTmMejUjwZrjP8Z&#10;GaKKeUbvGsTuSDNMboLPFKV/3CYV4vucL3gzkf+YKpI4gRYTh+vDdtovi1B0tu6NuqixbcwxjCFs&#10;PdRxoXhqEcemlQeRhZn2YPilinFLaWaIsYQ2lFxaRNjHwl3Qqaa0nzVbQwgJxQbfWCTOWCVH4uce&#10;jLRtmf/RAXY3yIZLsshlvEpkXDhoEwitSSSFItQzeo1QQ2j3OkLCaClMQcVx0cYs8ElJtKg+KDYI&#10;Xo6kxGI4wpkYDYKisdaUig23ZL3zJdNFm9/Y1VXS0sg02eDZETjh2EPtkHvw1rGTfsk2cd28jYc3&#10;Z0P4fu+r9Jk66WSDkbTTeH4ZYquQlU730TaCKLbxA7qNmGXjC8lfJQhNwvj4JVs+yR55Pzv/WCE+&#10;vbUW373L3cXbiODa7aNJgmPAsmwRovRSVHWVJ3OIo5bRZiu8UrtzG83iEltVoenIpj5XO41U0Jbi&#10;Bxkjj/VROyBDJBynqIrLA+EjABSvzB1d1X8P3Nwg2wChFIxfmpENFUjPaJuEs/AaKsT7kklapQlu&#10;SWcQfok0BH4bwYDOgEED1NCWkrZDFsleXPV5Sr+NulsDiwhRquKjoOKjI64QY2VSvIJVxSuN3mrI&#10;DRd+/YEOvf0wXS8HHlxoKZV6AGn5MrYjs3C/gZE69ZN1H3iti8jGIWJXn3yYmlZKfbkDxhziWqj+&#10;CrU34akfJtwwFvZPD4oNxrYgLuyGVcok2lRSm1TIR6XilcXOUPOuf0if8sXhRjHbAK5g78ihNZP6&#10;sA9yjgIpHjlecfcEOnrfkoZV3xKmvlaxkU/4qmlET70H19AH/Kc0kq0c58ge7F8bxRgP2Je6IdXF&#10;cQ9f3lNhuNlp1h+lrpjs97x7OUyy5DcVeu4xOcexI7ZopXTa1UdEwQ+M8M3/eH6XiWeJb9PYgs7K&#10;pHrJISSXMRTPH7ohSySXpU71QUOuBEhzpWg0IxA/78Yehyg/n3Ua+5o3xAq1uljElEZR1NwC2bFL&#10;ncXUSb0l6mpx1LRKu5XvcVJ5IKTZVT3z6zbbgPav3hXz7yvY0olBjhHjTVdmK6/m3DsHcKg+T6tH&#10;ExI+fonynem9NSWlpMW5PhEjFbGbgR/w6IHXNwfmHhE+yDzA5/LYk2ZkZfVpcZo2SJ8giJnkFlvh&#10;pCkcS7uRAzqkqcEWcJORAxI+genQqKqfFOI77pezll3DjG5cR148UtPAEh4o6o+PFfc55OqpAMhL&#10;JceSDo5bwtvGXxyzVbk0IQDVjMGG6CsXPLdEUmpQeo+yusLmY1o9dSmdH7OBV4Ud8pW2vQXyu27I&#10;JWw2kbpCVBRu1HQGXZYNFFIkoUQ6ZdTtSRG5SF+ZubAtFjrA/hW6V+HqK+eAzgy2FShAUXRiewJ7&#10;/X8WF1g8TCu0k4mlgduVVNkiyh3i9H1xFHvT4c4JP+/T1zzmr8YsCyzl8RpTiRW7g4+vKnJ9K0P+&#10;sy4xAMb6KM9UiIhqWODxyOAU49VdwAinxeJuN3PJSdpZRA4OyH7fF1tKrEq2jnsUawPlGqUxojG+&#10;8KbboC7ouKi2pdhvxa96rbX2rFZiSWT4ZdIoXh3fl7NDFsLt4tT6h9ukZcEwld31sKeUcgXSd608&#10;Pl9wcUvgGc74A6JxPLNKa5QKM9i8XLuMTUZHIrQjT/9LJtnqejUojHazqBivuev4n2m9Z5BZvoVL&#10;LZOHqYT9TtLzs1iux7mE3eQO3kgxR+uy2R1peqyZKVIVTAP0kn1SCwSEqodLecZHEOxwWgC9AY4q&#10;HZKcMTYCI/jprtAOoemUlu8VjAKKDV7UG8WpP2J8ItSWssETgp5KtRPmyA6o7OoaIxfYkjg3Y0oG&#10;MR1OpdavdW4LjUbIfY44vdWrdbQOoGPJCSgpPMihCk+S8usO5XMgN3sv/z88LT9dYTaUsR3A3Rcs&#10;JbmVvQDhOgllBJ3Rlq9iX2iOrzzvN7b8h86ZteXuv3w7fsk1jg3OhmEai+iyqT7BExe+NAICNIzg&#10;eIQxoi+Rcbh7MzTyAVQqimQ/Hs3KGfQLNhmihiZYnB7XHRUbiyzDHZCvLmXNI0SYRkaLa9xk3SUl&#10;Nxenqocm3ErtX5t8XNV5SjD+bXVO+Du8dDOQIwgLO8wp2rwUBs6c6/FaCz5Cld/FaXOTIuDoAptL&#10;Mb7rRU99XSBsFZ23pik8jTYBy0dWKu4B8Tov3oMcFCEzkRaTYQyHurOArdWl/mgEWR5HsG8+Z9oF&#10;6e6qLD22mt0t1NFuI2uwPCDKpdX8N+yBq5vee+oRAeXfruu5Pa7ZgoTuRqRm4BJuFcH8KYgUEkoo&#10;mVsAFaY+t4U/30/8RYeg5r1XEfJvbCGxKWaRo5BLx4yfTixiERHHruoMFxvZfsvGjt++GgvgcEPm&#10;cIpPystbAM21g4VPuScQTDvuV3J5NcTvOcTBtbNthEaKb2wZ2lhGc04iLXxrBGwuMyMvFX5EgMfy&#10;UiY1TJjgAwvNaL0pXb0ORpgNwaG/i2lVdx7Z2iA3A6hW2XqPZrCCuPKbZGITqZlvbZCvjrHYB+4j&#10;Foq2DIAVTk6IUf6nhlulxnueNsi25AIfr690rV/ZD+Rd0rTVFd5LTbT+S0nZgQRmPUVOojt3Px73&#10;kAuQ2EZSo74Xd3FpU+0Kv/1HZz+ShhxMe/3x46pnhCRzjYrw/0eyQQvNWIyyWXF0ZpLi1YCPIHSS&#10;jH0zopFaQGZjY+s1yKw9QU5iKfyq8jrkqhmOj30WWo7u79fkEmal3TCiuTYel1C7Q6UpnFaOtjCY&#10;S8iOZ26NIOk7PMJUbv4r3paoTWA0uPIf+b2mCS8iIO43TvkjRpIpQobLnz7WYDWtUnBr+f8Qw99r&#10;YpqW40Y9bZJFKbRL0emXOw66sePP3qnzLHyHDYTa1BNOoqfzs6NfuDRpLWhWPqI7Hkhokvfrfk3m&#10;6mhpBwAlzT6kWw3K31d0swdZBkNYeZ/KPyyrUExdY8oXYdUGwkIs33IItavtFz88O8yHdsx93Qt/&#10;JKNM4muMDf8tmZq11Rw7qRPDmRpQXYDXBZkiKDNZpdwEu/zS4C46YB5gIdd0SjWLq4sbg8xK1V05&#10;11FWf16nsZ2JXuNKj1BTvyaEx8Jprm4r/270ToUzKu0ZK7QMaWrVgFngRNgi/67YB9+t/fWUz8ol&#10;xODiO+3wv0ZITRH4S5MPr6EPM0XniAlUl8VbBXAI0410RDTOeIP1NcbyIaLUtFTK1Rxb1fiHN+7w&#10;0b2x/Hfdv+5ayRhKJpLyr4rYKGr5s5FsNyusZGOlomYS/nHjxCuzrbQ0oPB/I43BjyqvoJ6mGx2T&#10;hdUkUI719ucK1cF8NczVpAfXRdp8/22KUHAcge9wLsT8ctDwSqgai6rLh1mBHxurJyS5MOj65HNu&#10;DA3hAGX86yzT9X+Vt11abZ4WYXGFQkipzhTcuzgXWIPDK1UGXJ+CbLyYAmO7+Fx9dDwPtsyN3YpS&#10;8/zMFrumIoffhR3VGMfghT3LkuOLfmilfP79+9230YbIdZEIzREv44ZZU3/l87kx6ydFemIez9HF&#10;cIvj28Xj7+VuARpXdGgZTfYCXNKqlTQU5iF02WO4GmOuSL9/XW1saLE23sE9JwDXg1uKmqw3TR1I&#10;Fv5q2Cw4zkjpRUE3W80JRpX9tbBrlWwkjiO0pbSLyddRlflHaMaV1sS1I22cQL1s6z7fPXwlNvG/&#10;yZtj1DjBwTlwNg/DVAuTzSNzLE3egWB9QYz9juxwsJIZek1T+HSBVyif9YpWqapmmT/2eX/6aWbs&#10;VAmhDCLQaZLrKapZXGgymhZpvX2JzW593n1xwuoosNLW5sQot2ipuOjVZi23UbWLTNte9a++yiAe&#10;pGR0Jj5Xzfs/NYzywwR+vmzaLP7aTBUB/kkTix04WapvEV8g0V8RumizsHb12Fp0PQ+1EDyoenb9&#10;8W6hSYh4/AvHwTuAhiu0YnUCw6bcLFRh46qybsNoDM4GZqwtVbQsjUDXmGc3+1YSRcNZsyo39wfr&#10;KGuw/B0520e0ri6854cIAgMzx5nATWG7wsM455JpI6XHw3fPw+iNa+GUlOqf8MFRqJgWVPeKqiNm&#10;/irpeDaj391oduqq2Mudf0NCGK/r6AEf4naIg+Luf+o2XDEaiFGutk3rfITNhLBo/t9UulOqFNN+&#10;1NMDX707W6yXktCs31gpx+2eZe+dMJAtkQB+sbD3I66IlnH+B5i9odlG05jUDoaUb2aYabAa3O6B&#10;Hgx6i5JupzZWDd4Yqn/8eWZeDYy0Mb90sCrz6znYvdKxj2lQ6ABVDujsSkW00lkPIlQ6kw84NcoY&#10;cuCTC1jNWh9wE4955p1FXrhd6SC4qeqdC7MqBGL7yq+u/8raNPhleJ1he+G4ytg10SeeUhVv2qKU&#10;TYEL/rFOAxZRRmXOTJFZwr+aHQ0j/lpnV0QndWdn5/X0kOI5iNz8RPYyNrW5j3+otrPZgcYaxWo3&#10;KhQbz/M3xjAlaIGp0NvT8y2wB36tEij/N34ROuhD9/3Dx3z2FjTGr/CRYZlp+XEsbfa+g384a0qe&#10;XG2DJ8i4E4HOTkZCYsBTeRcwcL6GBye2gJorDy6mFS58T+0h77Qv3hkzFdsxThRCEc1t82ZcjuJE&#10;2KTjmVaMsU/rVPlY9DLqnvXZ99ZUk1w217YWF9WnxvnAF8erikeLYlXuVFmGqdAPiK857yGFr+hf&#10;XvOepB+iwRXLYsIvewe3rMPqmJJYEykgNxHy3rUQLjEwfhhUalWV3LQ0Vhv9sRebQGV8ZmIAHO5w&#10;uUXNXy2gXlvuN8L7eCelpPgIqZZIILOx9wVk/jHdW7blG8eLXhgFGkd7nDLYAuYOQnrxWl+Djsq6&#10;Rs27nyHMXs7f6mcfp20ZtavR2OppFtOrZsdSybuTjilvbXopfNZ//vh4mIk5TIl4uV11ig667OKW&#10;MlvkGnpXpw7UHZaHQGDT8Q+jpAAMI5W18Q9OUCY4HrHqJr/Of4DTypFpc0u1qot2wsyIBr65eGKD&#10;kbnrrqD6otdmcEHWa2uU9fmzt9j3t+FTkrzSjzXbKtwxAo9MXqRRAill1tdHMz67cAxTXbZyPJSe&#10;pnY+/wvTlgaUWJ6Tjj84dOyPBUbp0DpavuO7KBG92eyX1lPfBrKqSlkIicfumKc23mAWv6kFcOtn&#10;sM1dQiE4EZ67pYC/Uh/+il4wsM59vO+jy4qIiEDZS63gP0jqat6NlEbbJzPhrU4cjSEsa0lNGpNx&#10;Fl1j95wpXeHP2J1lwmbV2WWnY6ewqEznNlttOqykYMayYz+SuQvHpyeps0fYYVnBxcGJf25BiNCw&#10;dk/di0ZQ5f1QNlhq2X/J6bFRR1BYuc5vh0D17ErGjYCBp5DHHCc/ieTL3NDijWXzpp+weG9aOAcE&#10;EPYXtrggACyS5Jb6U/RnzJVTjM16/lu4zh9O0CQv/VIO9d0cU55n6l4gYUFC/69gZAXps3pKorJe&#10;Q3YobbfU9/B2oelwrA8rICmf7agQN+Gg08ZvLg/6UM84Vts7yXLzFjZtX7MWgoQ80Jx5CLZu2SGq&#10;AbhKNv2pjC30GOIXWazjsH6lPWUAi1y99DifQXKt392rsNQZw3eOzFu2bwxR2B+PN5JeoxEi4928&#10;zGQ33F4dm/MsXNr+uZvIzzmnrBK5TPB3R62xdPf3xCgb1B902GOec+bhc1E+HJKoi3ipf49NY0/A&#10;Z4NVp5ELfLgS5i+vHxGRbDYR+AGfEHCwPftdwz0rtC9Pj/LFvNIUM2Km+8zLWPAsMFodj8Ag+V0X&#10;QSkjBwVl0AWJxiVP6Eqo39pCyhJ8ev196nVemrTUF4E9fMddinlT/IvrJdTufaJiL0J046QECP3N&#10;f2/yNqSIeCz3B7pOQ7NzCb69ZVJydmzkPA07FHmxI7sB5e/kRObQALbCjjzaWZcfnl+ePjLBjtOI&#10;WDz+kD98QslKKklUiRkF/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mzwAL8AAAClAQAAGQAAAGRycy9fcmVscy9lMm9Eb2MueG1sLnJlbHO9&#10;kMGKwjAQhu8L+w5h7tu0PSyymPYigldxH2BIpmmwmYQkir69gWVBQfDmcWb4v/9j1uPFL+JMKbvA&#10;CrqmBUGsg3FsFfwetl8rELkgG1wCk4IrZRiHz4/1nhYsNZRnF7OoFM4K5lLij5RZz+QxNyES18sU&#10;ksdSx2RlRH1ES7Jv22+Z7hkwPDDFzihIO9ODOFxjbX7NDtPkNG2CPnni8qRCOl+7KxCTpaLAk3H4&#10;t+ybyBbkc4fuPQ7dv4N8eO5wA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FW9AABbQ29udGVudF9UeXBlc10ueG1sUEsBAhQA&#10;CgAAAAAAh07iQAAAAAAAAAAAAAAAAAYAAAAAAAAAAAAQAAAAGbsAAF9yZWxzL1BLAQIUABQAAAAI&#10;AIdO4kCKFGY80QAAAJQBAAALAAAAAAAAAAEAIAAAAD27AABfcmVscy8ucmVsc1BLAQIUAAoAAAAA&#10;AIdO4kAAAAAAAAAAAAAAAAAEAAAAAAAAAAAAEAAAAAAAAABkcnMvUEsBAhQACgAAAAAAh07iQAAA&#10;AAAAAAAAAAAAAAoAAAAAAAAAAAAQAAAAN7wAAGRycy9fcmVscy9QSwECFAAUAAAACACHTuJALmzw&#10;AL8AAAClAQAAGQAAAAAAAAABACAAAABfvAAAZHJzL19yZWxzL2Uyb0RvYy54bWwucmVsc1BLAQIU&#10;ABQAAAAIAIdO4kBEWX3D1gAAAAUBAAAPAAAAAAAAAAEAIAAAACIAAABkcnMvZG93bnJldi54bWxQ&#10;SwECFAAUAAAACACHTuJA4ocELQEDAAD3CAAADgAAAAAAAAABACAAAAAlAQAAZHJzL2Uyb0RvYy54&#10;bWxQSwECFAAKAAAAAACHTuJAAAAAAAAAAAAAAAAACgAAAAAAAAAAABAAAABSBAAAZHJzL21lZGlh&#10;L1BLAQIUABQAAAAIAIdO4kCqwx1e6DkAADs6AAAUAAAAAAAAAAEAIAAAAP+AAABkcnMvbWVkaWEv&#10;aW1hZ2UxLnBuZ1BLAQIUABQAAAAIAIdO4kA/orOCU3wAAEx9AAAUAAAAAAAAAAEAIAAAAHoEAABk&#10;cnMvbWVkaWEvaW1hZ2UyLnBuZ1BLBQYAAAAACwALAJQCAACKvgAAAAA=&#10;">
                <o:lock v:ext="edit" rotation="t" aspectratio="f"/>
                <v:shape id="_x0000_s1026" o:spid="_x0000_s1026" o:spt="75" type="#_x0000_t75" style="position:absolute;left:0;top:0;height:848995;width:808990;" filled="f" o:preferrelative="t" stroked="f" coordsize="21600,21600" o:gfxdata="UEsDBAoAAAAAAIdO4kAAAAAAAAAAAAAAAAAEAAAAZHJzL1BLAwQUAAAACACHTuJAmxGm7L0AAADb&#10;AAAADwAAAGRycy9kb3ducmV2LnhtbEWPQWvCQBSE70L/w/IK3nQTaUSjm9BKhV5K0Ra8PrLPbDD7&#10;NmQ3Gv+9Wyj0OMzMN8y2HG0rrtT7xrGCdJ6AIK6cbrhW8PO9n61A+ICssXVMCu7koSyeJlvMtbvx&#10;ga7HUIsIYZ+jAhNCl0vpK0MW/dx1xNE7u95iiLKvpe7xFuG2lYskWUqLDccFgx3tDFWX42AVfK5r&#10;826z07Ae6e0wLF/Tr5eQKjV9TpMNiEBj+A//tT+0giyD3y/xB8j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Eabs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_x0000_s1026" o:spid="_x0000_s1026" o:spt="75" type="#_x0000_t75" style="position:absolute;left:887172;top:515059;height:335280;width:4252595;" filled="f" o:preferrelative="t" stroked="f" coordsize="21600,21600" o:gfxdata="UEsDBAoAAAAAAIdO4kAAAAAAAAAAAAAAAAAEAAAAZHJzL1BLAwQUAAAACACHTuJA0UX5RrkAAADb&#10;AAAADwAAAGRycy9kb3ducmV2LnhtbEWPS6vCMBSE9xf8D+EIbkTTKopUowtBEV352h+aY1tsTkqS&#10;+vj3RhDucpiZb5jF6mVq8SDnK8sK0mECgji3uuJCweW8GcxA+ICssbZMCt7kYbXs/C0w0/bJR3qc&#10;QiEihH2GCsoQmkxKn5dk0A9tQxy9m3UGQ5SukNrhM8JNLUdJMpUGK44LJTa0Lim/n1qjYLY/yO3R&#10;TVKXtq0ZnanPt2tfqV43TeYgAr3Cf/jX3mkFkzF8v8Qf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FF+Ua5AAAA2wAA&#10;AA8AAAAAAAAAAQAgAAAAIgAAAGRycy9kb3ducmV2LnhtbFBLAQIUABQAAAAIAIdO4kAzLwWeOwAA&#10;ADkAAAAQAAAAAAAAAAEAIAAAAAgBAABkcnMvc2hhcGV4bWwueG1sUEsFBgAAAAAGAAYAWwEAALID&#10;AAAAAA==&#10;">
                  <v:fill on="f" focussize="0,0"/>
                  <v:stroke on="f"/>
                  <v:imagedata r:id="rId15" o:title=""/>
                  <o:lock v:ext="edit" aspectratio="t"/>
                </v:shape>
                <w10:wrap type="none"/>
                <w10:anchorlock/>
              </v:group>
            </w:pict>
          </mc:Fallback>
        </mc:AlternateContent>
      </w:r>
    </w:p>
    <w:p>
      <w:pPr>
        <w:jc w:val="center"/>
        <w:rPr>
          <w:rFonts w:ascii="黑体" w:hAnsi="黑体" w:eastAsia="黑体"/>
          <w:sz w:val="44"/>
          <w:szCs w:val="52"/>
          <w:highlight w:val="red"/>
        </w:rPr>
      </w:pPr>
    </w:p>
    <w:p>
      <w:pPr>
        <w:jc w:val="center"/>
        <w:rPr>
          <w:rFonts w:hint="eastAsia" w:ascii="宋体" w:hAnsi="宋体" w:cs="宋体"/>
          <w:b/>
          <w:sz w:val="44"/>
          <w:szCs w:val="44"/>
        </w:rPr>
      </w:pPr>
      <w:r>
        <w:rPr>
          <w:rFonts w:hint="eastAsia"/>
          <w:sz w:val="44"/>
          <w:szCs w:val="44"/>
        </w:rPr>
        <w:t>35kV动态无功补偿装置</w:t>
      </w:r>
    </w:p>
    <w:p>
      <w:pPr>
        <w:jc w:val="center"/>
        <w:rPr>
          <w:rFonts w:ascii="黑体" w:hAnsi="黑体" w:eastAsia="黑体"/>
          <w:sz w:val="44"/>
          <w:szCs w:val="52"/>
          <w:highlight w:val="red"/>
        </w:rPr>
      </w:pPr>
      <w:r>
        <w:rPr>
          <w:rFonts w:hint="eastAsia" w:ascii="黑体" w:hAnsi="黑体" w:eastAsia="黑体"/>
          <w:sz w:val="44"/>
          <w:szCs w:val="52"/>
          <w:highlight w:val="red"/>
        </w:rPr>
        <w:t>采购技术规范书</w:t>
      </w:r>
    </w:p>
    <w:p>
      <w:pPr>
        <w:jc w:val="right"/>
        <w:rPr>
          <w:rFonts w:ascii="黑体" w:hAnsi="黑体" w:eastAsia="黑体"/>
          <w:sz w:val="28"/>
          <w:szCs w:val="21"/>
          <w:highlight w:val="red"/>
        </w:rPr>
      </w:pPr>
    </w:p>
    <w:p>
      <w:pPr>
        <w:jc w:val="right"/>
        <w:rPr>
          <w:rFonts w:hint="eastAsia" w:ascii="黑体" w:hAnsi="黑体" w:eastAsia="黑体"/>
          <w:sz w:val="28"/>
          <w:szCs w:val="21"/>
          <w:highlight w:val="red"/>
        </w:rPr>
      </w:pPr>
      <w:r>
        <w:rPr>
          <w:rFonts w:hint="eastAsia" w:ascii="黑体" w:hAnsi="黑体" w:eastAsia="黑体"/>
          <w:sz w:val="28"/>
          <w:szCs w:val="21"/>
          <w:highlight w:val="red"/>
        </w:rPr>
        <w:t>规范书编号：</w:t>
      </w:r>
      <w:r>
        <w:rPr>
          <w:rFonts w:ascii="黑体" w:hAnsi="黑体" w:eastAsia="黑体"/>
          <w:sz w:val="28"/>
          <w:szCs w:val="21"/>
          <w:highlight w:val="red"/>
        </w:rPr>
        <w:t>HN1907-GS-</w:t>
      </w:r>
      <w:r>
        <w:rPr>
          <w:rFonts w:hint="eastAsia" w:ascii="黑体" w:hAnsi="黑体" w:eastAsia="黑体"/>
          <w:sz w:val="28"/>
          <w:szCs w:val="21"/>
          <w:highlight w:val="red"/>
        </w:rPr>
        <w:t>08</w:t>
      </w:r>
    </w:p>
    <w:p>
      <w:pPr>
        <w:rPr>
          <w:rFonts w:ascii="黑体" w:hAnsi="黑体" w:eastAsia="黑体"/>
          <w:sz w:val="48"/>
          <w:szCs w:val="52"/>
          <w:highlight w:val="red"/>
        </w:rPr>
      </w:pPr>
      <w:r>
        <w:rPr>
          <w:highlight w:val="red"/>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133985</wp:posOffset>
                </wp:positionV>
                <wp:extent cx="5497195" cy="0"/>
                <wp:effectExtent l="0" t="13970" r="8255" b="24130"/>
                <wp:wrapNone/>
                <wp:docPr id="61" name="直接连接符 61"/>
                <wp:cNvGraphicFramePr/>
                <a:graphic xmlns:a="http://schemas.openxmlformats.org/drawingml/2006/main">
                  <a:graphicData uri="http://schemas.microsoft.com/office/word/2010/wordprocessingShape">
                    <wps:wsp>
                      <wps:cNvCnPr/>
                      <wps:spPr>
                        <a:xfrm>
                          <a:off x="0" y="0"/>
                          <a:ext cx="5496971"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2.6pt;margin-top:10.55pt;height:0pt;width:432.85pt;z-index:251659264;mso-width-relative:page;mso-height-relative:page;" filled="f" stroked="t" coordsize="21600,21600" o:gfxdata="UEsDBAoAAAAAAIdO4kAAAAAAAAAAAAAAAAAEAAAAZHJzL1BLAwQUAAAACACHTuJAVodsZdUAAAAI&#10;AQAADwAAAGRycy9kb3ducmV2LnhtbE2PS0/DMBCE70j8B2uRuLV2IjUqIU4PFUhwbEGVuG3jJY/a&#10;6yh2X/x6jDjAcXZGM99Wq4uz4kRT6D1ryOYKBHHjTc+thve359kSRIjIBq1n0nClAKv69qbC0vgz&#10;b+i0ja1IJRxK1NDFOJZShqYjh2HuR+LkffrJYUxyaqWZ8JzKnZW5UoV02HNa6HCkdUfNYXt0Gjav&#10;/UDx5eMBi92VrcGvp6EZtL6/y9QjiEiX+BeGH/yEDnVi2vsjmyCshtkiT0kNeZaBSP6yUAsQ+9+D&#10;rCv5/4H6G1BLAwQUAAAACACHTuJAbOCUW9wBAACIAwAADgAAAGRycy9lMm9Eb2MueG1srVPNbhMx&#10;EL4j8Q6W72STiKTpKpseGpULgkiUB5h67V1L/pPHZJOX4AWQuMGJI3fehvIYjJ00pOWGyGEy4/F8&#10;M9/42+XVzhq2lRG1dw2fjMacSSd8q13X8Pe3Ny8WnGEC14LxTjZ8L5FfrZ4/Ww6hllPfe9PKyAjE&#10;YT2EhvcphbqqUPTSAo58kI6SykcLicLYVW2EgdCtqabj8bwafGxD9EIi0un6kOSrgq+UFOmtUigT&#10;Mw2n2VKxsdi7bKvVEuouQui1OI4B/zCFBe2o6QlqDQnYh6j/grJaRI9epZHwtvJKaSELB2IzGT9h&#10;866HIAsXWg6G05rw/8GKN9tNZLpt+HzCmQNLb3T/6fvPj19+/fhM9v7bV0YZWtMQsKbb124TjxGG&#10;Tcycdyra/E9s2K6sdn9ardwlJuhw9vJyfnlBLcRDrvpTGCKmV9Jblp2GG+0ya6hh+xoTNaOrD1fy&#10;sfM32pjycsaxoeHTxexiRtBAAlIGErk2ECV0HWdgOlKmSLFAoje6zeUZCPd4bSLbAomDNNX64Zbm&#10;5cwAJkoQifLL7GmER6V5njVgfyguqYOWrE4kaKNtwxfn1cbljrJI8sgqb/Sww+zd+XZfVlvliJ67&#10;ND1KM+vpPCb//ANa/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Wh2xl1QAAAAgBAAAPAAAAAAAA&#10;AAEAIAAAACIAAABkcnMvZG93bnJldi54bWxQSwECFAAUAAAACACHTuJAbOCUW9wBAACIAwAADgAA&#10;AAAAAAABACAAAAAkAQAAZHJzL2Uyb0RvYy54bWxQSwUGAAAAAAYABgBZAQAAcgUAAAAA&#10;">
                <v:fill on="f" focussize="0,0"/>
                <v:stroke weight="2.25pt" color="#000000" miterlimit="8" joinstyle="miter"/>
                <v:imagedata o:title=""/>
                <o:lock v:ext="edit" aspectratio="f"/>
              </v:line>
            </w:pict>
          </mc:Fallback>
        </mc:AlternateContent>
      </w:r>
    </w:p>
    <w:p>
      <w:pPr>
        <w:jc w:val="center"/>
        <w:rPr>
          <w:rFonts w:hint="eastAsia"/>
          <w:sz w:val="44"/>
          <w:szCs w:val="44"/>
        </w:rPr>
      </w:pPr>
      <w:r>
        <w:rPr>
          <w:rFonts w:hint="eastAsia"/>
          <w:sz w:val="44"/>
          <w:szCs w:val="44"/>
        </w:rPr>
        <w:t>35kV动态无功补偿装置</w:t>
      </w:r>
    </w:p>
    <w:p>
      <w:pPr>
        <w:jc w:val="center"/>
        <w:rPr>
          <w:rFonts w:ascii="黑体" w:hAnsi="黑体" w:eastAsia="黑体"/>
          <w:sz w:val="48"/>
          <w:szCs w:val="52"/>
          <w:highlight w:val="red"/>
        </w:rPr>
      </w:pPr>
      <w:r>
        <w:rPr>
          <w:rFonts w:hint="eastAsia" w:ascii="黑体" w:hAnsi="黑体" w:eastAsia="黑体"/>
          <w:sz w:val="48"/>
          <w:szCs w:val="52"/>
          <w:highlight w:val="red"/>
        </w:rPr>
        <w:t>技术规范书</w:t>
      </w:r>
    </w:p>
    <w:p>
      <w:pPr>
        <w:jc w:val="center"/>
        <w:rPr>
          <w:rFonts w:ascii="黑体" w:hAnsi="黑体" w:eastAsia="黑体"/>
          <w:szCs w:val="21"/>
          <w:highlight w:val="red"/>
        </w:rPr>
      </w:pPr>
    </w:p>
    <w:p>
      <w:pPr>
        <w:rPr>
          <w:rFonts w:ascii="黑体" w:hAnsi="黑体" w:eastAsia="黑体"/>
          <w:sz w:val="48"/>
          <w:szCs w:val="48"/>
          <w:highlight w:val="red"/>
        </w:rPr>
      </w:pPr>
    </w:p>
    <w:p>
      <w:pPr>
        <w:rPr>
          <w:rFonts w:ascii="黑体" w:hAnsi="黑体" w:eastAsia="黑体"/>
          <w:sz w:val="48"/>
          <w:szCs w:val="48"/>
          <w:highlight w:val="red"/>
        </w:rPr>
      </w:pPr>
    </w:p>
    <w:p>
      <w:pPr>
        <w:rPr>
          <w:rFonts w:ascii="黑体" w:hAnsi="黑体" w:eastAsia="黑体"/>
          <w:sz w:val="48"/>
          <w:szCs w:val="48"/>
          <w:highlight w:val="red"/>
        </w:rPr>
      </w:pPr>
    </w:p>
    <w:p>
      <w:pPr>
        <w:rPr>
          <w:rFonts w:ascii="黑体" w:hAnsi="黑体" w:eastAsia="黑体"/>
          <w:sz w:val="48"/>
          <w:szCs w:val="48"/>
          <w:highlight w:val="red"/>
        </w:rPr>
      </w:pPr>
    </w:p>
    <w:p>
      <w:pPr>
        <w:ind w:firstLine="1920" w:firstLineChars="600"/>
        <w:jc w:val="left"/>
        <w:rPr>
          <w:rFonts w:ascii="黑体" w:hAnsi="黑体" w:eastAsia="黑体"/>
          <w:sz w:val="32"/>
          <w:szCs w:val="32"/>
          <w:highlight w:val="red"/>
          <w:u w:val="single"/>
        </w:rPr>
      </w:pPr>
      <w:r>
        <w:rPr>
          <w:rFonts w:hint="eastAsia" w:ascii="黑体" w:hAnsi="黑体" w:eastAsia="黑体"/>
          <w:sz w:val="32"/>
          <w:szCs w:val="32"/>
          <w:highlight w:val="red"/>
        </w:rPr>
        <w:t>批准：</w:t>
      </w:r>
      <w:r>
        <w:rPr>
          <w:rFonts w:hint="eastAsia" w:ascii="黑体" w:hAnsi="黑体" w:eastAsia="黑体"/>
          <w:sz w:val="32"/>
          <w:szCs w:val="32"/>
          <w:highlight w:val="red"/>
          <w:u w:val="single"/>
        </w:rPr>
        <w:t xml:space="preserve"> </w:t>
      </w:r>
      <w:r>
        <w:rPr>
          <w:rFonts w:ascii="黑体" w:hAnsi="黑体" w:eastAsia="黑体"/>
          <w:sz w:val="32"/>
          <w:szCs w:val="32"/>
          <w:highlight w:val="red"/>
          <w:u w:val="single"/>
        </w:rPr>
        <w:t xml:space="preserve">       </w:t>
      </w:r>
      <w:r>
        <w:rPr>
          <w:rFonts w:hint="eastAsia" w:ascii="黑体" w:hAnsi="黑体" w:eastAsia="黑体"/>
          <w:sz w:val="32"/>
          <w:szCs w:val="32"/>
          <w:highlight w:val="red"/>
          <w:u w:val="single"/>
        </w:rPr>
        <w:t xml:space="preserve">  </w:t>
      </w:r>
      <w:r>
        <w:rPr>
          <w:rFonts w:ascii="黑体" w:hAnsi="黑体" w:eastAsia="黑体"/>
          <w:sz w:val="32"/>
          <w:szCs w:val="32"/>
          <w:highlight w:val="red"/>
          <w:u w:val="single"/>
        </w:rPr>
        <w:t xml:space="preserve">             </w:t>
      </w:r>
    </w:p>
    <w:p>
      <w:pPr>
        <w:ind w:firstLine="1920" w:firstLineChars="600"/>
        <w:jc w:val="left"/>
        <w:rPr>
          <w:rFonts w:ascii="黑体" w:hAnsi="黑体" w:eastAsia="黑体"/>
          <w:sz w:val="32"/>
          <w:szCs w:val="32"/>
          <w:highlight w:val="red"/>
          <w:u w:val="single"/>
        </w:rPr>
      </w:pPr>
      <w:r>
        <w:rPr>
          <w:rFonts w:hint="eastAsia" w:ascii="黑体" w:hAnsi="黑体" w:eastAsia="黑体"/>
          <w:sz w:val="32"/>
          <w:szCs w:val="32"/>
          <w:highlight w:val="red"/>
        </w:rPr>
        <w:t>校准：</w:t>
      </w:r>
      <w:r>
        <w:rPr>
          <w:rFonts w:hint="eastAsia" w:ascii="黑体" w:hAnsi="黑体" w:eastAsia="黑体"/>
          <w:sz w:val="32"/>
          <w:szCs w:val="32"/>
          <w:highlight w:val="red"/>
          <w:u w:val="single"/>
        </w:rPr>
        <w:t xml:space="preserve"> </w:t>
      </w:r>
      <w:r>
        <w:rPr>
          <w:rFonts w:ascii="黑体" w:hAnsi="黑体" w:eastAsia="黑体"/>
          <w:sz w:val="32"/>
          <w:szCs w:val="32"/>
          <w:highlight w:val="red"/>
          <w:u w:val="single"/>
        </w:rPr>
        <w:t xml:space="preserve">        </w:t>
      </w:r>
      <w:r>
        <w:rPr>
          <w:rFonts w:hint="eastAsia" w:ascii="黑体" w:hAnsi="黑体" w:eastAsia="黑体"/>
          <w:sz w:val="32"/>
          <w:szCs w:val="32"/>
          <w:highlight w:val="red"/>
          <w:u w:val="single"/>
        </w:rPr>
        <w:t xml:space="preserve">    </w:t>
      </w:r>
      <w:r>
        <w:rPr>
          <w:rFonts w:ascii="黑体" w:hAnsi="黑体" w:eastAsia="黑体"/>
          <w:sz w:val="32"/>
          <w:szCs w:val="32"/>
          <w:highlight w:val="red"/>
          <w:u w:val="single"/>
        </w:rPr>
        <w:t xml:space="preserve">          </w:t>
      </w:r>
    </w:p>
    <w:p>
      <w:pPr>
        <w:ind w:firstLine="1920" w:firstLineChars="600"/>
        <w:jc w:val="left"/>
        <w:rPr>
          <w:rFonts w:ascii="黑体" w:hAnsi="黑体" w:eastAsia="黑体"/>
          <w:sz w:val="32"/>
          <w:szCs w:val="32"/>
          <w:highlight w:val="red"/>
          <w:u w:val="single"/>
        </w:rPr>
      </w:pPr>
      <w:r>
        <w:rPr>
          <w:rFonts w:hint="eastAsia" w:ascii="黑体" w:hAnsi="黑体" w:eastAsia="黑体"/>
          <w:sz w:val="32"/>
          <w:szCs w:val="32"/>
          <w:highlight w:val="red"/>
        </w:rPr>
        <w:t>审核：</w:t>
      </w:r>
      <w:r>
        <w:rPr>
          <w:rFonts w:hint="eastAsia" w:ascii="黑体" w:hAnsi="黑体" w:eastAsia="黑体"/>
          <w:sz w:val="32"/>
          <w:szCs w:val="32"/>
          <w:highlight w:val="red"/>
          <w:u w:val="single"/>
        </w:rPr>
        <w:t xml:space="preserve"> </w:t>
      </w:r>
      <w:r>
        <w:rPr>
          <w:rFonts w:ascii="黑体" w:hAnsi="黑体" w:eastAsia="黑体"/>
          <w:sz w:val="32"/>
          <w:szCs w:val="32"/>
          <w:highlight w:val="red"/>
          <w:u w:val="single"/>
        </w:rPr>
        <w:t xml:space="preserve">        </w:t>
      </w:r>
      <w:r>
        <w:rPr>
          <w:rFonts w:hint="eastAsia" w:ascii="黑体" w:hAnsi="黑体" w:eastAsia="黑体"/>
          <w:sz w:val="32"/>
          <w:szCs w:val="32"/>
          <w:highlight w:val="red"/>
          <w:u w:val="single"/>
        </w:rPr>
        <w:t xml:space="preserve">    </w:t>
      </w:r>
      <w:r>
        <w:rPr>
          <w:rFonts w:ascii="黑体" w:hAnsi="黑体" w:eastAsia="黑体"/>
          <w:sz w:val="32"/>
          <w:szCs w:val="32"/>
          <w:highlight w:val="red"/>
          <w:u w:val="single"/>
        </w:rPr>
        <w:t xml:space="preserve">          </w:t>
      </w:r>
    </w:p>
    <w:p>
      <w:pPr>
        <w:ind w:firstLine="1920" w:firstLineChars="600"/>
        <w:jc w:val="left"/>
        <w:rPr>
          <w:rFonts w:ascii="黑体" w:hAnsi="黑体" w:eastAsia="黑体"/>
          <w:sz w:val="32"/>
          <w:szCs w:val="32"/>
          <w:highlight w:val="red"/>
          <w:u w:val="single"/>
        </w:rPr>
      </w:pPr>
      <w:r>
        <w:rPr>
          <w:rFonts w:hint="eastAsia" w:ascii="黑体" w:hAnsi="黑体" w:eastAsia="黑体"/>
          <w:sz w:val="32"/>
          <w:szCs w:val="32"/>
          <w:highlight w:val="red"/>
        </w:rPr>
        <w:t>编制：</w:t>
      </w:r>
      <w:r>
        <w:rPr>
          <w:rFonts w:hint="eastAsia" w:ascii="黑体" w:hAnsi="黑体" w:eastAsia="黑体"/>
          <w:sz w:val="32"/>
          <w:szCs w:val="32"/>
          <w:highlight w:val="red"/>
          <w:u w:val="single"/>
        </w:rPr>
        <w:t xml:space="preserve"> </w:t>
      </w:r>
      <w:r>
        <w:rPr>
          <w:rFonts w:ascii="黑体" w:hAnsi="黑体" w:eastAsia="黑体"/>
          <w:sz w:val="32"/>
          <w:szCs w:val="32"/>
          <w:highlight w:val="red"/>
          <w:u w:val="single"/>
        </w:rPr>
        <w:t xml:space="preserve">        </w:t>
      </w:r>
      <w:r>
        <w:rPr>
          <w:rFonts w:hint="eastAsia" w:ascii="黑体" w:hAnsi="黑体" w:eastAsia="黑体"/>
          <w:sz w:val="32"/>
          <w:szCs w:val="32"/>
          <w:highlight w:val="red"/>
          <w:u w:val="single"/>
        </w:rPr>
        <w:t xml:space="preserve">    </w:t>
      </w:r>
      <w:r>
        <w:rPr>
          <w:rFonts w:ascii="黑体" w:hAnsi="黑体" w:eastAsia="黑体"/>
          <w:sz w:val="32"/>
          <w:szCs w:val="32"/>
          <w:highlight w:val="red"/>
          <w:u w:val="single"/>
        </w:rPr>
        <w:t xml:space="preserve">          </w:t>
      </w:r>
    </w:p>
    <w:p>
      <w:pPr>
        <w:jc w:val="center"/>
        <w:rPr>
          <w:rFonts w:ascii="黑体" w:hAnsi="黑体" w:eastAsia="黑体"/>
          <w:sz w:val="48"/>
          <w:szCs w:val="52"/>
          <w:highlight w:val="red"/>
        </w:rPr>
        <w:sectPr>
          <w:headerReference r:id="rId6" w:type="default"/>
          <w:footerReference r:id="rId7" w:type="default"/>
          <w:pgSz w:w="11906" w:h="16838"/>
          <w:pgMar w:top="1440" w:right="1800" w:bottom="1440" w:left="1800" w:header="851" w:footer="992" w:gutter="0"/>
          <w:pgNumType w:start="1"/>
          <w:cols w:space="720" w:num="1"/>
          <w:titlePg/>
          <w:docGrid w:type="lines" w:linePitch="326" w:charSpace="0"/>
        </w:sectPr>
      </w:pPr>
    </w:p>
    <w:p>
      <w:pPr>
        <w:spacing w:line="360" w:lineRule="auto"/>
        <w:jc w:val="center"/>
        <w:rPr>
          <w:rFonts w:ascii="黑体" w:hAnsi="黑体" w:eastAsia="黑体"/>
          <w:sz w:val="48"/>
          <w:szCs w:val="52"/>
          <w:highlight w:val="red"/>
        </w:rPr>
      </w:pPr>
    </w:p>
    <w:p>
      <w:pPr>
        <w:spacing w:line="360" w:lineRule="auto"/>
        <w:jc w:val="center"/>
        <w:rPr>
          <w:rFonts w:hint="eastAsia" w:ascii="黑体" w:hAnsi="黑体" w:eastAsia="黑体"/>
          <w:sz w:val="52"/>
          <w:szCs w:val="52"/>
          <w:highlight w:val="red"/>
        </w:rPr>
      </w:pPr>
    </w:p>
    <w:p>
      <w:pPr>
        <w:spacing w:line="360" w:lineRule="auto"/>
        <w:jc w:val="center"/>
        <w:rPr>
          <w:rFonts w:hint="eastAsia" w:ascii="黑体" w:hAnsi="黑体" w:eastAsia="黑体"/>
          <w:sz w:val="52"/>
          <w:szCs w:val="52"/>
          <w:highlight w:val="red"/>
        </w:rPr>
      </w:pPr>
      <w:r>
        <w:rPr>
          <w:rFonts w:hint="eastAsia" w:ascii="黑体" w:hAnsi="黑体" w:eastAsia="黑体"/>
          <w:sz w:val="52"/>
          <w:szCs w:val="52"/>
          <w:highlight w:val="red"/>
        </w:rPr>
        <w:t>内丘县禹川新能源科技有限公司</w:t>
      </w:r>
    </w:p>
    <w:p>
      <w:pPr>
        <w:spacing w:line="360" w:lineRule="auto"/>
        <w:jc w:val="center"/>
        <w:rPr>
          <w:rFonts w:ascii="黑体" w:hAnsi="黑体" w:eastAsia="黑体"/>
          <w:sz w:val="52"/>
          <w:szCs w:val="52"/>
          <w:highlight w:val="red"/>
        </w:rPr>
      </w:pPr>
      <w:r>
        <w:rPr>
          <w:rFonts w:hint="eastAsia" w:ascii="黑体" w:hAnsi="黑体" w:eastAsia="黑体"/>
          <w:sz w:val="52"/>
          <w:szCs w:val="52"/>
          <w:highlight w:val="red"/>
          <w:lang w:val="zh-CN"/>
        </w:rPr>
        <w:t>300MWp</w:t>
      </w:r>
      <w:r>
        <w:rPr>
          <w:rFonts w:hint="eastAsia" w:ascii="黑体" w:hAnsi="黑体" w:eastAsia="黑体"/>
          <w:sz w:val="52"/>
          <w:szCs w:val="52"/>
          <w:highlight w:val="red"/>
        </w:rPr>
        <w:t>光伏发电项目</w:t>
      </w:r>
    </w:p>
    <w:p>
      <w:pPr>
        <w:spacing w:line="360" w:lineRule="auto"/>
        <w:jc w:val="center"/>
        <w:rPr>
          <w:rFonts w:ascii="黑体" w:hAnsi="黑体" w:eastAsia="黑体"/>
          <w:sz w:val="48"/>
          <w:szCs w:val="52"/>
          <w:highlight w:val="red"/>
        </w:rPr>
      </w:pPr>
    </w:p>
    <w:p>
      <w:pPr>
        <w:ind w:firstLine="425"/>
        <w:jc w:val="center"/>
        <w:rPr>
          <w:rFonts w:ascii="黑体" w:hAnsi="黑体" w:eastAsia="黑体"/>
          <w:sz w:val="48"/>
          <w:szCs w:val="52"/>
          <w:highlight w:val="red"/>
        </w:rPr>
      </w:pPr>
      <w:r>
        <w:rPr>
          <w:rFonts w:hint="eastAsia"/>
          <w:sz w:val="44"/>
          <w:szCs w:val="44"/>
        </w:rPr>
        <w:t>35kV动态无功补偿装置</w:t>
      </w:r>
    </w:p>
    <w:p>
      <w:pPr>
        <w:spacing w:line="360" w:lineRule="auto"/>
        <w:jc w:val="center"/>
        <w:rPr>
          <w:rFonts w:ascii="黑体" w:hAnsi="黑体" w:eastAsia="黑体"/>
          <w:sz w:val="48"/>
          <w:szCs w:val="52"/>
          <w:highlight w:val="red"/>
        </w:rPr>
      </w:pPr>
    </w:p>
    <w:p>
      <w:pPr>
        <w:spacing w:line="360" w:lineRule="auto"/>
        <w:jc w:val="center"/>
        <w:rPr>
          <w:rFonts w:ascii="黑体" w:hAnsi="黑体" w:eastAsia="黑体"/>
          <w:sz w:val="84"/>
          <w:szCs w:val="84"/>
          <w:highlight w:val="red"/>
        </w:rPr>
      </w:pPr>
      <w:r>
        <w:rPr>
          <w:rFonts w:hint="eastAsia" w:ascii="黑体" w:hAnsi="黑体" w:eastAsia="黑体"/>
          <w:sz w:val="84"/>
          <w:szCs w:val="84"/>
          <w:highlight w:val="red"/>
        </w:rPr>
        <w:t>技术规范书</w:t>
      </w:r>
    </w:p>
    <w:p>
      <w:pPr>
        <w:spacing w:line="360" w:lineRule="auto"/>
        <w:jc w:val="center"/>
        <w:rPr>
          <w:rFonts w:ascii="黑体" w:hAnsi="黑体" w:eastAsia="黑体"/>
          <w:sz w:val="84"/>
          <w:szCs w:val="84"/>
          <w:highlight w:val="red"/>
        </w:rPr>
      </w:pPr>
    </w:p>
    <w:p>
      <w:pPr>
        <w:spacing w:line="360" w:lineRule="auto"/>
        <w:jc w:val="center"/>
        <w:rPr>
          <w:rFonts w:hint="eastAsia" w:ascii="黑体" w:hAnsi="黑体" w:eastAsia="黑体"/>
          <w:sz w:val="48"/>
          <w:szCs w:val="48"/>
          <w:highlight w:val="red"/>
        </w:rPr>
      </w:pPr>
    </w:p>
    <w:p>
      <w:pPr>
        <w:spacing w:line="360" w:lineRule="auto"/>
        <w:jc w:val="center"/>
        <w:rPr>
          <w:rFonts w:hint="eastAsia" w:ascii="黑体" w:hAnsi="黑体" w:eastAsia="黑体"/>
          <w:sz w:val="48"/>
          <w:szCs w:val="48"/>
          <w:highlight w:val="red"/>
        </w:rPr>
      </w:pPr>
    </w:p>
    <w:p>
      <w:pPr>
        <w:spacing w:line="360" w:lineRule="auto"/>
        <w:ind w:firstLine="1400" w:firstLineChars="500"/>
        <w:jc w:val="left"/>
        <w:rPr>
          <w:rFonts w:ascii="黑体" w:hAnsi="黑体" w:eastAsia="黑体"/>
          <w:sz w:val="28"/>
          <w:szCs w:val="28"/>
          <w:highlight w:val="red"/>
          <w:u w:val="single"/>
        </w:rPr>
      </w:pPr>
      <w:r>
        <w:rPr>
          <w:rFonts w:hint="eastAsia" w:ascii="黑体" w:hAnsi="黑体" w:eastAsia="黑体"/>
          <w:sz w:val="28"/>
          <w:szCs w:val="28"/>
          <w:highlight w:val="red"/>
        </w:rPr>
        <w:t>招标单位：</w:t>
      </w:r>
      <w:r>
        <w:rPr>
          <w:rFonts w:hint="eastAsia" w:ascii="黑体" w:hAnsi="黑体" w:eastAsia="黑体"/>
          <w:sz w:val="28"/>
          <w:szCs w:val="28"/>
          <w:highlight w:val="red"/>
          <w:u w:val="single"/>
        </w:rPr>
        <w:t xml:space="preserve"> </w:t>
      </w:r>
      <w:r>
        <w:rPr>
          <w:rFonts w:ascii="黑体" w:hAnsi="黑体" w:eastAsia="黑体"/>
          <w:sz w:val="28"/>
          <w:szCs w:val="28"/>
          <w:highlight w:val="red"/>
          <w:u w:val="single"/>
        </w:rPr>
        <w:t xml:space="preserve"> </w:t>
      </w:r>
      <w:r>
        <w:rPr>
          <w:rFonts w:hint="eastAsia" w:ascii="黑体" w:hAnsi="黑体" w:eastAsia="黑体"/>
          <w:sz w:val="28"/>
          <w:szCs w:val="28"/>
          <w:highlight w:val="red"/>
          <w:u w:val="single"/>
        </w:rPr>
        <w:t>中国电建集团江西省电力建设有限公司</w:t>
      </w:r>
      <w:r>
        <w:rPr>
          <w:rFonts w:ascii="黑体" w:hAnsi="黑体" w:eastAsia="黑体"/>
          <w:sz w:val="28"/>
          <w:szCs w:val="28"/>
          <w:highlight w:val="red"/>
          <w:u w:val="single"/>
        </w:rPr>
        <w:t xml:space="preserve">  </w:t>
      </w:r>
    </w:p>
    <w:p>
      <w:pPr>
        <w:spacing w:line="360" w:lineRule="auto"/>
        <w:ind w:firstLine="1400" w:firstLineChars="500"/>
        <w:jc w:val="left"/>
        <w:rPr>
          <w:rFonts w:hint="eastAsia" w:ascii="黑体" w:hAnsi="黑体" w:eastAsia="黑体"/>
          <w:sz w:val="28"/>
          <w:szCs w:val="28"/>
          <w:highlight w:val="red"/>
          <w:u w:val="single"/>
        </w:rPr>
      </w:pPr>
      <w:r>
        <w:rPr>
          <w:rFonts w:hint="eastAsia" w:ascii="黑体" w:hAnsi="黑体" w:eastAsia="黑体"/>
          <w:sz w:val="28"/>
          <w:szCs w:val="28"/>
          <w:highlight w:val="red"/>
        </w:rPr>
        <w:t>设计单位：</w:t>
      </w:r>
      <w:r>
        <w:rPr>
          <w:rFonts w:hint="eastAsia" w:ascii="黑体" w:hAnsi="黑体" w:eastAsia="黑体"/>
          <w:sz w:val="28"/>
          <w:szCs w:val="28"/>
          <w:highlight w:val="red"/>
          <w:u w:val="single"/>
        </w:rPr>
        <w:t xml:space="preserve"> </w:t>
      </w:r>
      <w:r>
        <w:rPr>
          <w:rFonts w:ascii="黑体" w:hAnsi="黑体" w:eastAsia="黑体"/>
          <w:sz w:val="28"/>
          <w:szCs w:val="28"/>
          <w:highlight w:val="red"/>
          <w:u w:val="single"/>
        </w:rPr>
        <w:t xml:space="preserve">   </w:t>
      </w:r>
      <w:r>
        <w:rPr>
          <w:rFonts w:hint="eastAsia" w:ascii="黑体" w:hAnsi="黑体" w:eastAsia="黑体"/>
          <w:sz w:val="28"/>
          <w:szCs w:val="28"/>
          <w:highlight w:val="red"/>
          <w:u w:val="single"/>
        </w:rPr>
        <w:t xml:space="preserve">江西恒能电力工程有限公司          </w:t>
      </w:r>
    </w:p>
    <w:p>
      <w:pPr>
        <w:spacing w:line="360" w:lineRule="auto"/>
        <w:ind w:firstLine="1400" w:firstLineChars="500"/>
        <w:jc w:val="left"/>
        <w:rPr>
          <w:rFonts w:ascii="黑体" w:hAnsi="黑体" w:eastAsia="黑体"/>
          <w:sz w:val="28"/>
          <w:szCs w:val="28"/>
          <w:highlight w:val="red"/>
          <w:u w:val="single"/>
        </w:rPr>
      </w:pPr>
      <w:r>
        <w:rPr>
          <w:rFonts w:hint="eastAsia" w:ascii="黑体" w:hAnsi="黑体" w:eastAsia="黑体"/>
          <w:sz w:val="28"/>
          <w:szCs w:val="28"/>
          <w:highlight w:val="red"/>
        </w:rPr>
        <w:t xml:space="preserve">          </w:t>
      </w:r>
      <w:r>
        <w:rPr>
          <w:rFonts w:ascii="黑体" w:hAnsi="黑体" w:eastAsia="黑体"/>
          <w:sz w:val="28"/>
          <w:szCs w:val="28"/>
          <w:highlight w:val="red"/>
          <w:u w:val="single"/>
        </w:rPr>
        <w:t xml:space="preserve">    </w:t>
      </w:r>
      <w:r>
        <w:rPr>
          <w:rFonts w:hint="eastAsia" w:ascii="黑体" w:hAnsi="黑体" w:eastAsia="黑体"/>
          <w:sz w:val="28"/>
          <w:szCs w:val="28"/>
          <w:highlight w:val="red"/>
          <w:u w:val="single"/>
        </w:rPr>
        <w:t>河北鲲能电力工程咨询有限公司</w:t>
      </w:r>
      <w:r>
        <w:rPr>
          <w:rFonts w:ascii="黑体" w:hAnsi="黑体" w:eastAsia="黑体"/>
          <w:sz w:val="28"/>
          <w:szCs w:val="28"/>
          <w:highlight w:val="red"/>
          <w:u w:val="single"/>
        </w:rPr>
        <w:t xml:space="preserve">      </w:t>
      </w:r>
    </w:p>
    <w:p>
      <w:pPr>
        <w:snapToGrid w:val="0"/>
        <w:spacing w:line="360" w:lineRule="auto"/>
        <w:jc w:val="center"/>
        <w:rPr>
          <w:rFonts w:ascii="黑体" w:hAnsi="黑体" w:eastAsia="黑体"/>
          <w:sz w:val="28"/>
          <w:szCs w:val="28"/>
          <w:highlight w:val="red"/>
        </w:rPr>
        <w:sectPr>
          <w:headerReference r:id="rId8" w:type="default"/>
          <w:footerReference r:id="rId9" w:type="default"/>
          <w:pgSz w:w="11906" w:h="16838"/>
          <w:pgMar w:top="1418" w:right="1418" w:bottom="1418" w:left="1418" w:header="851" w:footer="851" w:gutter="0"/>
          <w:pgNumType w:start="1"/>
          <w:cols w:space="720" w:num="1"/>
          <w:docGrid w:linePitch="312" w:charSpace="0"/>
        </w:sectPr>
      </w:pPr>
      <w:r>
        <w:rPr>
          <w:rFonts w:hint="eastAsia" w:ascii="黑体" w:hAnsi="黑体" w:eastAsia="黑体"/>
          <w:sz w:val="28"/>
          <w:szCs w:val="28"/>
          <w:highlight w:val="red"/>
        </w:rPr>
        <w:t>201</w:t>
      </w:r>
      <w:r>
        <w:rPr>
          <w:rFonts w:hint="eastAsia" w:ascii="黑体" w:hAnsi="黑体" w:eastAsia="黑体"/>
          <w:color w:val="4472C4"/>
          <w:sz w:val="28"/>
          <w:szCs w:val="28"/>
          <w:highlight w:val="red"/>
          <w:u w:val="single"/>
        </w:rPr>
        <w:t>9</w:t>
      </w:r>
      <w:r>
        <w:rPr>
          <w:rFonts w:hint="eastAsia" w:ascii="黑体" w:hAnsi="黑体" w:eastAsia="黑体"/>
          <w:sz w:val="28"/>
          <w:szCs w:val="28"/>
          <w:highlight w:val="red"/>
        </w:rPr>
        <w:t>年</w:t>
      </w:r>
      <w:r>
        <w:rPr>
          <w:rFonts w:ascii="黑体" w:hAnsi="黑体" w:eastAsia="黑体"/>
          <w:color w:val="4472C4"/>
          <w:sz w:val="28"/>
          <w:szCs w:val="28"/>
          <w:highlight w:val="red"/>
          <w:u w:val="single"/>
        </w:rPr>
        <w:t xml:space="preserve"> </w:t>
      </w:r>
      <w:r>
        <w:rPr>
          <w:rFonts w:hint="eastAsia" w:ascii="黑体" w:hAnsi="黑体" w:eastAsia="黑体"/>
          <w:color w:val="4472C4"/>
          <w:sz w:val="28"/>
          <w:szCs w:val="28"/>
          <w:highlight w:val="red"/>
          <w:u w:val="single"/>
        </w:rPr>
        <w:t>12</w:t>
      </w:r>
      <w:r>
        <w:rPr>
          <w:rFonts w:hint="eastAsia" w:ascii="黑体" w:hAnsi="黑体" w:eastAsia="黑体"/>
          <w:sz w:val="28"/>
          <w:szCs w:val="28"/>
          <w:highlight w:val="red"/>
        </w:rPr>
        <w:t>月</w:t>
      </w:r>
    </w:p>
    <w:p>
      <w:pPr>
        <w:pStyle w:val="16"/>
        <w:tabs>
          <w:tab w:val="right" w:leader="dot" w:pos="9120"/>
        </w:tabs>
        <w:spacing w:before="0" w:line="360" w:lineRule="auto"/>
        <w:rPr>
          <w:rFonts w:ascii="黑体" w:eastAsia="黑体"/>
          <w:b w:val="0"/>
          <w:snapToGrid w:val="0"/>
          <w:kern w:val="0"/>
          <w:szCs w:val="28"/>
        </w:rPr>
      </w:pPr>
    </w:p>
    <w:p>
      <w:pPr>
        <w:pStyle w:val="16"/>
        <w:tabs>
          <w:tab w:val="right" w:leader="dot" w:pos="9120"/>
        </w:tabs>
        <w:spacing w:before="0" w:line="360" w:lineRule="auto"/>
        <w:jc w:val="center"/>
        <w:rPr>
          <w:rFonts w:ascii="黑体" w:eastAsia="黑体"/>
          <w:b w:val="0"/>
          <w:snapToGrid w:val="0"/>
          <w:kern w:val="0"/>
          <w:sz w:val="30"/>
          <w:szCs w:val="30"/>
        </w:rPr>
      </w:pPr>
      <w:r>
        <w:rPr>
          <w:rFonts w:hint="eastAsia" w:ascii="黑体" w:eastAsia="黑体"/>
          <w:b w:val="0"/>
          <w:snapToGrid w:val="0"/>
          <w:kern w:val="0"/>
          <w:sz w:val="30"/>
          <w:szCs w:val="30"/>
        </w:rPr>
        <w:t>目录</w:t>
      </w:r>
    </w:p>
    <w:p>
      <w:pPr>
        <w:pStyle w:val="16"/>
        <w:tabs>
          <w:tab w:val="right" w:leader="dot" w:pos="9120"/>
        </w:tabs>
        <w:spacing w:before="0" w:line="360" w:lineRule="auto"/>
        <w:rPr>
          <w:rFonts w:ascii="等线" w:hAnsi="等线" w:eastAsia="等线"/>
          <w:b w:val="0"/>
          <w:caps w:val="0"/>
          <w:szCs w:val="28"/>
          <w:lang w:val="en-US" w:eastAsia="zh-CN"/>
        </w:rPr>
      </w:pPr>
      <w:r>
        <w:rPr>
          <w:rFonts w:ascii="黑体" w:eastAsia="黑体"/>
          <w:b w:val="0"/>
          <w:snapToGrid w:val="0"/>
          <w:kern w:val="0"/>
          <w:szCs w:val="28"/>
        </w:rPr>
        <w:fldChar w:fldCharType="begin"/>
      </w:r>
      <w:r>
        <w:rPr>
          <w:rFonts w:ascii="黑体" w:eastAsia="黑体"/>
          <w:b w:val="0"/>
          <w:snapToGrid w:val="0"/>
          <w:kern w:val="0"/>
          <w:szCs w:val="28"/>
        </w:rPr>
        <w:instrText xml:space="preserve"> TOC \o "1-2" \h \z \u </w:instrText>
      </w:r>
      <w:r>
        <w:rPr>
          <w:rFonts w:ascii="黑体" w:eastAsia="黑体"/>
          <w:b w:val="0"/>
          <w:snapToGrid w:val="0"/>
          <w:kern w:val="0"/>
          <w:szCs w:val="28"/>
        </w:rPr>
        <w:fldChar w:fldCharType="separate"/>
      </w:r>
      <w:r>
        <w:rPr>
          <w:rStyle w:val="24"/>
          <w:b w:val="0"/>
          <w:szCs w:val="28"/>
        </w:rPr>
        <w:fldChar w:fldCharType="begin"/>
      </w:r>
      <w:r>
        <w:rPr>
          <w:rStyle w:val="24"/>
          <w:b w:val="0"/>
          <w:szCs w:val="28"/>
        </w:rPr>
        <w:instrText xml:space="preserve"> </w:instrText>
      </w:r>
      <w:r>
        <w:rPr>
          <w:b w:val="0"/>
          <w:szCs w:val="28"/>
        </w:rPr>
        <w:instrText xml:space="preserve">HYPERLINK \l "_Toc27127608"</w:instrText>
      </w:r>
      <w:r>
        <w:rPr>
          <w:rStyle w:val="24"/>
          <w:b w:val="0"/>
          <w:szCs w:val="28"/>
        </w:rPr>
        <w:instrText xml:space="preserve"> </w:instrText>
      </w:r>
      <w:r>
        <w:rPr>
          <w:rStyle w:val="24"/>
          <w:b w:val="0"/>
          <w:szCs w:val="28"/>
        </w:rPr>
        <w:fldChar w:fldCharType="separate"/>
      </w:r>
      <w:r>
        <w:rPr>
          <w:rStyle w:val="24"/>
          <w:rFonts w:ascii="黑体" w:eastAsia="黑体"/>
          <w:b w:val="0"/>
          <w:kern w:val="28"/>
          <w:szCs w:val="28"/>
        </w:rPr>
        <w:t>供货需求表</w:t>
      </w:r>
      <w:r>
        <w:rPr>
          <w:b w:val="0"/>
          <w:szCs w:val="28"/>
        </w:rPr>
        <w:tab/>
      </w:r>
      <w:r>
        <w:rPr>
          <w:b w:val="0"/>
          <w:szCs w:val="28"/>
        </w:rPr>
        <w:fldChar w:fldCharType="begin"/>
      </w:r>
      <w:r>
        <w:rPr>
          <w:b w:val="0"/>
          <w:szCs w:val="28"/>
        </w:rPr>
        <w:instrText xml:space="preserve"> PAGEREF _Toc27127608 \h </w:instrText>
      </w:r>
      <w:r>
        <w:rPr>
          <w:b w:val="0"/>
          <w:szCs w:val="28"/>
        </w:rPr>
        <w:fldChar w:fldCharType="separate"/>
      </w:r>
      <w:r>
        <w:rPr>
          <w:b w:val="0"/>
          <w:szCs w:val="28"/>
        </w:rPr>
        <w:t>1</w:t>
      </w:r>
      <w:r>
        <w:rPr>
          <w:b w:val="0"/>
          <w:szCs w:val="28"/>
        </w:rPr>
        <w:fldChar w:fldCharType="end"/>
      </w:r>
      <w:r>
        <w:rPr>
          <w:rStyle w:val="24"/>
          <w:b w:val="0"/>
          <w:szCs w:val="28"/>
        </w:rPr>
        <w:fldChar w:fldCharType="end"/>
      </w:r>
    </w:p>
    <w:p>
      <w:pPr>
        <w:pStyle w:val="16"/>
        <w:tabs>
          <w:tab w:val="left" w:pos="275"/>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"_Toc27127609"</w:instrText>
      </w:r>
      <w:r>
        <w:rPr>
          <w:rStyle w:val="24"/>
          <w:b w:val="0"/>
          <w:szCs w:val="28"/>
        </w:rPr>
        <w:instrText xml:space="preserve"> </w:instrText>
      </w:r>
      <w:r>
        <w:rPr>
          <w:rStyle w:val="24"/>
          <w:b w:val="0"/>
          <w:szCs w:val="28"/>
        </w:rPr>
        <w:fldChar w:fldCharType="separate"/>
      </w:r>
      <w:r>
        <w:rPr>
          <w:rStyle w:val="24"/>
          <w:b w:val="0"/>
          <w:iCs/>
          <w:kern w:val="36"/>
          <w:szCs w:val="28"/>
          <w:lang w:eastAsia="ar-SA"/>
        </w:rPr>
        <w:t>1.</w:t>
      </w:r>
      <w:r>
        <w:rPr>
          <w:rFonts w:ascii="等线" w:hAnsi="等线" w:eastAsia="等线"/>
          <w:b w:val="0"/>
          <w:caps w:val="0"/>
          <w:szCs w:val="28"/>
          <w:lang w:val="en-US" w:eastAsia="zh-CN"/>
        </w:rPr>
        <w:tab/>
      </w:r>
      <w:r>
        <w:rPr>
          <w:rStyle w:val="24"/>
          <w:b w:val="0"/>
          <w:iCs/>
          <w:kern w:val="36"/>
          <w:szCs w:val="28"/>
          <w:lang w:eastAsia="ar-SA"/>
        </w:rPr>
        <w:t>总则</w:t>
      </w:r>
      <w:r>
        <w:rPr>
          <w:b w:val="0"/>
          <w:szCs w:val="28"/>
        </w:rPr>
        <w:tab/>
      </w:r>
      <w:r>
        <w:rPr>
          <w:b w:val="0"/>
          <w:szCs w:val="28"/>
        </w:rPr>
        <w:fldChar w:fldCharType="begin"/>
      </w:r>
      <w:r>
        <w:rPr>
          <w:b w:val="0"/>
          <w:szCs w:val="28"/>
        </w:rPr>
        <w:instrText xml:space="preserve"> PAGEREF _Toc27127609 \h </w:instrText>
      </w:r>
      <w:r>
        <w:rPr>
          <w:b w:val="0"/>
          <w:szCs w:val="28"/>
        </w:rPr>
        <w:fldChar w:fldCharType="separate"/>
      </w:r>
      <w:r>
        <w:rPr>
          <w:b w:val="0"/>
          <w:szCs w:val="28"/>
        </w:rPr>
        <w:t>2</w:t>
      </w:r>
      <w:r>
        <w:rPr>
          <w:b w:val="0"/>
          <w:szCs w:val="28"/>
        </w:rPr>
        <w:fldChar w:fldCharType="end"/>
      </w:r>
      <w:r>
        <w:rPr>
          <w:rStyle w:val="24"/>
          <w:b w:val="0"/>
          <w:szCs w:val="28"/>
        </w:rPr>
        <w:fldChar w:fldCharType="end"/>
      </w:r>
    </w:p>
    <w:p>
      <w:pPr>
        <w:pStyle w:val="16"/>
        <w:tabs>
          <w:tab w:val="left" w:pos="840"/>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"_Toc27127610"</w:instrText>
      </w:r>
      <w:r>
        <w:rPr>
          <w:rStyle w:val="24"/>
          <w:b w:val="0"/>
          <w:szCs w:val="28"/>
        </w:rPr>
        <w:instrText xml:space="preserve"> </w:instrText>
      </w:r>
      <w:r>
        <w:rPr>
          <w:rStyle w:val="24"/>
          <w:b w:val="0"/>
          <w:szCs w:val="28"/>
        </w:rPr>
        <w:fldChar w:fldCharType="separate"/>
      </w:r>
      <w:r>
        <w:rPr>
          <w:rStyle w:val="24"/>
          <w:b w:val="0"/>
          <w:iCs/>
          <w:kern w:val="36"/>
          <w:szCs w:val="28"/>
          <w:lang w:eastAsia="ar-SA"/>
        </w:rPr>
        <w:t>2.技术要求</w:t>
      </w:r>
      <w:r>
        <w:rPr>
          <w:b w:val="0"/>
          <w:szCs w:val="28"/>
        </w:rPr>
        <w:tab/>
      </w:r>
      <w:r>
        <w:rPr>
          <w:b w:val="0"/>
          <w:szCs w:val="28"/>
        </w:rPr>
        <w:fldChar w:fldCharType="begin"/>
      </w:r>
      <w:r>
        <w:rPr>
          <w:b w:val="0"/>
          <w:szCs w:val="28"/>
        </w:rPr>
        <w:instrText xml:space="preserve"> PAGEREF _Toc27127610 \h </w:instrText>
      </w:r>
      <w:r>
        <w:rPr>
          <w:b w:val="0"/>
          <w:szCs w:val="28"/>
        </w:rPr>
        <w:fldChar w:fldCharType="separate"/>
      </w:r>
      <w:r>
        <w:rPr>
          <w:b w:val="0"/>
          <w:szCs w:val="28"/>
        </w:rPr>
        <w:t>2</w:t>
      </w:r>
      <w:r>
        <w:rPr>
          <w:b w:val="0"/>
          <w:szCs w:val="28"/>
        </w:rPr>
        <w:fldChar w:fldCharType="end"/>
      </w:r>
      <w:r>
        <w:rPr>
          <w:rStyle w:val="24"/>
          <w:b w:val="0"/>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"_Toc27127611"</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2.1遵循的主要现行标准</w:t>
      </w:r>
      <w:r>
        <w:rPr>
          <w:b w:val="0"/>
          <w:bCs/>
          <w:sz w:val="28"/>
          <w:szCs w:val="28"/>
        </w:rPr>
        <w:tab/>
      </w:r>
      <w:r>
        <w:rPr>
          <w:b w:val="0"/>
          <w:bCs/>
          <w:sz w:val="28"/>
          <w:szCs w:val="28"/>
        </w:rPr>
        <w:fldChar w:fldCharType="begin"/>
      </w:r>
      <w:r>
        <w:rPr>
          <w:b w:val="0"/>
          <w:bCs/>
          <w:sz w:val="28"/>
          <w:szCs w:val="28"/>
        </w:rPr>
        <w:instrText xml:space="preserve"> PAGEREF _Toc27127611 \h </w:instrText>
      </w:r>
      <w:r>
        <w:rPr>
          <w:b w:val="0"/>
          <w:bCs/>
          <w:sz w:val="28"/>
          <w:szCs w:val="28"/>
        </w:rPr>
        <w:fldChar w:fldCharType="separate"/>
      </w:r>
      <w:r>
        <w:rPr>
          <w:b w:val="0"/>
          <w:bCs/>
          <w:sz w:val="28"/>
          <w:szCs w:val="28"/>
        </w:rPr>
        <w:t>2</w:t>
      </w:r>
      <w:r>
        <w:rPr>
          <w:b w:val="0"/>
          <w:bCs/>
          <w:sz w:val="28"/>
          <w:szCs w:val="28"/>
        </w:rPr>
        <w:fldChar w:fldCharType="end"/>
      </w:r>
      <w:r>
        <w:rPr>
          <w:rStyle w:val="24"/>
          <w:b w:val="0"/>
          <w:bCs/>
          <w:sz w:val="28"/>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"_Toc27127612"</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2.2 环境条件</w:t>
      </w:r>
      <w:r>
        <w:rPr>
          <w:b w:val="0"/>
          <w:bCs/>
          <w:sz w:val="28"/>
          <w:szCs w:val="28"/>
        </w:rPr>
        <w:tab/>
      </w:r>
      <w:r>
        <w:rPr>
          <w:b w:val="0"/>
          <w:bCs/>
          <w:sz w:val="28"/>
          <w:szCs w:val="28"/>
        </w:rPr>
        <w:fldChar w:fldCharType="begin"/>
      </w:r>
      <w:r>
        <w:rPr>
          <w:b w:val="0"/>
          <w:bCs/>
          <w:sz w:val="28"/>
          <w:szCs w:val="28"/>
        </w:rPr>
        <w:instrText xml:space="preserve"> PAGEREF _Toc27127612 \h </w:instrText>
      </w:r>
      <w:r>
        <w:rPr>
          <w:b w:val="0"/>
          <w:bCs/>
          <w:sz w:val="28"/>
          <w:szCs w:val="28"/>
        </w:rPr>
        <w:fldChar w:fldCharType="separate"/>
      </w:r>
      <w:r>
        <w:rPr>
          <w:b w:val="0"/>
          <w:bCs/>
          <w:sz w:val="28"/>
          <w:szCs w:val="28"/>
        </w:rPr>
        <w:t>3</w:t>
      </w:r>
      <w:r>
        <w:rPr>
          <w:b w:val="0"/>
          <w:bCs/>
          <w:sz w:val="28"/>
          <w:szCs w:val="28"/>
        </w:rPr>
        <w:fldChar w:fldCharType="end"/>
      </w:r>
      <w:r>
        <w:rPr>
          <w:rStyle w:val="24"/>
          <w:b w:val="0"/>
          <w:bCs/>
          <w:sz w:val="28"/>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"_Toc27127613"</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2.3 工程概况</w:t>
      </w:r>
      <w:r>
        <w:rPr>
          <w:b w:val="0"/>
          <w:bCs/>
          <w:sz w:val="28"/>
          <w:szCs w:val="28"/>
        </w:rPr>
        <w:tab/>
      </w:r>
      <w:r>
        <w:rPr>
          <w:b w:val="0"/>
          <w:bCs/>
          <w:sz w:val="28"/>
          <w:szCs w:val="28"/>
        </w:rPr>
        <w:fldChar w:fldCharType="begin"/>
      </w:r>
      <w:r>
        <w:rPr>
          <w:b w:val="0"/>
          <w:bCs/>
          <w:sz w:val="28"/>
          <w:szCs w:val="28"/>
        </w:rPr>
        <w:instrText xml:space="preserve"> PAGEREF _Toc27127613 \h </w:instrText>
      </w:r>
      <w:r>
        <w:rPr>
          <w:b w:val="0"/>
          <w:bCs/>
          <w:sz w:val="28"/>
          <w:szCs w:val="28"/>
        </w:rPr>
        <w:fldChar w:fldCharType="separate"/>
      </w:r>
      <w:r>
        <w:rPr>
          <w:b w:val="0"/>
          <w:bCs/>
          <w:sz w:val="28"/>
          <w:szCs w:val="28"/>
        </w:rPr>
        <w:t>4</w:t>
      </w:r>
      <w:r>
        <w:rPr>
          <w:b w:val="0"/>
          <w:bCs/>
          <w:sz w:val="28"/>
          <w:szCs w:val="28"/>
        </w:rPr>
        <w:fldChar w:fldCharType="end"/>
      </w:r>
      <w:r>
        <w:rPr>
          <w:rStyle w:val="24"/>
          <w:b w:val="0"/>
          <w:bCs/>
          <w:sz w:val="28"/>
          <w:szCs w:val="28"/>
        </w:rPr>
        <w:fldChar w:fldCharType="end"/>
      </w:r>
    </w:p>
    <w:p>
      <w:pPr>
        <w:pStyle w:val="16"/>
        <w:tabs>
          <w:tab w:val="left" w:pos="275"/>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"_Toc27127614"</w:instrText>
      </w:r>
      <w:r>
        <w:rPr>
          <w:rStyle w:val="24"/>
          <w:b w:val="0"/>
          <w:szCs w:val="28"/>
        </w:rPr>
        <w:instrText xml:space="preserve"> </w:instrText>
      </w:r>
      <w:r>
        <w:rPr>
          <w:rStyle w:val="24"/>
          <w:b w:val="0"/>
          <w:szCs w:val="28"/>
        </w:rPr>
        <w:fldChar w:fldCharType="separate"/>
      </w:r>
      <w:r>
        <w:rPr>
          <w:rStyle w:val="24"/>
          <w:b w:val="0"/>
          <w:iCs/>
          <w:kern w:val="36"/>
          <w:szCs w:val="28"/>
          <w:lang w:eastAsia="ar-SA"/>
        </w:rPr>
        <w:t>3.</w:t>
      </w:r>
      <w:r>
        <w:rPr>
          <w:rFonts w:ascii="等线" w:hAnsi="等线" w:eastAsia="等线"/>
          <w:b w:val="0"/>
          <w:caps w:val="0"/>
          <w:szCs w:val="28"/>
          <w:lang w:val="en-US" w:eastAsia="zh-CN"/>
        </w:rPr>
        <w:tab/>
      </w:r>
      <w:r>
        <w:rPr>
          <w:rStyle w:val="24"/>
          <w:b w:val="0"/>
          <w:iCs/>
          <w:kern w:val="36"/>
          <w:szCs w:val="28"/>
          <w:lang w:eastAsia="ar-SA"/>
        </w:rPr>
        <w:t>动态无功补偿成套装置技术指标</w:t>
      </w:r>
      <w:r>
        <w:rPr>
          <w:b w:val="0"/>
          <w:szCs w:val="28"/>
        </w:rPr>
        <w:tab/>
      </w:r>
      <w:r>
        <w:rPr>
          <w:b w:val="0"/>
          <w:szCs w:val="28"/>
        </w:rPr>
        <w:fldChar w:fldCharType="begin"/>
      </w:r>
      <w:r>
        <w:rPr>
          <w:b w:val="0"/>
          <w:szCs w:val="28"/>
        </w:rPr>
        <w:instrText xml:space="preserve"> PAGEREF _Toc27127614 \h </w:instrText>
      </w:r>
      <w:r>
        <w:rPr>
          <w:b w:val="0"/>
          <w:szCs w:val="28"/>
        </w:rPr>
        <w:fldChar w:fldCharType="separate"/>
      </w:r>
      <w:r>
        <w:rPr>
          <w:b w:val="0"/>
          <w:szCs w:val="28"/>
        </w:rPr>
        <w:t>5</w:t>
      </w:r>
      <w:r>
        <w:rPr>
          <w:b w:val="0"/>
          <w:szCs w:val="28"/>
        </w:rPr>
        <w:fldChar w:fldCharType="end"/>
      </w:r>
      <w:r>
        <w:rPr>
          <w:rStyle w:val="24"/>
          <w:b w:val="0"/>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"_Toc27127615"</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3.1技术要求</w:t>
      </w:r>
      <w:r>
        <w:rPr>
          <w:b w:val="0"/>
          <w:bCs/>
          <w:sz w:val="28"/>
          <w:szCs w:val="28"/>
        </w:rPr>
        <w:tab/>
      </w:r>
      <w:r>
        <w:rPr>
          <w:b w:val="0"/>
          <w:bCs/>
          <w:sz w:val="28"/>
          <w:szCs w:val="28"/>
        </w:rPr>
        <w:fldChar w:fldCharType="begin"/>
      </w:r>
      <w:r>
        <w:rPr>
          <w:b w:val="0"/>
          <w:bCs/>
          <w:sz w:val="28"/>
          <w:szCs w:val="28"/>
        </w:rPr>
        <w:instrText xml:space="preserve"> PAGEREF _Toc27127615 \h </w:instrText>
      </w:r>
      <w:r>
        <w:rPr>
          <w:b w:val="0"/>
          <w:bCs/>
          <w:sz w:val="28"/>
          <w:szCs w:val="28"/>
        </w:rPr>
        <w:fldChar w:fldCharType="separate"/>
      </w:r>
      <w:r>
        <w:rPr>
          <w:b w:val="0"/>
          <w:bCs/>
          <w:sz w:val="28"/>
          <w:szCs w:val="28"/>
        </w:rPr>
        <w:t>5</w:t>
      </w:r>
      <w:r>
        <w:rPr>
          <w:b w:val="0"/>
          <w:bCs/>
          <w:sz w:val="28"/>
          <w:szCs w:val="28"/>
        </w:rPr>
        <w:fldChar w:fldCharType="end"/>
      </w:r>
      <w:r>
        <w:rPr>
          <w:rStyle w:val="24"/>
          <w:b w:val="0"/>
          <w:bCs/>
          <w:sz w:val="28"/>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"_Toc27127616"</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3.2 SVG技术要求</w:t>
      </w:r>
      <w:r>
        <w:rPr>
          <w:b w:val="0"/>
          <w:bCs/>
          <w:sz w:val="28"/>
          <w:szCs w:val="28"/>
        </w:rPr>
        <w:tab/>
      </w:r>
      <w:r>
        <w:rPr>
          <w:b w:val="0"/>
          <w:bCs/>
          <w:sz w:val="28"/>
          <w:szCs w:val="28"/>
        </w:rPr>
        <w:fldChar w:fldCharType="begin"/>
      </w:r>
      <w:r>
        <w:rPr>
          <w:b w:val="0"/>
          <w:bCs/>
          <w:sz w:val="28"/>
          <w:szCs w:val="28"/>
        </w:rPr>
        <w:instrText xml:space="preserve"> PAGEREF _Toc27127616 \h </w:instrText>
      </w:r>
      <w:r>
        <w:rPr>
          <w:b w:val="0"/>
          <w:bCs/>
          <w:sz w:val="28"/>
          <w:szCs w:val="28"/>
        </w:rPr>
        <w:fldChar w:fldCharType="separate"/>
      </w:r>
      <w:r>
        <w:rPr>
          <w:b w:val="0"/>
          <w:bCs/>
          <w:sz w:val="28"/>
          <w:szCs w:val="28"/>
        </w:rPr>
        <w:t>6</w:t>
      </w:r>
      <w:r>
        <w:rPr>
          <w:b w:val="0"/>
          <w:bCs/>
          <w:sz w:val="28"/>
          <w:szCs w:val="28"/>
        </w:rPr>
        <w:fldChar w:fldCharType="end"/>
      </w:r>
      <w:r>
        <w:rPr>
          <w:rStyle w:val="24"/>
          <w:b w:val="0"/>
          <w:bCs/>
          <w:sz w:val="28"/>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"_Toc27127617"</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3.3 电容器成套装置技术规范参数（FC方案）</w:t>
      </w:r>
      <w:r>
        <w:rPr>
          <w:b w:val="0"/>
          <w:bCs/>
          <w:sz w:val="28"/>
          <w:szCs w:val="28"/>
        </w:rPr>
        <w:tab/>
      </w:r>
      <w:r>
        <w:rPr>
          <w:b w:val="0"/>
          <w:bCs/>
          <w:sz w:val="28"/>
          <w:szCs w:val="28"/>
        </w:rPr>
        <w:fldChar w:fldCharType="begin"/>
      </w:r>
      <w:r>
        <w:rPr>
          <w:b w:val="0"/>
          <w:bCs/>
          <w:sz w:val="28"/>
          <w:szCs w:val="28"/>
        </w:rPr>
        <w:instrText xml:space="preserve"> PAGEREF _Toc27127617 \h </w:instrText>
      </w:r>
      <w:r>
        <w:rPr>
          <w:b w:val="0"/>
          <w:bCs/>
          <w:sz w:val="28"/>
          <w:szCs w:val="28"/>
        </w:rPr>
        <w:fldChar w:fldCharType="separate"/>
      </w:r>
      <w:r>
        <w:rPr>
          <w:b w:val="0"/>
          <w:bCs/>
          <w:sz w:val="28"/>
          <w:szCs w:val="28"/>
        </w:rPr>
        <w:t>20</w:t>
      </w:r>
      <w:r>
        <w:rPr>
          <w:b w:val="0"/>
          <w:bCs/>
          <w:sz w:val="28"/>
          <w:szCs w:val="28"/>
        </w:rPr>
        <w:fldChar w:fldCharType="end"/>
      </w:r>
      <w:r>
        <w:rPr>
          <w:rStyle w:val="24"/>
          <w:b w:val="0"/>
          <w:bCs/>
          <w:sz w:val="28"/>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"_Toc27127618"</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3.4 性能要求</w:t>
      </w:r>
      <w:r>
        <w:rPr>
          <w:b w:val="0"/>
          <w:bCs/>
          <w:sz w:val="28"/>
          <w:szCs w:val="28"/>
        </w:rPr>
        <w:tab/>
      </w:r>
      <w:r>
        <w:rPr>
          <w:b w:val="0"/>
          <w:bCs/>
          <w:sz w:val="28"/>
          <w:szCs w:val="28"/>
        </w:rPr>
        <w:fldChar w:fldCharType="begin"/>
      </w:r>
      <w:r>
        <w:rPr>
          <w:b w:val="0"/>
          <w:bCs/>
          <w:sz w:val="28"/>
          <w:szCs w:val="28"/>
        </w:rPr>
        <w:instrText xml:space="preserve"> PAGEREF _Toc27127618 \h </w:instrText>
      </w:r>
      <w:r>
        <w:rPr>
          <w:b w:val="0"/>
          <w:bCs/>
          <w:sz w:val="28"/>
          <w:szCs w:val="28"/>
        </w:rPr>
        <w:fldChar w:fldCharType="separate"/>
      </w:r>
      <w:r>
        <w:rPr>
          <w:b w:val="0"/>
          <w:bCs/>
          <w:sz w:val="28"/>
          <w:szCs w:val="28"/>
        </w:rPr>
        <w:t>27</w:t>
      </w:r>
      <w:r>
        <w:rPr>
          <w:b w:val="0"/>
          <w:bCs/>
          <w:sz w:val="28"/>
          <w:szCs w:val="28"/>
        </w:rPr>
        <w:fldChar w:fldCharType="end"/>
      </w:r>
      <w:r>
        <w:rPr>
          <w:rStyle w:val="24"/>
          <w:b w:val="0"/>
          <w:bCs/>
          <w:sz w:val="28"/>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"_Toc27127619"</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3.5 成套装置功能</w:t>
      </w:r>
      <w:r>
        <w:rPr>
          <w:b w:val="0"/>
          <w:bCs/>
          <w:sz w:val="28"/>
          <w:szCs w:val="28"/>
        </w:rPr>
        <w:tab/>
      </w:r>
      <w:r>
        <w:rPr>
          <w:b w:val="0"/>
          <w:bCs/>
          <w:sz w:val="28"/>
          <w:szCs w:val="28"/>
        </w:rPr>
        <w:fldChar w:fldCharType="begin"/>
      </w:r>
      <w:r>
        <w:rPr>
          <w:b w:val="0"/>
          <w:bCs/>
          <w:sz w:val="28"/>
          <w:szCs w:val="28"/>
        </w:rPr>
        <w:instrText xml:space="preserve"> PAGEREF _Toc27127619 \h </w:instrText>
      </w:r>
      <w:r>
        <w:rPr>
          <w:b w:val="0"/>
          <w:bCs/>
          <w:sz w:val="28"/>
          <w:szCs w:val="28"/>
        </w:rPr>
        <w:fldChar w:fldCharType="separate"/>
      </w:r>
      <w:r>
        <w:rPr>
          <w:b w:val="0"/>
          <w:bCs/>
          <w:sz w:val="28"/>
          <w:szCs w:val="28"/>
        </w:rPr>
        <w:t>28</w:t>
      </w:r>
      <w:r>
        <w:rPr>
          <w:b w:val="0"/>
          <w:bCs/>
          <w:sz w:val="28"/>
          <w:szCs w:val="28"/>
        </w:rPr>
        <w:fldChar w:fldCharType="end"/>
      </w:r>
      <w:r>
        <w:rPr>
          <w:rStyle w:val="24"/>
          <w:b w:val="0"/>
          <w:bCs/>
          <w:sz w:val="28"/>
          <w:szCs w:val="28"/>
        </w:rPr>
        <w:fldChar w:fldCharType="end"/>
      </w:r>
    </w:p>
    <w:p>
      <w:pPr>
        <w:pStyle w:val="16"/>
        <w:tabs>
          <w:tab w:val="left" w:pos="275"/>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"_Toc27127620"</w:instrText>
      </w:r>
      <w:r>
        <w:rPr>
          <w:rStyle w:val="24"/>
          <w:b w:val="0"/>
          <w:szCs w:val="28"/>
        </w:rPr>
        <w:instrText xml:space="preserve"> </w:instrText>
      </w:r>
      <w:r>
        <w:rPr>
          <w:rStyle w:val="24"/>
          <w:b w:val="0"/>
          <w:szCs w:val="28"/>
        </w:rPr>
        <w:fldChar w:fldCharType="separate"/>
      </w:r>
      <w:r>
        <w:rPr>
          <w:rStyle w:val="24"/>
          <w:b w:val="0"/>
          <w:iCs/>
          <w:kern w:val="36"/>
          <w:szCs w:val="28"/>
          <w:lang w:eastAsia="ar-SA"/>
        </w:rPr>
        <w:t>4.</w:t>
      </w:r>
      <w:r>
        <w:rPr>
          <w:rFonts w:ascii="等线" w:hAnsi="等线" w:eastAsia="等线"/>
          <w:b w:val="0"/>
          <w:caps w:val="0"/>
          <w:szCs w:val="28"/>
          <w:lang w:val="en-US" w:eastAsia="zh-CN"/>
        </w:rPr>
        <w:tab/>
      </w:r>
      <w:r>
        <w:rPr>
          <w:rStyle w:val="24"/>
          <w:b w:val="0"/>
          <w:iCs/>
          <w:kern w:val="36"/>
          <w:szCs w:val="28"/>
          <w:lang w:eastAsia="ar-SA"/>
        </w:rPr>
        <w:t>供货范围</w:t>
      </w:r>
      <w:r>
        <w:rPr>
          <w:b w:val="0"/>
          <w:szCs w:val="28"/>
        </w:rPr>
        <w:tab/>
      </w:r>
      <w:r>
        <w:rPr>
          <w:b w:val="0"/>
          <w:szCs w:val="28"/>
        </w:rPr>
        <w:fldChar w:fldCharType="begin"/>
      </w:r>
      <w:r>
        <w:rPr>
          <w:b w:val="0"/>
          <w:szCs w:val="28"/>
        </w:rPr>
        <w:instrText xml:space="preserve"> PAGEREF _Toc27127620 \h </w:instrText>
      </w:r>
      <w:r>
        <w:rPr>
          <w:b w:val="0"/>
          <w:szCs w:val="28"/>
        </w:rPr>
        <w:fldChar w:fldCharType="separate"/>
      </w:r>
      <w:r>
        <w:rPr>
          <w:b w:val="0"/>
          <w:szCs w:val="28"/>
        </w:rPr>
        <w:t>29</w:t>
      </w:r>
      <w:r>
        <w:rPr>
          <w:b w:val="0"/>
          <w:szCs w:val="28"/>
        </w:rPr>
        <w:fldChar w:fldCharType="end"/>
      </w:r>
      <w:r>
        <w:rPr>
          <w:rStyle w:val="24"/>
          <w:b w:val="0"/>
          <w:szCs w:val="28"/>
        </w:rPr>
        <w:fldChar w:fldCharType="end"/>
      </w:r>
    </w:p>
    <w:p>
      <w:pPr>
        <w:pStyle w:val="16"/>
        <w:tabs>
          <w:tab w:val="left" w:pos="275"/>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"_Toc27127621"</w:instrText>
      </w:r>
      <w:r>
        <w:rPr>
          <w:rStyle w:val="24"/>
          <w:b w:val="0"/>
          <w:szCs w:val="28"/>
        </w:rPr>
        <w:instrText xml:space="preserve"> </w:instrText>
      </w:r>
      <w:r>
        <w:rPr>
          <w:rStyle w:val="24"/>
          <w:b w:val="0"/>
          <w:szCs w:val="28"/>
        </w:rPr>
        <w:fldChar w:fldCharType="separate"/>
      </w:r>
      <w:r>
        <w:rPr>
          <w:rStyle w:val="24"/>
          <w:b w:val="0"/>
          <w:iCs/>
          <w:kern w:val="36"/>
          <w:szCs w:val="28"/>
          <w:lang w:eastAsia="ar-SA"/>
        </w:rPr>
        <w:t>5.</w:t>
      </w:r>
      <w:r>
        <w:rPr>
          <w:rFonts w:ascii="等线" w:hAnsi="等线" w:eastAsia="等线"/>
          <w:b w:val="0"/>
          <w:caps w:val="0"/>
          <w:szCs w:val="28"/>
          <w:lang w:val="en-US" w:eastAsia="zh-CN"/>
        </w:rPr>
        <w:tab/>
      </w:r>
      <w:r>
        <w:rPr>
          <w:rStyle w:val="24"/>
          <w:b w:val="0"/>
          <w:iCs/>
          <w:kern w:val="36"/>
          <w:szCs w:val="28"/>
          <w:lang w:eastAsia="ar-SA"/>
        </w:rPr>
        <w:t>备品备件及专用工具清单</w:t>
      </w:r>
      <w:r>
        <w:rPr>
          <w:b w:val="0"/>
          <w:szCs w:val="28"/>
        </w:rPr>
        <w:tab/>
      </w:r>
      <w:r>
        <w:rPr>
          <w:b w:val="0"/>
          <w:szCs w:val="28"/>
        </w:rPr>
        <w:fldChar w:fldCharType="begin"/>
      </w:r>
      <w:r>
        <w:rPr>
          <w:b w:val="0"/>
          <w:szCs w:val="28"/>
        </w:rPr>
        <w:instrText xml:space="preserve"> PAGEREF _Toc27127621 \h </w:instrText>
      </w:r>
      <w:r>
        <w:rPr>
          <w:b w:val="0"/>
          <w:szCs w:val="28"/>
        </w:rPr>
        <w:fldChar w:fldCharType="separate"/>
      </w:r>
      <w:r>
        <w:rPr>
          <w:b w:val="0"/>
          <w:szCs w:val="28"/>
        </w:rPr>
        <w:t>30</w:t>
      </w:r>
      <w:r>
        <w:rPr>
          <w:b w:val="0"/>
          <w:szCs w:val="28"/>
        </w:rPr>
        <w:fldChar w:fldCharType="end"/>
      </w:r>
      <w:r>
        <w:rPr>
          <w:rStyle w:val="24"/>
          <w:b w:val="0"/>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"_Toc27127622"</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5.1 随机备品备件</w:t>
      </w:r>
      <w:r>
        <w:rPr>
          <w:b w:val="0"/>
          <w:bCs/>
          <w:sz w:val="28"/>
          <w:szCs w:val="28"/>
        </w:rPr>
        <w:tab/>
      </w:r>
      <w:r>
        <w:rPr>
          <w:b w:val="0"/>
          <w:bCs/>
          <w:sz w:val="28"/>
          <w:szCs w:val="28"/>
        </w:rPr>
        <w:fldChar w:fldCharType="begin"/>
      </w:r>
      <w:r>
        <w:rPr>
          <w:b w:val="0"/>
          <w:bCs/>
          <w:sz w:val="28"/>
          <w:szCs w:val="28"/>
        </w:rPr>
        <w:instrText xml:space="preserve"> PAGEREF _Toc27127622 \h </w:instrText>
      </w:r>
      <w:r>
        <w:rPr>
          <w:b w:val="0"/>
          <w:bCs/>
          <w:sz w:val="28"/>
          <w:szCs w:val="28"/>
        </w:rPr>
        <w:fldChar w:fldCharType="separate"/>
      </w:r>
      <w:r>
        <w:rPr>
          <w:b w:val="0"/>
          <w:bCs/>
          <w:sz w:val="28"/>
          <w:szCs w:val="28"/>
        </w:rPr>
        <w:t>30</w:t>
      </w:r>
      <w:r>
        <w:rPr>
          <w:b w:val="0"/>
          <w:bCs/>
          <w:sz w:val="28"/>
          <w:szCs w:val="28"/>
        </w:rPr>
        <w:fldChar w:fldCharType="end"/>
      </w:r>
      <w:r>
        <w:rPr>
          <w:rStyle w:val="24"/>
          <w:b w:val="0"/>
          <w:bCs/>
          <w:sz w:val="28"/>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"_Toc27127623"</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5.2 专用工具</w:t>
      </w:r>
      <w:r>
        <w:rPr>
          <w:b w:val="0"/>
          <w:bCs/>
          <w:sz w:val="28"/>
          <w:szCs w:val="28"/>
        </w:rPr>
        <w:tab/>
      </w:r>
      <w:r>
        <w:rPr>
          <w:b w:val="0"/>
          <w:bCs/>
          <w:sz w:val="28"/>
          <w:szCs w:val="28"/>
        </w:rPr>
        <w:fldChar w:fldCharType="begin"/>
      </w:r>
      <w:r>
        <w:rPr>
          <w:b w:val="0"/>
          <w:bCs/>
          <w:sz w:val="28"/>
          <w:szCs w:val="28"/>
        </w:rPr>
        <w:instrText xml:space="preserve"> PAGEREF _Toc27127623 \h </w:instrText>
      </w:r>
      <w:r>
        <w:rPr>
          <w:b w:val="0"/>
          <w:bCs/>
          <w:sz w:val="28"/>
          <w:szCs w:val="28"/>
        </w:rPr>
        <w:fldChar w:fldCharType="separate"/>
      </w:r>
      <w:r>
        <w:rPr>
          <w:b w:val="0"/>
          <w:bCs/>
          <w:sz w:val="28"/>
          <w:szCs w:val="28"/>
        </w:rPr>
        <w:t>30</w:t>
      </w:r>
      <w:r>
        <w:rPr>
          <w:b w:val="0"/>
          <w:bCs/>
          <w:sz w:val="28"/>
          <w:szCs w:val="28"/>
        </w:rPr>
        <w:fldChar w:fldCharType="end"/>
      </w:r>
      <w:r>
        <w:rPr>
          <w:rStyle w:val="24"/>
          <w:b w:val="0"/>
          <w:bCs/>
          <w:sz w:val="28"/>
          <w:szCs w:val="28"/>
        </w:rPr>
        <w:fldChar w:fldCharType="end"/>
      </w:r>
    </w:p>
    <w:p>
      <w:pPr>
        <w:pStyle w:val="18"/>
        <w:tabs>
          <w:tab w:val="left" w:pos="960"/>
          <w:tab w:val="right" w:leader="dot" w:pos="9120"/>
        </w:tabs>
        <w:spacing w:beforeLines="0" w:line="360" w:lineRule="auto"/>
        <w:ind w:left="0" w:leftChars="0" w:firstLine="280" w:firstLineChars="100"/>
        <w:rPr>
          <w:rFonts w:ascii="等线" w:hAnsi="等线" w:eastAsia="等线"/>
          <w:b w:val="0"/>
          <w:bCs/>
          <w:smallCaps w:val="0"/>
          <w:sz w:val="28"/>
          <w:szCs w:val="28"/>
          <w:lang w:val="en-US" w:eastAsia="zh-CN"/>
        </w:rPr>
      </w:pPr>
      <w:r>
        <w:rPr>
          <w:rStyle w:val="24"/>
          <w:b w:val="0"/>
          <w:bCs/>
          <w:sz w:val="28"/>
          <w:szCs w:val="28"/>
        </w:rPr>
        <w:fldChar w:fldCharType="begin"/>
      </w:r>
      <w:r>
        <w:rPr>
          <w:rStyle w:val="24"/>
          <w:b w:val="0"/>
          <w:bCs/>
          <w:sz w:val="28"/>
          <w:szCs w:val="28"/>
        </w:rPr>
        <w:instrText xml:space="preserve"> </w:instrText>
      </w:r>
      <w:r>
        <w:rPr>
          <w:b w:val="0"/>
          <w:bCs/>
          <w:sz w:val="28"/>
          <w:szCs w:val="28"/>
        </w:rPr>
        <w:instrText xml:space="preserve">HYPERLINK \l "_Toc27127624"</w:instrText>
      </w:r>
      <w:r>
        <w:rPr>
          <w:rStyle w:val="24"/>
          <w:b w:val="0"/>
          <w:bCs/>
          <w:sz w:val="28"/>
          <w:szCs w:val="28"/>
        </w:rPr>
        <w:instrText xml:space="preserve"> </w:instrText>
      </w:r>
      <w:r>
        <w:rPr>
          <w:rStyle w:val="24"/>
          <w:b w:val="0"/>
          <w:bCs/>
          <w:sz w:val="28"/>
          <w:szCs w:val="28"/>
        </w:rPr>
        <w:fldChar w:fldCharType="separate"/>
      </w:r>
      <w:r>
        <w:rPr>
          <w:rStyle w:val="24"/>
          <w:rFonts w:ascii="宋体" w:hAnsi="宋体"/>
          <w:b w:val="0"/>
          <w:bCs/>
          <w:sz w:val="28"/>
          <w:szCs w:val="28"/>
        </w:rPr>
        <w:t>5.3 外购（投标单位根据外购设备情况扩展本表格）</w:t>
      </w:r>
      <w:r>
        <w:rPr>
          <w:b w:val="0"/>
          <w:bCs/>
          <w:sz w:val="28"/>
          <w:szCs w:val="28"/>
        </w:rPr>
        <w:tab/>
      </w:r>
      <w:r>
        <w:rPr>
          <w:b w:val="0"/>
          <w:bCs/>
          <w:sz w:val="28"/>
          <w:szCs w:val="28"/>
        </w:rPr>
        <w:fldChar w:fldCharType="begin"/>
      </w:r>
      <w:r>
        <w:rPr>
          <w:b w:val="0"/>
          <w:bCs/>
          <w:sz w:val="28"/>
          <w:szCs w:val="28"/>
        </w:rPr>
        <w:instrText xml:space="preserve"> PAGEREF _Toc27127624 \h </w:instrText>
      </w:r>
      <w:r>
        <w:rPr>
          <w:b w:val="0"/>
          <w:bCs/>
          <w:sz w:val="28"/>
          <w:szCs w:val="28"/>
        </w:rPr>
        <w:fldChar w:fldCharType="separate"/>
      </w:r>
      <w:r>
        <w:rPr>
          <w:b w:val="0"/>
          <w:bCs/>
          <w:sz w:val="28"/>
          <w:szCs w:val="28"/>
        </w:rPr>
        <w:t>30</w:t>
      </w:r>
      <w:r>
        <w:rPr>
          <w:b w:val="0"/>
          <w:bCs/>
          <w:sz w:val="28"/>
          <w:szCs w:val="28"/>
        </w:rPr>
        <w:fldChar w:fldCharType="end"/>
      </w:r>
      <w:r>
        <w:rPr>
          <w:rStyle w:val="24"/>
          <w:b w:val="0"/>
          <w:bCs/>
          <w:sz w:val="28"/>
          <w:szCs w:val="28"/>
        </w:rPr>
        <w:fldChar w:fldCharType="end"/>
      </w:r>
    </w:p>
    <w:p>
      <w:pPr>
        <w:pStyle w:val="16"/>
        <w:tabs>
          <w:tab w:val="left" w:pos="275"/>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"_Toc27127625"</w:instrText>
      </w:r>
      <w:r>
        <w:rPr>
          <w:rStyle w:val="24"/>
          <w:b w:val="0"/>
          <w:szCs w:val="28"/>
        </w:rPr>
        <w:instrText xml:space="preserve"> </w:instrText>
      </w:r>
      <w:r>
        <w:rPr>
          <w:rStyle w:val="24"/>
          <w:b w:val="0"/>
          <w:szCs w:val="28"/>
        </w:rPr>
        <w:fldChar w:fldCharType="separate"/>
      </w:r>
      <w:r>
        <w:rPr>
          <w:rStyle w:val="24"/>
          <w:b w:val="0"/>
          <w:iCs/>
          <w:kern w:val="36"/>
          <w:szCs w:val="28"/>
          <w:lang w:eastAsia="ar-SA"/>
        </w:rPr>
        <w:t>6.</w:t>
      </w:r>
      <w:r>
        <w:rPr>
          <w:rFonts w:ascii="等线" w:hAnsi="等线" w:eastAsia="等线"/>
          <w:b w:val="0"/>
          <w:caps w:val="0"/>
          <w:szCs w:val="28"/>
          <w:lang w:val="en-US" w:eastAsia="zh-CN"/>
        </w:rPr>
        <w:tab/>
      </w:r>
      <w:r>
        <w:rPr>
          <w:rStyle w:val="24"/>
          <w:b w:val="0"/>
          <w:iCs/>
          <w:kern w:val="36"/>
          <w:szCs w:val="28"/>
          <w:lang w:eastAsia="ar-SA"/>
        </w:rPr>
        <w:t>质量保证和验收试验要求</w:t>
      </w:r>
      <w:r>
        <w:rPr>
          <w:b w:val="0"/>
          <w:szCs w:val="28"/>
        </w:rPr>
        <w:tab/>
      </w:r>
      <w:r>
        <w:rPr>
          <w:b w:val="0"/>
          <w:szCs w:val="28"/>
        </w:rPr>
        <w:fldChar w:fldCharType="begin"/>
      </w:r>
      <w:r>
        <w:rPr>
          <w:b w:val="0"/>
          <w:szCs w:val="28"/>
        </w:rPr>
        <w:instrText xml:space="preserve"> PAGEREF _Toc27127625 \h </w:instrText>
      </w:r>
      <w:r>
        <w:rPr>
          <w:b w:val="0"/>
          <w:szCs w:val="28"/>
        </w:rPr>
        <w:fldChar w:fldCharType="separate"/>
      </w:r>
      <w:r>
        <w:rPr>
          <w:b w:val="0"/>
          <w:szCs w:val="28"/>
        </w:rPr>
        <w:t>31</w:t>
      </w:r>
      <w:r>
        <w:rPr>
          <w:b w:val="0"/>
          <w:szCs w:val="28"/>
        </w:rPr>
        <w:fldChar w:fldCharType="end"/>
      </w:r>
      <w:r>
        <w:rPr>
          <w:rStyle w:val="24"/>
          <w:b w:val="0"/>
          <w:szCs w:val="28"/>
        </w:rPr>
        <w:fldChar w:fldCharType="end"/>
      </w:r>
    </w:p>
    <w:p>
      <w:pPr>
        <w:pStyle w:val="16"/>
        <w:tabs>
          <w:tab w:val="left" w:pos="275"/>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"_Toc27127628"</w:instrText>
      </w:r>
      <w:r>
        <w:rPr>
          <w:rStyle w:val="24"/>
          <w:b w:val="0"/>
          <w:szCs w:val="28"/>
        </w:rPr>
        <w:instrText xml:space="preserve"> </w:instrText>
      </w:r>
      <w:r>
        <w:rPr>
          <w:rStyle w:val="24"/>
          <w:b w:val="0"/>
          <w:szCs w:val="28"/>
        </w:rPr>
        <w:fldChar w:fldCharType="separate"/>
      </w:r>
      <w:r>
        <w:rPr>
          <w:rStyle w:val="24"/>
          <w:b w:val="0"/>
          <w:iCs/>
          <w:kern w:val="36"/>
          <w:szCs w:val="28"/>
          <w:lang w:eastAsia="ar-SA"/>
        </w:rPr>
        <w:t>7.</w:t>
      </w:r>
      <w:r>
        <w:rPr>
          <w:rFonts w:ascii="等线" w:hAnsi="等线" w:eastAsia="等线"/>
          <w:b w:val="0"/>
          <w:caps w:val="0"/>
          <w:szCs w:val="28"/>
          <w:lang w:val="en-US" w:eastAsia="zh-CN"/>
        </w:rPr>
        <w:tab/>
      </w:r>
      <w:r>
        <w:rPr>
          <w:rStyle w:val="24"/>
          <w:b w:val="0"/>
          <w:iCs/>
          <w:kern w:val="36"/>
          <w:szCs w:val="28"/>
          <w:lang w:eastAsia="ar-SA"/>
        </w:rPr>
        <w:t>技术服务</w:t>
      </w:r>
      <w:r>
        <w:rPr>
          <w:b w:val="0"/>
          <w:szCs w:val="28"/>
        </w:rPr>
        <w:tab/>
      </w:r>
      <w:r>
        <w:rPr>
          <w:b w:val="0"/>
          <w:szCs w:val="28"/>
        </w:rPr>
        <w:fldChar w:fldCharType="begin"/>
      </w:r>
      <w:r>
        <w:rPr>
          <w:b w:val="0"/>
          <w:szCs w:val="28"/>
        </w:rPr>
        <w:instrText xml:space="preserve"> PAGEREF _Toc27127628 \h </w:instrText>
      </w:r>
      <w:r>
        <w:rPr>
          <w:b w:val="0"/>
          <w:szCs w:val="28"/>
        </w:rPr>
        <w:fldChar w:fldCharType="separate"/>
      </w:r>
      <w:r>
        <w:rPr>
          <w:b w:val="0"/>
          <w:szCs w:val="28"/>
        </w:rPr>
        <w:t>33</w:t>
      </w:r>
      <w:r>
        <w:rPr>
          <w:b w:val="0"/>
          <w:szCs w:val="28"/>
        </w:rPr>
        <w:fldChar w:fldCharType="end"/>
      </w:r>
      <w:r>
        <w:rPr>
          <w:rStyle w:val="24"/>
          <w:b w:val="0"/>
          <w:szCs w:val="28"/>
        </w:rPr>
        <w:fldChar w:fldCharType="end"/>
      </w:r>
    </w:p>
    <w:p>
      <w:pPr>
        <w:pStyle w:val="16"/>
        <w:tabs>
          <w:tab w:val="left" w:pos="275"/>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"_Toc27127633"</w:instrText>
      </w:r>
      <w:r>
        <w:rPr>
          <w:rStyle w:val="24"/>
          <w:b w:val="0"/>
          <w:szCs w:val="28"/>
        </w:rPr>
        <w:instrText xml:space="preserve"> </w:instrText>
      </w:r>
      <w:r>
        <w:rPr>
          <w:rStyle w:val="24"/>
          <w:b w:val="0"/>
          <w:szCs w:val="28"/>
        </w:rPr>
        <w:fldChar w:fldCharType="separate"/>
      </w:r>
      <w:r>
        <w:rPr>
          <w:rStyle w:val="24"/>
          <w:b w:val="0"/>
          <w:iCs/>
          <w:kern w:val="36"/>
          <w:szCs w:val="28"/>
          <w:lang w:eastAsia="ar-SA"/>
        </w:rPr>
        <w:t>8.</w:t>
      </w:r>
      <w:r>
        <w:rPr>
          <w:rFonts w:ascii="等线" w:hAnsi="等线" w:eastAsia="等线"/>
          <w:b w:val="0"/>
          <w:caps w:val="0"/>
          <w:szCs w:val="28"/>
          <w:lang w:val="en-US" w:eastAsia="zh-CN"/>
        </w:rPr>
        <w:tab/>
      </w:r>
      <w:r>
        <w:rPr>
          <w:rStyle w:val="24"/>
          <w:b w:val="0"/>
          <w:iCs/>
          <w:kern w:val="36"/>
          <w:szCs w:val="28"/>
          <w:lang w:eastAsia="ar-SA"/>
        </w:rPr>
        <w:t>工作安排</w:t>
      </w:r>
      <w:r>
        <w:rPr>
          <w:b w:val="0"/>
          <w:szCs w:val="28"/>
        </w:rPr>
        <w:tab/>
      </w:r>
      <w:r>
        <w:rPr>
          <w:b w:val="0"/>
          <w:szCs w:val="28"/>
        </w:rPr>
        <w:fldChar w:fldCharType="begin"/>
      </w:r>
      <w:r>
        <w:rPr>
          <w:b w:val="0"/>
          <w:szCs w:val="28"/>
        </w:rPr>
        <w:instrText xml:space="preserve"> PAGEREF _Toc27127633 \h </w:instrText>
      </w:r>
      <w:r>
        <w:rPr>
          <w:b w:val="0"/>
          <w:szCs w:val="28"/>
        </w:rPr>
        <w:fldChar w:fldCharType="separate"/>
      </w:r>
      <w:r>
        <w:rPr>
          <w:b w:val="0"/>
          <w:szCs w:val="28"/>
        </w:rPr>
        <w:t>34</w:t>
      </w:r>
      <w:r>
        <w:rPr>
          <w:b w:val="0"/>
          <w:szCs w:val="28"/>
        </w:rPr>
        <w:fldChar w:fldCharType="end"/>
      </w:r>
      <w:r>
        <w:rPr>
          <w:rStyle w:val="24"/>
          <w:b w:val="0"/>
          <w:szCs w:val="28"/>
        </w:rPr>
        <w:fldChar w:fldCharType="end"/>
      </w:r>
    </w:p>
    <w:p>
      <w:pPr>
        <w:pStyle w:val="16"/>
        <w:tabs>
          <w:tab w:val="left" w:pos="275"/>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"_Toc27127634"</w:instrText>
      </w:r>
      <w:r>
        <w:rPr>
          <w:rStyle w:val="24"/>
          <w:b w:val="0"/>
          <w:szCs w:val="28"/>
        </w:rPr>
        <w:instrText xml:space="preserve"> </w:instrText>
      </w:r>
      <w:r>
        <w:rPr>
          <w:rStyle w:val="24"/>
          <w:b w:val="0"/>
          <w:szCs w:val="28"/>
        </w:rPr>
        <w:fldChar w:fldCharType="separate"/>
      </w:r>
      <w:r>
        <w:rPr>
          <w:rStyle w:val="24"/>
          <w:b w:val="0"/>
          <w:iCs/>
          <w:kern w:val="36"/>
          <w:szCs w:val="28"/>
          <w:lang w:eastAsia="ar-SA"/>
        </w:rPr>
        <w:t>9.</w:t>
      </w:r>
      <w:r>
        <w:rPr>
          <w:rFonts w:ascii="等线" w:hAnsi="等线" w:eastAsia="等线"/>
          <w:b w:val="0"/>
          <w:caps w:val="0"/>
          <w:szCs w:val="28"/>
          <w:lang w:val="en-US" w:eastAsia="zh-CN"/>
        </w:rPr>
        <w:tab/>
      </w:r>
      <w:r>
        <w:rPr>
          <w:rStyle w:val="24"/>
          <w:b w:val="0"/>
          <w:iCs/>
          <w:kern w:val="36"/>
          <w:szCs w:val="28"/>
          <w:lang w:eastAsia="ar-SA"/>
        </w:rPr>
        <w:t>质量保证</w:t>
      </w:r>
      <w:r>
        <w:rPr>
          <w:b w:val="0"/>
          <w:szCs w:val="28"/>
        </w:rPr>
        <w:tab/>
      </w:r>
      <w:r>
        <w:rPr>
          <w:b w:val="0"/>
          <w:szCs w:val="28"/>
        </w:rPr>
        <w:fldChar w:fldCharType="begin"/>
      </w:r>
      <w:r>
        <w:rPr>
          <w:b w:val="0"/>
          <w:szCs w:val="28"/>
        </w:rPr>
        <w:instrText xml:space="preserve"> PAGEREF _Toc27127634 \h </w:instrText>
      </w:r>
      <w:r>
        <w:rPr>
          <w:b w:val="0"/>
          <w:szCs w:val="28"/>
        </w:rPr>
        <w:fldChar w:fldCharType="separate"/>
      </w:r>
      <w:r>
        <w:rPr>
          <w:b w:val="0"/>
          <w:szCs w:val="28"/>
        </w:rPr>
        <w:t>34</w:t>
      </w:r>
      <w:r>
        <w:rPr>
          <w:b w:val="0"/>
          <w:szCs w:val="28"/>
        </w:rPr>
        <w:fldChar w:fldCharType="end"/>
      </w:r>
      <w:r>
        <w:rPr>
          <w:rStyle w:val="24"/>
          <w:b w:val="0"/>
          <w:szCs w:val="28"/>
        </w:rPr>
        <w:fldChar w:fldCharType="end"/>
      </w:r>
    </w:p>
    <w:p>
      <w:pPr>
        <w:pStyle w:val="16"/>
        <w:tabs>
          <w:tab w:val="right" w:leader="dot" w:pos="9120"/>
        </w:tabs>
        <w:spacing w:before="0" w:line="360" w:lineRule="auto"/>
        <w:rPr>
          <w:rFonts w:ascii="等线" w:hAnsi="等线" w:eastAsia="等线"/>
          <w:b w:val="0"/>
          <w:caps w:val="0"/>
          <w:szCs w:val="28"/>
          <w:lang w:val="en-US" w:eastAsia="zh-CN"/>
        </w:rPr>
      </w:pPr>
      <w:r>
        <w:rPr>
          <w:rStyle w:val="24"/>
          <w:b w:val="0"/>
          <w:szCs w:val="28"/>
        </w:rPr>
        <w:fldChar w:fldCharType="begin"/>
      </w:r>
      <w:r>
        <w:rPr>
          <w:rStyle w:val="24"/>
          <w:b w:val="0"/>
          <w:szCs w:val="28"/>
        </w:rPr>
        <w:instrText xml:space="preserve"> </w:instrText>
      </w:r>
      <w:r>
        <w:rPr>
          <w:b w:val="0"/>
          <w:szCs w:val="28"/>
        </w:rPr>
        <w:instrText xml:space="preserve">HYPERLINK \l "_Toc27127635"</w:instrText>
      </w:r>
      <w:r>
        <w:rPr>
          <w:rStyle w:val="24"/>
          <w:b w:val="0"/>
          <w:szCs w:val="28"/>
        </w:rPr>
        <w:instrText xml:space="preserve"> </w:instrText>
      </w:r>
      <w:r>
        <w:rPr>
          <w:rStyle w:val="24"/>
          <w:b w:val="0"/>
          <w:szCs w:val="28"/>
        </w:rPr>
        <w:fldChar w:fldCharType="separate"/>
      </w:r>
      <w:r>
        <w:rPr>
          <w:rStyle w:val="24"/>
          <w:b w:val="0"/>
          <w:iCs/>
          <w:kern w:val="36"/>
          <w:szCs w:val="28"/>
          <w:lang w:eastAsia="ar-SA"/>
        </w:rPr>
        <w:t>10.包装、运输和贮存</w:t>
      </w:r>
      <w:r>
        <w:rPr>
          <w:b w:val="0"/>
          <w:szCs w:val="28"/>
        </w:rPr>
        <w:tab/>
      </w:r>
      <w:r>
        <w:rPr>
          <w:b w:val="0"/>
          <w:szCs w:val="28"/>
        </w:rPr>
        <w:fldChar w:fldCharType="begin"/>
      </w:r>
      <w:r>
        <w:rPr>
          <w:b w:val="0"/>
          <w:szCs w:val="28"/>
        </w:rPr>
        <w:instrText xml:space="preserve"> PAGEREF _Toc27127635 \h </w:instrText>
      </w:r>
      <w:r>
        <w:rPr>
          <w:b w:val="0"/>
          <w:szCs w:val="28"/>
        </w:rPr>
        <w:fldChar w:fldCharType="separate"/>
      </w:r>
      <w:r>
        <w:rPr>
          <w:b w:val="0"/>
          <w:szCs w:val="28"/>
        </w:rPr>
        <w:t>34</w:t>
      </w:r>
      <w:r>
        <w:rPr>
          <w:b w:val="0"/>
          <w:szCs w:val="28"/>
        </w:rPr>
        <w:fldChar w:fldCharType="end"/>
      </w:r>
      <w:r>
        <w:rPr>
          <w:rStyle w:val="24"/>
          <w:b w:val="0"/>
          <w:szCs w:val="28"/>
        </w:rPr>
        <w:fldChar w:fldCharType="end"/>
      </w:r>
    </w:p>
    <w:p>
      <w:pPr>
        <w:snapToGrid w:val="0"/>
        <w:spacing w:line="360" w:lineRule="auto"/>
        <w:jc w:val="center"/>
        <w:rPr>
          <w:rFonts w:ascii="黑体" w:eastAsia="黑体"/>
          <w:b/>
          <w:snapToGrid w:val="0"/>
          <w:kern w:val="0"/>
          <w:sz w:val="52"/>
          <w:szCs w:val="20"/>
        </w:rPr>
        <w:sectPr>
          <w:pgSz w:w="11906" w:h="16838"/>
          <w:pgMar w:top="1418" w:right="1418" w:bottom="1418" w:left="1418" w:header="851" w:footer="851" w:gutter="0"/>
          <w:pgNumType w:start="1"/>
          <w:cols w:space="720" w:num="1"/>
          <w:docGrid w:linePitch="312" w:charSpace="0"/>
        </w:sectPr>
      </w:pPr>
      <w:r>
        <w:rPr>
          <w:rFonts w:ascii="黑体" w:eastAsia="黑体"/>
          <w:bCs/>
          <w:snapToGrid w:val="0"/>
          <w:kern w:val="0"/>
          <w:sz w:val="28"/>
          <w:szCs w:val="28"/>
        </w:rPr>
        <w:fldChar w:fldCharType="end"/>
      </w:r>
    </w:p>
    <w:bookmarkEnd w:id="334"/>
    <w:bookmarkEnd w:id="335"/>
    <w:bookmarkEnd w:id="336"/>
    <w:p>
      <w:pPr>
        <w:spacing w:line="360" w:lineRule="auto"/>
        <w:outlineLvl w:val="0"/>
        <w:rPr>
          <w:rFonts w:ascii="黑体" w:eastAsia="黑体"/>
          <w:kern w:val="28"/>
          <w:sz w:val="28"/>
          <w:szCs w:val="28"/>
        </w:rPr>
      </w:pPr>
      <w:bookmarkStart w:id="337" w:name="_Toc27127608"/>
      <w:bookmarkStart w:id="338" w:name="_Toc267665684"/>
      <w:bookmarkStart w:id="339" w:name="_Toc227982762"/>
      <w:bookmarkStart w:id="340" w:name="_Toc14667"/>
      <w:r>
        <w:rPr>
          <w:rFonts w:hint="eastAsia" w:ascii="黑体" w:eastAsia="黑体"/>
          <w:kern w:val="28"/>
          <w:sz w:val="28"/>
          <w:szCs w:val="28"/>
        </w:rPr>
        <w:t>供货需求表</w:t>
      </w:r>
      <w:bookmarkEnd w:id="337"/>
      <w:bookmarkEnd w:id="338"/>
      <w:bookmarkEnd w:id="339"/>
      <w:bookmarkEnd w:id="340"/>
    </w:p>
    <w:tbl>
      <w:tblPr>
        <w:tblStyle w:val="21"/>
        <w:tblW w:w="83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417"/>
        <w:gridCol w:w="3402"/>
        <w:gridCol w:w="567"/>
        <w:gridCol w:w="567"/>
        <w:gridCol w:w="19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857" w:hRule="atLeast"/>
          <w:jc w:val="center"/>
        </w:trPr>
        <w:tc>
          <w:tcPr>
            <w:tcW w:w="512" w:type="dxa"/>
            <w:vAlign w:val="center"/>
          </w:tcPr>
          <w:p>
            <w:pPr>
              <w:snapToGrid w:val="0"/>
              <w:jc w:val="center"/>
              <w:rPr>
                <w:rFonts w:hint="eastAsia" w:ascii="宋体" w:hAnsi="宋体"/>
                <w:b/>
              </w:rPr>
            </w:pPr>
            <w:r>
              <w:rPr>
                <w:rFonts w:hint="eastAsia" w:ascii="宋体" w:hAnsi="宋体"/>
                <w:b/>
              </w:rPr>
              <w:t>序号</w:t>
            </w:r>
          </w:p>
        </w:tc>
        <w:tc>
          <w:tcPr>
            <w:tcW w:w="1417" w:type="dxa"/>
            <w:vAlign w:val="center"/>
          </w:tcPr>
          <w:p>
            <w:pPr>
              <w:snapToGrid w:val="0"/>
              <w:jc w:val="center"/>
              <w:rPr>
                <w:rFonts w:hint="eastAsia" w:ascii="宋体" w:hAnsi="宋体"/>
                <w:b/>
              </w:rPr>
            </w:pPr>
            <w:r>
              <w:rPr>
                <w:rFonts w:hint="eastAsia" w:ascii="宋体" w:hAnsi="宋体"/>
                <w:b/>
              </w:rPr>
              <w:t>名称</w:t>
            </w:r>
          </w:p>
        </w:tc>
        <w:tc>
          <w:tcPr>
            <w:tcW w:w="3402" w:type="dxa"/>
            <w:vAlign w:val="center"/>
          </w:tcPr>
          <w:p>
            <w:pPr>
              <w:snapToGrid w:val="0"/>
              <w:jc w:val="center"/>
              <w:rPr>
                <w:rFonts w:hint="eastAsia" w:ascii="宋体" w:hAnsi="宋体"/>
                <w:b/>
              </w:rPr>
            </w:pPr>
            <w:r>
              <w:rPr>
                <w:rFonts w:hint="eastAsia" w:ascii="宋体" w:hAnsi="宋体"/>
                <w:b/>
              </w:rPr>
              <w:t>规格型号</w:t>
            </w:r>
          </w:p>
        </w:tc>
        <w:tc>
          <w:tcPr>
            <w:tcW w:w="567" w:type="dxa"/>
            <w:vAlign w:val="center"/>
          </w:tcPr>
          <w:p>
            <w:pPr>
              <w:snapToGrid w:val="0"/>
              <w:jc w:val="center"/>
              <w:rPr>
                <w:rFonts w:hint="eastAsia" w:ascii="宋体" w:hAnsi="宋体"/>
                <w:b/>
              </w:rPr>
            </w:pPr>
            <w:r>
              <w:rPr>
                <w:rFonts w:hint="eastAsia" w:ascii="宋体" w:hAnsi="宋体"/>
                <w:b/>
              </w:rPr>
              <w:t>单位</w:t>
            </w:r>
          </w:p>
        </w:tc>
        <w:tc>
          <w:tcPr>
            <w:tcW w:w="567" w:type="dxa"/>
            <w:vAlign w:val="center"/>
          </w:tcPr>
          <w:p>
            <w:pPr>
              <w:snapToGrid w:val="0"/>
              <w:jc w:val="center"/>
              <w:rPr>
                <w:rFonts w:hint="eastAsia" w:ascii="宋体" w:hAnsi="宋体"/>
                <w:b/>
              </w:rPr>
            </w:pPr>
            <w:r>
              <w:rPr>
                <w:rFonts w:hint="eastAsia" w:ascii="宋体" w:hAnsi="宋体"/>
                <w:b/>
              </w:rPr>
              <w:t>数量</w:t>
            </w:r>
          </w:p>
        </w:tc>
        <w:tc>
          <w:tcPr>
            <w:tcW w:w="1927" w:type="dxa"/>
            <w:vAlign w:val="center"/>
          </w:tcPr>
          <w:p>
            <w:pPr>
              <w:snapToGrid w:val="0"/>
              <w:jc w:val="center"/>
              <w:rPr>
                <w:rFonts w:hint="eastAsia" w:ascii="宋体" w:hAnsi="宋体"/>
                <w:b/>
              </w:rPr>
            </w:pPr>
            <w:r>
              <w:rPr>
                <w:rFonts w:hint="eastAsia" w:ascii="宋体" w:hAnsi="宋体"/>
                <w:b/>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512" w:type="dxa"/>
            <w:vAlign w:val="center"/>
          </w:tcPr>
          <w:p>
            <w:pPr>
              <w:spacing w:line="360" w:lineRule="auto"/>
              <w:jc w:val="center"/>
              <w:rPr>
                <w:rFonts w:hint="eastAsia" w:ascii="宋体" w:hAnsi="宋体"/>
              </w:rPr>
            </w:pPr>
            <w:r>
              <w:rPr>
                <w:rFonts w:hint="eastAsia" w:ascii="宋体" w:hAnsi="宋体"/>
              </w:rPr>
              <w:t>1</w:t>
            </w:r>
          </w:p>
        </w:tc>
        <w:tc>
          <w:tcPr>
            <w:tcW w:w="1417" w:type="dxa"/>
            <w:vAlign w:val="center"/>
          </w:tcPr>
          <w:p>
            <w:pPr>
              <w:spacing w:line="360" w:lineRule="auto"/>
              <w:jc w:val="center"/>
              <w:rPr>
                <w:rFonts w:hint="eastAsia" w:ascii="宋体" w:hAnsi="宋体"/>
              </w:rPr>
            </w:pPr>
            <w:r>
              <w:rPr>
                <w:color w:val="000000"/>
              </w:rPr>
              <w:t>35kV动态无功补偿</w:t>
            </w:r>
            <w:r>
              <w:rPr>
                <w:rFonts w:hint="eastAsia"/>
                <w:color w:val="000000"/>
              </w:rPr>
              <w:t>成套</w:t>
            </w:r>
            <w:r>
              <w:rPr>
                <w:color w:val="000000"/>
              </w:rPr>
              <w:t>装置</w:t>
            </w:r>
          </w:p>
        </w:tc>
        <w:tc>
          <w:tcPr>
            <w:tcW w:w="3402" w:type="dxa"/>
            <w:vAlign w:val="center"/>
          </w:tcPr>
          <w:p>
            <w:pPr>
              <w:spacing w:line="360" w:lineRule="auto"/>
              <w:jc w:val="center"/>
              <w:rPr>
                <w:rFonts w:ascii="宋体" w:hAnsi="宋体"/>
              </w:rPr>
            </w:pPr>
            <w:r>
              <w:rPr>
                <w:color w:val="000000"/>
              </w:rPr>
              <w:t>SVG水冷型</w:t>
            </w:r>
            <w:r>
              <w:rPr>
                <w:rFonts w:hint="eastAsia" w:ascii="宋体" w:hAnsi="宋体"/>
              </w:rPr>
              <w:t>直挂式</w:t>
            </w:r>
          </w:p>
          <w:p>
            <w:pPr>
              <w:spacing w:line="360" w:lineRule="auto"/>
              <w:rPr>
                <w:rFonts w:hint="eastAsia" w:ascii="宋体" w:hAnsi="宋体"/>
              </w:rPr>
            </w:pPr>
            <w:r>
              <w:rPr>
                <w:rFonts w:hint="eastAsia" w:ascii="宋体" w:hAnsi="宋体"/>
              </w:rPr>
              <w:t>额定电压：37kV</w:t>
            </w:r>
          </w:p>
          <w:p>
            <w:pPr>
              <w:spacing w:line="360" w:lineRule="auto"/>
              <w:rPr>
                <w:rFonts w:hint="eastAsia" w:ascii="宋体" w:hAnsi="宋体"/>
              </w:rPr>
            </w:pPr>
            <w:r>
              <w:rPr>
                <w:rFonts w:hint="eastAsia" w:ascii="宋体" w:hAnsi="宋体"/>
              </w:rPr>
              <w:t>主要包括：</w:t>
            </w:r>
            <w:r>
              <w:rPr>
                <w:rFonts w:hint="eastAsia" w:ascii="宋体" w:hAnsi="宋体"/>
                <w:highlight w:val="red"/>
              </w:rPr>
              <w:t>±26MVar</w:t>
            </w:r>
            <w:r>
              <w:rPr>
                <w:rFonts w:ascii="宋体" w:hAnsi="宋体"/>
                <w:highlight w:val="red"/>
              </w:rPr>
              <w:t>SVG设备、</w:t>
            </w:r>
            <w:r>
              <w:rPr>
                <w:rFonts w:hint="eastAsia" w:ascii="宋体" w:hAnsi="宋体"/>
                <w:highlight w:val="red"/>
              </w:rPr>
              <w:t>21MVar</w:t>
            </w:r>
            <w:r>
              <w:rPr>
                <w:rFonts w:ascii="宋体" w:hAnsi="宋体"/>
              </w:rPr>
              <w:t>电容器组</w:t>
            </w:r>
            <w:r>
              <w:rPr>
                <w:rFonts w:hint="eastAsia" w:ascii="宋体" w:hAnsi="宋体"/>
              </w:rPr>
              <w:t>以及配套设备</w:t>
            </w:r>
          </w:p>
          <w:p>
            <w:pPr>
              <w:spacing w:line="360" w:lineRule="auto"/>
              <w:rPr>
                <w:rFonts w:hint="eastAsia" w:ascii="宋体" w:hAnsi="宋体"/>
              </w:rPr>
            </w:pPr>
            <w:r>
              <w:rPr>
                <w:rFonts w:hint="eastAsia" w:ascii="宋体" w:hAnsi="宋体"/>
              </w:rPr>
              <w:t>成套装置所有设备的保护和测控装置，防误锁具等</w:t>
            </w:r>
          </w:p>
          <w:p>
            <w:pPr>
              <w:spacing w:line="360" w:lineRule="auto"/>
              <w:rPr>
                <w:rFonts w:hint="eastAsia" w:ascii="宋体" w:hAnsi="宋体"/>
              </w:rPr>
            </w:pPr>
            <w:r>
              <w:rPr>
                <w:rFonts w:hint="eastAsia" w:ascii="宋体" w:hAnsi="宋体"/>
              </w:rPr>
              <w:t>成套装置实现补偿容量：要求</w:t>
            </w:r>
            <w:r>
              <w:rPr>
                <w:rFonts w:hint="eastAsia" w:ascii="宋体" w:hAnsi="宋体"/>
                <w:highlight w:val="red"/>
              </w:rPr>
              <w:t>在感性4.59MVar～容性46.85MV</w:t>
            </w:r>
            <w:r>
              <w:rPr>
                <w:rFonts w:ascii="宋体" w:hAnsi="宋体"/>
                <w:highlight w:val="red"/>
              </w:rPr>
              <w:t>ar</w:t>
            </w:r>
            <w:r>
              <w:rPr>
                <w:rFonts w:hint="eastAsia" w:ascii="宋体" w:hAnsi="宋体"/>
              </w:rPr>
              <w:t>范围内连续可调</w:t>
            </w:r>
          </w:p>
        </w:tc>
        <w:tc>
          <w:tcPr>
            <w:tcW w:w="567" w:type="dxa"/>
            <w:vAlign w:val="center"/>
          </w:tcPr>
          <w:p>
            <w:pPr>
              <w:spacing w:line="360" w:lineRule="auto"/>
              <w:jc w:val="center"/>
              <w:rPr>
                <w:rFonts w:hint="eastAsia" w:ascii="宋体" w:hAnsi="宋体"/>
              </w:rPr>
            </w:pPr>
            <w:r>
              <w:rPr>
                <w:rFonts w:hint="eastAsia" w:ascii="宋体" w:hAnsi="宋体"/>
              </w:rPr>
              <w:t>套</w:t>
            </w:r>
          </w:p>
        </w:tc>
        <w:tc>
          <w:tcPr>
            <w:tcW w:w="567" w:type="dxa"/>
            <w:vAlign w:val="center"/>
          </w:tcPr>
          <w:p>
            <w:pPr>
              <w:spacing w:line="360" w:lineRule="auto"/>
              <w:jc w:val="center"/>
              <w:rPr>
                <w:rFonts w:hint="eastAsia" w:ascii="宋体" w:hAnsi="宋体"/>
              </w:rPr>
            </w:pPr>
            <w:r>
              <w:rPr>
                <w:rFonts w:hint="eastAsia" w:ascii="宋体" w:hAnsi="宋体"/>
              </w:rPr>
              <w:t>2</w:t>
            </w:r>
          </w:p>
        </w:tc>
        <w:tc>
          <w:tcPr>
            <w:tcW w:w="1927" w:type="dxa"/>
            <w:vAlign w:val="center"/>
          </w:tcPr>
          <w:p>
            <w:pPr>
              <w:adjustRightInd w:val="0"/>
              <w:snapToGrid w:val="0"/>
              <w:spacing w:before="24" w:beforeLines="10" w:after="24" w:afterLines="10"/>
              <w:jc w:val="left"/>
              <w:rPr>
                <w:rFonts w:hint="eastAsia"/>
                <w:color w:val="000000"/>
              </w:rPr>
            </w:pPr>
            <w:r>
              <w:rPr>
                <w:color w:val="000000"/>
              </w:rPr>
              <w:t>SVG</w:t>
            </w:r>
            <w:r>
              <w:rPr>
                <w:rFonts w:hint="eastAsia"/>
                <w:color w:val="000000"/>
              </w:rPr>
              <w:t>设备含</w:t>
            </w:r>
            <w:r>
              <w:rPr>
                <w:color w:val="000000"/>
              </w:rPr>
              <w:t>启动装置、电抗器、SVG功率柜和水冷却系统等</w:t>
            </w:r>
            <w:r>
              <w:rPr>
                <w:rFonts w:hint="eastAsia"/>
                <w:color w:val="000000"/>
              </w:rPr>
              <w:t>，其中SVG启动柜、功率柜等柜体设备布置于集装箱内，SVG、电容器组、集装箱均户外布置。</w:t>
            </w:r>
          </w:p>
          <w:p>
            <w:pPr>
              <w:spacing w:line="360" w:lineRule="auto"/>
              <w:jc w:val="left"/>
              <w:rPr>
                <w:rFonts w:hint="eastAsia" w:ascii="宋体" w:hAnsi="宋体"/>
              </w:rPr>
            </w:pPr>
            <w:r>
              <w:t>按</w:t>
            </w:r>
            <w:r>
              <w:rPr>
                <w:rFonts w:hint="eastAsia"/>
              </w:rPr>
              <w:t>IV</w:t>
            </w:r>
            <w:r>
              <w:t>级污区</w:t>
            </w:r>
            <w:r>
              <w:rPr>
                <w:rFonts w:hint="eastAsia"/>
              </w:rPr>
              <w:t>设防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512" w:type="dxa"/>
            <w:vAlign w:val="center"/>
          </w:tcPr>
          <w:p>
            <w:pPr>
              <w:spacing w:line="360" w:lineRule="auto"/>
              <w:jc w:val="center"/>
              <w:rPr>
                <w:rFonts w:hint="eastAsia" w:ascii="宋体" w:hAnsi="宋体"/>
              </w:rPr>
            </w:pPr>
            <w:r>
              <w:rPr>
                <w:color w:val="000000"/>
              </w:rPr>
              <w:t>2</w:t>
            </w:r>
          </w:p>
        </w:tc>
        <w:tc>
          <w:tcPr>
            <w:tcW w:w="1417" w:type="dxa"/>
            <w:vAlign w:val="center"/>
          </w:tcPr>
          <w:p>
            <w:pPr>
              <w:spacing w:line="360" w:lineRule="auto"/>
              <w:rPr>
                <w:color w:val="000000"/>
              </w:rPr>
            </w:pPr>
            <w:r>
              <w:rPr>
                <w:color w:val="000000"/>
              </w:rPr>
              <w:t>成套装置内部连接电缆</w:t>
            </w:r>
          </w:p>
        </w:tc>
        <w:tc>
          <w:tcPr>
            <w:tcW w:w="3402" w:type="dxa"/>
            <w:vAlign w:val="center"/>
          </w:tcPr>
          <w:p>
            <w:pPr>
              <w:spacing w:line="360" w:lineRule="auto"/>
              <w:jc w:val="center"/>
              <w:rPr>
                <w:rFonts w:hint="eastAsia" w:ascii="宋体" w:hAnsi="宋体"/>
              </w:rPr>
            </w:pPr>
            <w:r>
              <w:rPr>
                <w:color w:val="000000"/>
              </w:rPr>
              <w:t>厂家配套</w:t>
            </w:r>
          </w:p>
        </w:tc>
        <w:tc>
          <w:tcPr>
            <w:tcW w:w="567" w:type="dxa"/>
            <w:vAlign w:val="center"/>
          </w:tcPr>
          <w:p>
            <w:pPr>
              <w:spacing w:line="360" w:lineRule="auto"/>
              <w:jc w:val="center"/>
              <w:rPr>
                <w:rFonts w:hint="eastAsia" w:ascii="宋体" w:hAnsi="宋体"/>
              </w:rPr>
            </w:pPr>
            <w:r>
              <w:rPr>
                <w:color w:val="000000"/>
              </w:rPr>
              <w:t>套</w:t>
            </w:r>
          </w:p>
        </w:tc>
        <w:tc>
          <w:tcPr>
            <w:tcW w:w="567" w:type="dxa"/>
            <w:vAlign w:val="center"/>
          </w:tcPr>
          <w:p>
            <w:pPr>
              <w:spacing w:line="360" w:lineRule="auto"/>
              <w:jc w:val="center"/>
              <w:rPr>
                <w:rFonts w:hint="eastAsia" w:ascii="宋体" w:hAnsi="宋体"/>
              </w:rPr>
            </w:pPr>
            <w:r>
              <w:rPr>
                <w:color w:val="000000"/>
              </w:rPr>
              <w:t>1</w:t>
            </w:r>
          </w:p>
        </w:tc>
        <w:tc>
          <w:tcPr>
            <w:tcW w:w="1927"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512" w:type="dxa"/>
            <w:vAlign w:val="center"/>
          </w:tcPr>
          <w:p>
            <w:pPr>
              <w:spacing w:line="360" w:lineRule="auto"/>
              <w:jc w:val="center"/>
              <w:rPr>
                <w:rFonts w:hint="eastAsia" w:ascii="宋体" w:hAnsi="宋体"/>
              </w:rPr>
            </w:pPr>
            <w:r>
              <w:rPr>
                <w:color w:val="000000"/>
              </w:rPr>
              <w:t>3</w:t>
            </w:r>
          </w:p>
        </w:tc>
        <w:tc>
          <w:tcPr>
            <w:tcW w:w="1417" w:type="dxa"/>
            <w:vAlign w:val="center"/>
          </w:tcPr>
          <w:p>
            <w:pPr>
              <w:spacing w:line="360" w:lineRule="auto"/>
              <w:jc w:val="center"/>
              <w:rPr>
                <w:color w:val="000000"/>
              </w:rPr>
            </w:pPr>
            <w:r>
              <w:rPr>
                <w:color w:val="000000"/>
              </w:rPr>
              <w:t>必要的备品备件</w:t>
            </w:r>
          </w:p>
        </w:tc>
        <w:tc>
          <w:tcPr>
            <w:tcW w:w="3402" w:type="dxa"/>
            <w:vAlign w:val="center"/>
          </w:tcPr>
          <w:p>
            <w:pPr>
              <w:spacing w:line="360" w:lineRule="auto"/>
              <w:jc w:val="center"/>
              <w:rPr>
                <w:rFonts w:hint="eastAsia" w:ascii="宋体" w:hAnsi="宋体"/>
              </w:rPr>
            </w:pPr>
            <w:r>
              <w:rPr>
                <w:color w:val="000000"/>
              </w:rPr>
              <w:t>厂家配套</w:t>
            </w:r>
          </w:p>
        </w:tc>
        <w:tc>
          <w:tcPr>
            <w:tcW w:w="567" w:type="dxa"/>
            <w:vAlign w:val="center"/>
          </w:tcPr>
          <w:p>
            <w:pPr>
              <w:spacing w:line="360" w:lineRule="auto"/>
              <w:jc w:val="center"/>
              <w:rPr>
                <w:rFonts w:hint="eastAsia" w:ascii="宋体" w:hAnsi="宋体"/>
              </w:rPr>
            </w:pPr>
            <w:r>
              <w:rPr>
                <w:color w:val="000000"/>
              </w:rPr>
              <w:t>套</w:t>
            </w:r>
          </w:p>
        </w:tc>
        <w:tc>
          <w:tcPr>
            <w:tcW w:w="567" w:type="dxa"/>
            <w:vAlign w:val="center"/>
          </w:tcPr>
          <w:p>
            <w:pPr>
              <w:spacing w:line="360" w:lineRule="auto"/>
              <w:jc w:val="center"/>
              <w:rPr>
                <w:rFonts w:hint="eastAsia" w:ascii="宋体" w:hAnsi="宋体"/>
              </w:rPr>
            </w:pPr>
            <w:r>
              <w:rPr>
                <w:color w:val="000000"/>
              </w:rPr>
              <w:t>1</w:t>
            </w:r>
          </w:p>
        </w:tc>
        <w:tc>
          <w:tcPr>
            <w:tcW w:w="1927" w:type="dxa"/>
            <w:vAlign w:val="center"/>
          </w:tcPr>
          <w:p>
            <w:pPr>
              <w:spacing w:line="360" w:lineRule="auto"/>
              <w:jc w:val="center"/>
            </w:pPr>
          </w:p>
        </w:tc>
      </w:tr>
    </w:tbl>
    <w:p>
      <w:pPr>
        <w:rPr>
          <w:rFonts w:hint="eastAsia" w:ascii="宋体" w:hAnsi="宋体"/>
          <w:b/>
          <w:color w:val="000000"/>
        </w:rPr>
      </w:pPr>
      <w:r>
        <w:rPr>
          <w:rFonts w:hint="eastAsia" w:ascii="宋体" w:hAnsi="宋体"/>
          <w:b/>
          <w:color w:val="000000"/>
        </w:rPr>
        <w:t>说明：</w:t>
      </w:r>
    </w:p>
    <w:p>
      <w:pPr>
        <w:spacing w:line="360" w:lineRule="auto"/>
        <w:rPr>
          <w:rFonts w:hint="eastAsia" w:ascii="宋体" w:hAnsi="宋体"/>
          <w:b/>
        </w:rPr>
      </w:pPr>
      <w:r>
        <w:rPr>
          <w:rFonts w:hint="eastAsia" w:ascii="宋体" w:hAnsi="宋体"/>
          <w:b/>
        </w:rPr>
        <w:t>1、每套成套装置，分别由一个</w:t>
      </w:r>
      <w:r>
        <w:rPr>
          <w:rFonts w:ascii="宋体" w:hAnsi="宋体"/>
          <w:b/>
        </w:rPr>
        <w:t>±</w:t>
      </w:r>
      <w:r>
        <w:rPr>
          <w:rFonts w:hint="eastAsia" w:ascii="宋体" w:hAnsi="宋体"/>
          <w:b/>
        </w:rPr>
        <w:t>26</w:t>
      </w:r>
      <w:r>
        <w:rPr>
          <w:rFonts w:ascii="宋体" w:hAnsi="宋体"/>
          <w:b/>
        </w:rPr>
        <w:t>M</w:t>
      </w:r>
      <w:r>
        <w:rPr>
          <w:rFonts w:hint="eastAsia" w:ascii="宋体" w:hAnsi="宋体"/>
          <w:b/>
        </w:rPr>
        <w:t>V</w:t>
      </w:r>
      <w:r>
        <w:rPr>
          <w:rFonts w:ascii="宋体" w:hAnsi="宋体"/>
          <w:b/>
        </w:rPr>
        <w:t>ar</w:t>
      </w:r>
      <w:r>
        <w:rPr>
          <w:rFonts w:hint="eastAsia" w:ascii="宋体" w:hAnsi="宋体"/>
          <w:b/>
        </w:rPr>
        <w:t xml:space="preserve"> SVG支路及一个基波补偿容量为</w:t>
      </w:r>
      <w:r>
        <w:rPr>
          <w:rFonts w:hint="eastAsia" w:ascii="宋体" w:hAnsi="宋体"/>
          <w:b/>
          <w:highlight w:val="red"/>
        </w:rPr>
        <w:t>21MVar</w:t>
      </w:r>
      <w:r>
        <w:rPr>
          <w:rFonts w:hint="eastAsia" w:ascii="宋体" w:hAnsi="宋体"/>
          <w:b/>
        </w:rPr>
        <w:t>的FC支路组成。</w:t>
      </w:r>
      <w:r>
        <w:rPr>
          <w:rFonts w:ascii="宋体" w:hAnsi="宋体"/>
          <w:b/>
        </w:rPr>
        <w:t>本工程</w:t>
      </w:r>
      <w:r>
        <w:rPr>
          <w:rFonts w:hint="eastAsia" w:ascii="宋体" w:hAnsi="宋体"/>
          <w:b/>
        </w:rPr>
        <w:t>电容器组投入运行后，不再进行投切操作，SVG输出范围不小于：</w:t>
      </w:r>
      <w:r>
        <w:rPr>
          <w:rFonts w:hint="eastAsia" w:ascii="宋体" w:hAnsi="宋体"/>
          <w:b/>
          <w:highlight w:val="red"/>
        </w:rPr>
        <w:t>感性4.59~46.85MVar容性</w:t>
      </w:r>
      <w:r>
        <w:rPr>
          <w:rFonts w:hint="eastAsia" w:ascii="宋体" w:hAnsi="宋体"/>
          <w:b/>
        </w:rPr>
        <w:t>。</w:t>
      </w:r>
    </w:p>
    <w:p>
      <w:pPr>
        <w:spacing w:line="360" w:lineRule="auto"/>
        <w:rPr>
          <w:rFonts w:hint="eastAsia" w:ascii="宋体" w:hAnsi="宋体"/>
          <w:b/>
        </w:rPr>
      </w:pPr>
      <w:r>
        <w:rPr>
          <w:rFonts w:hint="eastAsia" w:ascii="宋体" w:hAnsi="宋体"/>
          <w:b/>
        </w:rPr>
        <w:t>2、每套成套装置整体占地面积要求在满足电气及防火技术要求的基础上尽可能合理优化，占地尺寸为23.5mx14.5m。</w:t>
      </w:r>
      <w:r>
        <w:rPr>
          <w:rFonts w:hint="eastAsia" w:ascii="宋体" w:hAnsi="宋体"/>
          <w:b/>
          <w:highlight w:val="red"/>
        </w:rPr>
        <w:t>设备颜色建议采用RAL7035。</w:t>
      </w:r>
    </w:p>
    <w:p>
      <w:pPr>
        <w:spacing w:line="360" w:lineRule="auto"/>
        <w:rPr>
          <w:rFonts w:hint="eastAsia" w:ascii="宋体" w:hAnsi="宋体"/>
          <w:b/>
        </w:rPr>
      </w:pPr>
      <w:r>
        <w:rPr>
          <w:rFonts w:hint="eastAsia" w:ascii="宋体" w:hAnsi="宋体"/>
          <w:b/>
        </w:rPr>
        <w:t>3、光伏场内动态无功补偿装置应以光伏场高压母线电压作为控制目标并投入自动运行。全部投入自动运行，不允许电容器的投切。</w:t>
      </w:r>
    </w:p>
    <w:p>
      <w:pPr>
        <w:spacing w:line="360" w:lineRule="auto"/>
        <w:rPr>
          <w:rFonts w:hint="eastAsia"/>
          <w:b/>
        </w:rPr>
      </w:pPr>
      <w:r>
        <w:rPr>
          <w:rFonts w:hint="eastAsia"/>
          <w:b/>
        </w:rPr>
        <w:t>4、技术规范中的的参数（不仅限于上述参数）和要求均为在温度不超过40℃、海拔1000米及以下、污秽等级等于IV级时的参数和要求，投标方应根据本工程环境温度、海拔高度及污秽等级对各设备参数进行修正，保证设备在此环境温度、海拔高度、污秽等级下可靠稳定运行。</w:t>
      </w:r>
    </w:p>
    <w:p>
      <w:pPr>
        <w:spacing w:line="360" w:lineRule="auto"/>
        <w:rPr>
          <w:b/>
        </w:rPr>
      </w:pPr>
      <w:r>
        <w:rPr>
          <w:rFonts w:hint="eastAsia"/>
          <w:b/>
        </w:rPr>
        <w:t>5、本次招标设备的型式、数量、容量及其他主要参数均为暂定，招标方保留后期修改的权力。</w:t>
      </w:r>
    </w:p>
    <w:p>
      <w:pPr>
        <w:spacing w:line="360" w:lineRule="auto"/>
        <w:rPr>
          <w:rFonts w:hint="eastAsia" w:ascii="宋体" w:hAnsi="宋体"/>
          <w:b/>
        </w:rPr>
      </w:pPr>
      <w:r>
        <w:rPr>
          <w:rFonts w:ascii="宋体" w:hAnsi="宋体"/>
          <w:b/>
        </w:rPr>
        <w:br w:type="page"/>
      </w:r>
    </w:p>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341" w:name="_Toc20884"/>
      <w:bookmarkStart w:id="342" w:name="_Toc27127609"/>
      <w:r>
        <w:rPr>
          <w:rFonts w:hint="eastAsia"/>
          <w:iCs/>
          <w:kern w:val="36"/>
          <w:sz w:val="32"/>
          <w:szCs w:val="44"/>
          <w:lang w:eastAsia="ar-SA"/>
        </w:rPr>
        <w:t>总则</w:t>
      </w:r>
      <w:bookmarkEnd w:id="341"/>
      <w:bookmarkEnd w:id="342"/>
    </w:p>
    <w:p>
      <w:pPr>
        <w:numPr>
          <w:ilvl w:val="0"/>
          <w:numId w:val="7"/>
        </w:numPr>
        <w:spacing w:line="360" w:lineRule="auto"/>
        <w:rPr>
          <w:rFonts w:ascii="宋体" w:hAnsi="宋体"/>
          <w:color w:val="000000"/>
        </w:rPr>
      </w:pPr>
      <w:r>
        <w:rPr>
          <w:rFonts w:hint="eastAsia" w:ascii="宋体" w:hAnsi="宋体"/>
          <w:color w:val="000000"/>
        </w:rPr>
        <w:t>l  本技术规范书适用于</w:t>
      </w:r>
      <w:r>
        <w:rPr>
          <w:rFonts w:hint="eastAsia" w:ascii="宋体" w:hAnsi="宋体"/>
          <w:b/>
          <w:bCs/>
          <w:color w:val="000000"/>
          <w:highlight w:val="red"/>
        </w:rPr>
        <w:t>内丘县禹川新能源科技有限公司300MWp光伏发电项目</w:t>
      </w:r>
      <w:r>
        <w:rPr>
          <w:rFonts w:hint="eastAsia" w:ascii="宋体" w:hAnsi="宋体"/>
          <w:color w:val="000000"/>
        </w:rPr>
        <w:t>35kV动态无功补偿装置。它提出了成套装置本体及附属设备的功能设计、结构、性能、安装和试验等方面的技术要求。</w:t>
      </w:r>
    </w:p>
    <w:p>
      <w:pPr>
        <w:spacing w:line="360" w:lineRule="auto"/>
      </w:pPr>
      <w:r>
        <w:rPr>
          <w:rFonts w:hint="eastAsia" w:ascii="宋体" w:hAnsi="宋体"/>
          <w:color w:val="000000"/>
        </w:rPr>
        <w:t>1.2  本设备技术规范书提出的是最低限度的技术要求，并未对一切技术细节做出规定，也未充分引述有关标准和规范的条文，投标方应保证提供符合工业标准和本协议书要求并且功能完整、性能优良的优质产品及其相应服务。同时必须满足国家有关安全、环保等强制性标准和规范的要求。</w:t>
      </w:r>
    </w:p>
    <w:p>
      <w:pPr>
        <w:pStyle w:val="13"/>
        <w:spacing w:line="360" w:lineRule="auto"/>
        <w:rPr>
          <w:rFonts w:hAnsi="宋体"/>
          <w:color w:val="000000"/>
          <w:sz w:val="24"/>
          <w:szCs w:val="24"/>
        </w:rPr>
      </w:pPr>
      <w:r>
        <w:rPr>
          <w:rFonts w:hint="eastAsia" w:hAnsi="宋体"/>
          <w:color w:val="000000"/>
          <w:sz w:val="24"/>
          <w:szCs w:val="24"/>
        </w:rPr>
        <w:t xml:space="preserve">l.3  </w:t>
      </w:r>
      <w:r>
        <w:rPr>
          <w:rFonts w:hAnsi="宋体"/>
          <w:color w:val="000000"/>
          <w:sz w:val="24"/>
          <w:szCs w:val="24"/>
        </w:rPr>
        <w:t>投标方</w:t>
      </w:r>
      <w:r>
        <w:rPr>
          <w:rFonts w:hint="eastAsia" w:hAnsi="宋体"/>
          <w:color w:val="000000"/>
          <w:sz w:val="24"/>
          <w:szCs w:val="24"/>
        </w:rPr>
        <w:t>提供的主设备、附件、备品备件、外部油漆等材质必须满足本工程所处地理位置、环境条件的要求，如：高寒、风沙影响等。</w:t>
      </w:r>
    </w:p>
    <w:p>
      <w:pPr>
        <w:pStyle w:val="13"/>
        <w:spacing w:line="360" w:lineRule="auto"/>
        <w:rPr>
          <w:rFonts w:hAnsi="宋体"/>
          <w:color w:val="000000"/>
          <w:sz w:val="24"/>
          <w:szCs w:val="24"/>
        </w:rPr>
      </w:pPr>
      <w:r>
        <w:rPr>
          <w:rFonts w:hint="eastAsia" w:hAnsi="宋体"/>
          <w:color w:val="000000"/>
          <w:sz w:val="24"/>
          <w:szCs w:val="24"/>
        </w:rPr>
        <w:t>1.4  合同签订后按本协议书要求，</w:t>
      </w:r>
      <w:r>
        <w:rPr>
          <w:rFonts w:hAnsi="宋体"/>
          <w:color w:val="000000"/>
          <w:sz w:val="24"/>
          <w:szCs w:val="24"/>
        </w:rPr>
        <w:t>投标方</w:t>
      </w:r>
      <w:r>
        <w:rPr>
          <w:rFonts w:hint="eastAsia" w:hAnsi="宋体"/>
          <w:color w:val="000000"/>
          <w:sz w:val="24"/>
          <w:szCs w:val="24"/>
        </w:rPr>
        <w:t>提出合同设备的设计﹑制造﹑检验/试验﹑装配、安装﹑调试﹑试运﹑验收﹑试验﹑运行和维护等标准清单给招标方确认。</w:t>
      </w:r>
    </w:p>
    <w:p>
      <w:pPr>
        <w:pStyle w:val="13"/>
        <w:spacing w:line="360" w:lineRule="auto"/>
        <w:rPr>
          <w:rFonts w:hAnsi="宋体"/>
          <w:color w:val="000000"/>
          <w:sz w:val="24"/>
          <w:szCs w:val="24"/>
        </w:rPr>
      </w:pPr>
      <w:r>
        <w:rPr>
          <w:rFonts w:hint="eastAsia" w:hAnsi="宋体"/>
          <w:color w:val="000000"/>
          <w:sz w:val="24"/>
          <w:szCs w:val="24"/>
        </w:rPr>
        <w:t>1.5  本设备技术规范书所使用的标准如遇与投标方所执行的标准不一致时，按较高标准执行。</w:t>
      </w:r>
    </w:p>
    <w:p>
      <w:pPr>
        <w:pStyle w:val="13"/>
        <w:spacing w:line="360" w:lineRule="auto"/>
        <w:rPr>
          <w:rFonts w:hint="eastAsia" w:hAnsi="宋体"/>
          <w:color w:val="000000"/>
          <w:sz w:val="24"/>
          <w:szCs w:val="24"/>
        </w:rPr>
      </w:pPr>
      <w:r>
        <w:rPr>
          <w:rFonts w:hint="eastAsia" w:hAnsi="宋体"/>
          <w:color w:val="000000"/>
          <w:sz w:val="24"/>
          <w:szCs w:val="24"/>
        </w:rPr>
        <w:t>1.6  本设备技术规范书未尽事宜，由招标方、投标方共同协商确定。</w:t>
      </w:r>
    </w:p>
    <w:p>
      <w:pPr>
        <w:pStyle w:val="13"/>
        <w:spacing w:line="360" w:lineRule="auto"/>
        <w:rPr>
          <w:rFonts w:hint="eastAsia" w:hAnsi="宋体"/>
          <w:color w:val="000000"/>
          <w:sz w:val="24"/>
          <w:szCs w:val="24"/>
        </w:rPr>
      </w:pPr>
      <w:r>
        <w:rPr>
          <w:rFonts w:hint="eastAsia" w:hAnsi="宋体"/>
          <w:color w:val="000000"/>
          <w:sz w:val="24"/>
          <w:szCs w:val="24"/>
        </w:rPr>
        <w:t>1.7  投标方所采用的关键元器件（</w:t>
      </w:r>
      <w:r>
        <w:rPr>
          <w:rFonts w:hAnsi="宋体"/>
          <w:color w:val="000000"/>
          <w:sz w:val="24"/>
          <w:szCs w:val="24"/>
        </w:rPr>
        <w:t>IGBT</w:t>
      </w:r>
      <w:r>
        <w:rPr>
          <w:rFonts w:hint="eastAsia" w:hAnsi="宋体"/>
          <w:color w:val="000000"/>
          <w:sz w:val="24"/>
          <w:szCs w:val="24"/>
        </w:rPr>
        <w:t>功率单元、控制单元、冷却风机等）均采用国际先进技术和先进工艺所制造的进口国际知名品牌的成熟优质产品，近3年在同一母线上多套</w:t>
      </w:r>
      <w:r>
        <w:rPr>
          <w:rFonts w:hAnsi="宋体"/>
          <w:color w:val="000000"/>
          <w:sz w:val="24"/>
          <w:szCs w:val="24"/>
        </w:rPr>
        <w:t>SVG</w:t>
      </w:r>
      <w:r>
        <w:rPr>
          <w:rFonts w:hint="eastAsia" w:hAnsi="宋体"/>
          <w:color w:val="000000"/>
          <w:sz w:val="24"/>
          <w:szCs w:val="24"/>
        </w:rPr>
        <w:t>并联运行项目业绩不少于</w:t>
      </w:r>
      <w:r>
        <w:rPr>
          <w:rFonts w:hAnsi="宋体"/>
          <w:color w:val="000000"/>
          <w:sz w:val="24"/>
          <w:szCs w:val="24"/>
        </w:rPr>
        <w:t>3</w:t>
      </w:r>
      <w:r>
        <w:rPr>
          <w:rFonts w:hint="eastAsia" w:hAnsi="宋体"/>
          <w:color w:val="000000"/>
          <w:sz w:val="24"/>
          <w:szCs w:val="24"/>
        </w:rPr>
        <w:t>个，且这些项目成功运行经验不少于</w:t>
      </w:r>
      <w:r>
        <w:rPr>
          <w:rFonts w:hAnsi="宋体"/>
          <w:color w:val="000000"/>
          <w:sz w:val="24"/>
          <w:szCs w:val="24"/>
        </w:rPr>
        <w:t>1</w:t>
      </w:r>
      <w:r>
        <w:rPr>
          <w:rFonts w:hint="eastAsia" w:hAnsi="宋体"/>
          <w:color w:val="000000"/>
          <w:sz w:val="24"/>
          <w:szCs w:val="24"/>
        </w:rPr>
        <w:t>年。</w:t>
      </w:r>
    </w:p>
    <w:p>
      <w:pPr>
        <w:pStyle w:val="13"/>
        <w:spacing w:line="360" w:lineRule="auto"/>
        <w:rPr>
          <w:rFonts w:hAnsi="宋体"/>
          <w:color w:val="000000"/>
          <w:sz w:val="24"/>
          <w:szCs w:val="24"/>
        </w:rPr>
      </w:pPr>
      <w:r>
        <w:rPr>
          <w:rFonts w:hint="eastAsia" w:hAnsi="宋体"/>
          <w:color w:val="000000"/>
          <w:sz w:val="24"/>
          <w:szCs w:val="24"/>
        </w:rPr>
        <w:t xml:space="preserve">1.8  </w:t>
      </w:r>
      <w:r>
        <w:rPr>
          <w:rFonts w:hAnsi="宋体"/>
          <w:color w:val="000000"/>
          <w:sz w:val="24"/>
          <w:szCs w:val="24"/>
        </w:rPr>
        <w:t>投标方</w:t>
      </w:r>
      <w:r>
        <w:rPr>
          <w:rFonts w:hint="eastAsia" w:hAnsi="宋体"/>
          <w:color w:val="000000"/>
          <w:sz w:val="24"/>
          <w:szCs w:val="24"/>
        </w:rPr>
        <w:t>应具有5年以上设计、制造同类设备的历史并有十套三年以上良好的运行实践证明是成熟可靠的产品，且在安装调试运行中未发现重大的设备质量问题。</w:t>
      </w:r>
    </w:p>
    <w:p>
      <w:pPr>
        <w:pStyle w:val="13"/>
        <w:spacing w:line="360" w:lineRule="auto"/>
        <w:rPr>
          <w:rFonts w:hAnsi="宋体"/>
          <w:color w:val="000000"/>
          <w:sz w:val="24"/>
          <w:szCs w:val="24"/>
        </w:rPr>
      </w:pPr>
      <w:r>
        <w:rPr>
          <w:rFonts w:hint="eastAsia" w:hAnsi="宋体"/>
          <w:color w:val="000000"/>
          <w:sz w:val="24"/>
          <w:szCs w:val="24"/>
        </w:rPr>
        <w:t>1.9  本设备技术规范书经双方确认后作为订货合同的技术附件，与合同正文具有同等的法律效力。</w:t>
      </w:r>
    </w:p>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343" w:name="_Toc26520"/>
      <w:bookmarkStart w:id="344" w:name="_Toc27127610"/>
      <w:r>
        <w:rPr>
          <w:rFonts w:hint="eastAsia"/>
          <w:iCs/>
          <w:kern w:val="36"/>
          <w:sz w:val="32"/>
          <w:szCs w:val="44"/>
          <w:lang w:eastAsia="ar-SA"/>
        </w:rPr>
        <w:t>技术要求</w:t>
      </w:r>
      <w:bookmarkEnd w:id="343"/>
      <w:bookmarkEnd w:id="344"/>
    </w:p>
    <w:p>
      <w:pPr>
        <w:pStyle w:val="3"/>
        <w:keepNext/>
        <w:keepLines/>
        <w:numPr>
          <w:ilvl w:val="0"/>
          <w:numId w:val="0"/>
        </w:numPr>
        <w:spacing w:beforeLines="0" w:afterLines="0" w:line="360" w:lineRule="auto"/>
        <w:rPr>
          <w:rFonts w:ascii="宋体" w:hAnsi="宋体"/>
          <w:color w:val="auto"/>
          <w:sz w:val="24"/>
          <w:szCs w:val="20"/>
        </w:rPr>
      </w:pPr>
      <w:bookmarkStart w:id="345" w:name="_Toc23649"/>
      <w:bookmarkStart w:id="346" w:name="_Toc27127611"/>
      <w:r>
        <w:rPr>
          <w:rFonts w:hint="eastAsia" w:ascii="宋体" w:hAnsi="宋体"/>
          <w:color w:val="auto"/>
          <w:sz w:val="24"/>
          <w:szCs w:val="20"/>
        </w:rPr>
        <w:t>2.l 遵循的主要现行标准</w:t>
      </w:r>
      <w:bookmarkEnd w:id="345"/>
      <w:bookmarkEnd w:id="346"/>
    </w:p>
    <w:p>
      <w:pPr>
        <w:adjustRightInd w:val="0"/>
        <w:snapToGrid w:val="0"/>
        <w:spacing w:line="360" w:lineRule="auto"/>
        <w:ind w:firstLine="420" w:firstLineChars="200"/>
        <w:rPr>
          <w:rFonts w:ascii="宋体" w:hAnsi="宋体"/>
        </w:rPr>
      </w:pPr>
      <w:r>
        <w:rPr>
          <w:rFonts w:hint="eastAsia" w:ascii="宋体" w:hAnsi="宋体"/>
        </w:rPr>
        <w:t>设备的制造、试验和验收除了满足本技术规范书的要求外，还应符合下列国家标准或相应的</w:t>
      </w:r>
      <w:r>
        <w:rPr>
          <w:rFonts w:ascii="宋体" w:hAnsi="宋体"/>
        </w:rPr>
        <w:t>IEC</w:t>
      </w:r>
      <w:r>
        <w:rPr>
          <w:rFonts w:hint="eastAsia" w:ascii="宋体" w:hAnsi="宋体"/>
        </w:rPr>
        <w:t>标准：</w:t>
      </w:r>
    </w:p>
    <w:p>
      <w:pPr>
        <w:snapToGrid w:val="0"/>
        <w:spacing w:line="400" w:lineRule="exact"/>
        <w:ind w:left="420" w:leftChars="178" w:hanging="46" w:hangingChars="22"/>
        <w:jc w:val="left"/>
        <w:rPr>
          <w:rFonts w:hint="eastAsia"/>
          <w:color w:val="000000"/>
        </w:rPr>
      </w:pPr>
      <w:r>
        <w:rPr>
          <w:rFonts w:hint="eastAsia"/>
          <w:color w:val="000000"/>
        </w:rPr>
        <w:t>GB 50227         《并联电容器装置设计规范》</w:t>
      </w:r>
    </w:p>
    <w:p>
      <w:pPr>
        <w:spacing w:line="400" w:lineRule="exact"/>
        <w:ind w:left="420" w:leftChars="178" w:hanging="46" w:hangingChars="22"/>
        <w:rPr>
          <w:rFonts w:hint="eastAsia" w:ascii="宋体" w:hAnsi="宋体"/>
          <w:color w:val="000000"/>
        </w:rPr>
      </w:pPr>
      <w:r>
        <w:rPr>
          <w:rFonts w:hint="eastAsia" w:ascii="宋体" w:hAnsi="宋体"/>
          <w:color w:val="000000"/>
        </w:rPr>
        <w:t>DL/T672          《变电所电压无功调节控制装置订货技术条件》</w:t>
      </w:r>
    </w:p>
    <w:p>
      <w:pPr>
        <w:spacing w:line="400" w:lineRule="exact"/>
        <w:ind w:left="420" w:leftChars="178" w:hanging="46" w:hangingChars="22"/>
        <w:rPr>
          <w:rFonts w:hint="eastAsia" w:ascii="宋体" w:hAnsi="宋体"/>
          <w:color w:val="000000"/>
        </w:rPr>
      </w:pPr>
      <w:r>
        <w:rPr>
          <w:rFonts w:hint="eastAsia" w:ascii="宋体" w:hAnsi="宋体"/>
          <w:color w:val="000000"/>
        </w:rPr>
        <w:t>SD 325           《电力系统电压和无功电力技术导则》</w:t>
      </w:r>
    </w:p>
    <w:p>
      <w:pPr>
        <w:spacing w:line="400" w:lineRule="exact"/>
        <w:ind w:left="420" w:leftChars="178" w:hanging="46" w:hangingChars="22"/>
        <w:rPr>
          <w:rFonts w:hint="eastAsia" w:ascii="宋体" w:hAnsi="宋体"/>
          <w:color w:val="000000"/>
        </w:rPr>
      </w:pPr>
      <w:r>
        <w:rPr>
          <w:rFonts w:hint="eastAsia" w:ascii="宋体" w:hAnsi="宋体"/>
          <w:color w:val="000000"/>
        </w:rPr>
        <w:t>JB 5346          《高压并联电容器用串联电抗器》</w:t>
      </w:r>
    </w:p>
    <w:p>
      <w:pPr>
        <w:spacing w:line="400" w:lineRule="exact"/>
        <w:ind w:left="420" w:leftChars="178" w:hanging="46" w:hangingChars="22"/>
        <w:rPr>
          <w:rFonts w:hint="eastAsia" w:ascii="宋体" w:hAnsi="宋体"/>
          <w:color w:val="000000"/>
        </w:rPr>
      </w:pPr>
      <w:r>
        <w:rPr>
          <w:rFonts w:hint="eastAsia" w:ascii="宋体" w:hAnsi="宋体"/>
          <w:color w:val="000000"/>
        </w:rPr>
        <w:t>DL/T 462         《高压并联电容器用串联电抗器订货技术条件》</w:t>
      </w:r>
    </w:p>
    <w:p>
      <w:pPr>
        <w:spacing w:line="400" w:lineRule="exact"/>
        <w:ind w:left="420" w:leftChars="178" w:hanging="46" w:hangingChars="22"/>
        <w:rPr>
          <w:rFonts w:hint="eastAsia" w:ascii="宋体" w:hAnsi="宋体"/>
          <w:color w:val="000000"/>
        </w:rPr>
      </w:pPr>
      <w:r>
        <w:rPr>
          <w:rFonts w:hint="eastAsia" w:ascii="宋体" w:hAnsi="宋体"/>
          <w:color w:val="000000"/>
        </w:rPr>
        <w:t xml:space="preserve">JB/T 8790   </w:t>
      </w:r>
      <w:r>
        <w:rPr>
          <w:rFonts w:hint="eastAsia" w:ascii="宋体" w:hAnsi="宋体"/>
          <w:color w:val="000000"/>
        </w:rPr>
        <w:tab/>
      </w:r>
      <w:r>
        <w:rPr>
          <w:rFonts w:hint="eastAsia" w:ascii="宋体" w:hAnsi="宋体"/>
          <w:color w:val="000000"/>
        </w:rPr>
        <w:t xml:space="preserve">   《高压并联电容器用放电线圈》</w:t>
      </w:r>
    </w:p>
    <w:p>
      <w:pPr>
        <w:spacing w:line="400" w:lineRule="exact"/>
        <w:ind w:left="420" w:leftChars="178" w:hanging="46" w:hangingChars="22"/>
        <w:rPr>
          <w:rFonts w:hint="eastAsia"/>
        </w:rPr>
      </w:pPr>
      <w:r>
        <w:rPr>
          <w:rFonts w:ascii="宋体" w:hAnsi="宋体"/>
          <w:color w:val="000000"/>
        </w:rPr>
        <w:t>GB 50064</w:t>
      </w:r>
      <w:r>
        <w:rPr>
          <w:rFonts w:hint="eastAsia" w:ascii="宋体" w:hAnsi="宋体"/>
          <w:color w:val="000000"/>
        </w:rPr>
        <w:t xml:space="preserve">     </w:t>
      </w:r>
      <w:r>
        <w:rPr>
          <w:rFonts w:hint="eastAsia"/>
        </w:rPr>
        <w:t xml:space="preserve">    </w:t>
      </w:r>
      <w:r>
        <w:t>《交流电气装置的过电压保护和绝缘配合》</w:t>
      </w:r>
    </w:p>
    <w:p>
      <w:pPr>
        <w:spacing w:line="400" w:lineRule="exact"/>
        <w:ind w:left="420" w:leftChars="178" w:hanging="46" w:hangingChars="22"/>
        <w:rPr>
          <w:rFonts w:hint="eastAsia" w:ascii="宋体" w:hAnsi="宋体"/>
          <w:color w:val="000000"/>
        </w:rPr>
      </w:pPr>
      <w:r>
        <w:rPr>
          <w:rFonts w:hint="eastAsia" w:ascii="宋体" w:hAnsi="宋体"/>
          <w:color w:val="000000"/>
        </w:rPr>
        <w:t>GB2900           《电工名词术语》</w:t>
      </w:r>
    </w:p>
    <w:p>
      <w:pPr>
        <w:spacing w:line="400" w:lineRule="exact"/>
        <w:ind w:left="420" w:leftChars="178" w:hanging="46" w:hangingChars="22"/>
        <w:rPr>
          <w:rFonts w:hint="eastAsia" w:ascii="宋体" w:hAnsi="宋体"/>
          <w:color w:val="000000"/>
        </w:rPr>
      </w:pPr>
      <w:r>
        <w:rPr>
          <w:rFonts w:hint="eastAsia" w:ascii="宋体" w:hAnsi="宋体"/>
          <w:color w:val="000000"/>
        </w:rPr>
        <w:t>GB775            《绝缘子试验方法》</w:t>
      </w:r>
    </w:p>
    <w:p>
      <w:pPr>
        <w:spacing w:line="400" w:lineRule="exact"/>
        <w:ind w:left="420" w:leftChars="178" w:hanging="46" w:hangingChars="22"/>
        <w:rPr>
          <w:rFonts w:hint="eastAsia" w:ascii="宋体" w:hAnsi="宋体"/>
          <w:color w:val="000000"/>
        </w:rPr>
      </w:pPr>
      <w:r>
        <w:rPr>
          <w:rFonts w:hint="eastAsia" w:ascii="宋体" w:hAnsi="宋体"/>
          <w:color w:val="000000"/>
        </w:rPr>
        <w:t>GB 1094.4        《电力变压器 第4部分：电力变压器和电抗器的雷电冲击和</w:t>
      </w:r>
    </w:p>
    <w:p>
      <w:pPr>
        <w:spacing w:line="400" w:lineRule="exact"/>
        <w:ind w:left="420" w:leftChars="178" w:hanging="46" w:hangingChars="22"/>
        <w:rPr>
          <w:rFonts w:hint="eastAsia" w:ascii="宋体" w:hAnsi="宋体"/>
          <w:color w:val="000000"/>
        </w:rPr>
      </w:pPr>
      <w:r>
        <w:rPr>
          <w:rFonts w:hint="eastAsia" w:ascii="宋体" w:hAnsi="宋体"/>
          <w:color w:val="000000"/>
        </w:rPr>
        <w:t>操作冲击试验导则》</w:t>
      </w:r>
    </w:p>
    <w:p>
      <w:pPr>
        <w:spacing w:line="400" w:lineRule="exact"/>
        <w:ind w:left="420" w:leftChars="178" w:hanging="46" w:hangingChars="22"/>
        <w:rPr>
          <w:rFonts w:hint="eastAsia" w:ascii="宋体" w:hAnsi="宋体"/>
          <w:color w:val="000000"/>
        </w:rPr>
      </w:pPr>
      <w:r>
        <w:rPr>
          <w:rFonts w:hint="eastAsia" w:ascii="宋体" w:hAnsi="宋体"/>
          <w:color w:val="000000"/>
        </w:rPr>
        <w:t>GB 1094.7        《电力变压器 第7部分：油浸式电力变压器负载导则》</w:t>
      </w:r>
    </w:p>
    <w:p>
      <w:pPr>
        <w:spacing w:line="400" w:lineRule="exact"/>
        <w:ind w:left="420" w:leftChars="178" w:hanging="46" w:hangingChars="22"/>
        <w:rPr>
          <w:rFonts w:hint="eastAsia" w:ascii="宋体" w:hAnsi="宋体"/>
          <w:color w:val="000000"/>
        </w:rPr>
      </w:pPr>
      <w:r>
        <w:rPr>
          <w:rFonts w:hint="eastAsia" w:ascii="宋体" w:hAnsi="宋体"/>
          <w:color w:val="000000"/>
        </w:rPr>
        <w:t>GB 1094.10       《电力变压器 第10部分: 声级测定》</w:t>
      </w:r>
    </w:p>
    <w:p>
      <w:pPr>
        <w:spacing w:line="400" w:lineRule="exact"/>
        <w:ind w:left="420" w:leftChars="178" w:hanging="46" w:hangingChars="22"/>
        <w:rPr>
          <w:rFonts w:hint="eastAsia" w:ascii="宋体" w:hAnsi="宋体"/>
          <w:color w:val="000000"/>
        </w:rPr>
      </w:pPr>
      <w:r>
        <w:rPr>
          <w:rFonts w:hint="eastAsia" w:ascii="宋体" w:hAnsi="宋体"/>
          <w:color w:val="000000"/>
        </w:rPr>
        <w:t>GB/T13499        《电力变压器应用导则》</w:t>
      </w:r>
    </w:p>
    <w:p>
      <w:pPr>
        <w:spacing w:line="400" w:lineRule="exact"/>
        <w:ind w:left="420" w:leftChars="178" w:hanging="46" w:hangingChars="22"/>
        <w:rPr>
          <w:rFonts w:hint="eastAsia" w:ascii="宋体" w:hAnsi="宋体"/>
          <w:color w:val="000000"/>
        </w:rPr>
      </w:pPr>
      <w:r>
        <w:rPr>
          <w:rFonts w:hint="eastAsia" w:ascii="宋体" w:hAnsi="宋体"/>
          <w:color w:val="000000"/>
        </w:rPr>
        <w:t>G/T 12325        《电能质量  供电电压偏差》</w:t>
      </w:r>
    </w:p>
    <w:p>
      <w:pPr>
        <w:spacing w:line="400" w:lineRule="exact"/>
        <w:ind w:left="420" w:leftChars="178" w:hanging="46" w:hangingChars="22"/>
        <w:rPr>
          <w:rFonts w:hint="eastAsia" w:ascii="宋体" w:hAnsi="宋体"/>
          <w:color w:val="000000"/>
        </w:rPr>
      </w:pPr>
      <w:r>
        <w:rPr>
          <w:rFonts w:hint="eastAsia" w:ascii="宋体" w:hAnsi="宋体"/>
          <w:color w:val="000000"/>
        </w:rPr>
        <w:t xml:space="preserve">GB 12326      </w:t>
      </w:r>
      <w:r>
        <w:rPr>
          <w:rFonts w:hint="eastAsia" w:ascii="宋体" w:hAnsi="宋体"/>
          <w:color w:val="000000"/>
        </w:rPr>
        <w:tab/>
      </w:r>
      <w:r>
        <w:rPr>
          <w:rFonts w:hint="eastAsia" w:ascii="宋体" w:hAnsi="宋体"/>
          <w:color w:val="000000"/>
        </w:rPr>
        <w:t xml:space="preserve">  《电能质量  电压波动和闪变》</w:t>
      </w:r>
    </w:p>
    <w:p>
      <w:pPr>
        <w:spacing w:line="400" w:lineRule="exact"/>
        <w:ind w:left="420" w:leftChars="178" w:hanging="46" w:hangingChars="22"/>
        <w:rPr>
          <w:rFonts w:hint="eastAsia" w:ascii="宋体" w:hAnsi="宋体"/>
          <w:color w:val="000000"/>
        </w:rPr>
      </w:pPr>
      <w:r>
        <w:rPr>
          <w:rFonts w:hint="eastAsia" w:ascii="宋体" w:hAnsi="宋体"/>
          <w:color w:val="000000"/>
        </w:rPr>
        <w:t>GB/T 14549       《电能质量 公用电网谐波》</w:t>
      </w:r>
    </w:p>
    <w:p>
      <w:pPr>
        <w:spacing w:line="400" w:lineRule="exact"/>
        <w:ind w:left="420" w:leftChars="178" w:hanging="46" w:hangingChars="22"/>
        <w:rPr>
          <w:rFonts w:hint="eastAsia" w:ascii="宋体" w:hAnsi="宋体"/>
          <w:color w:val="000000"/>
        </w:rPr>
      </w:pPr>
      <w:r>
        <w:rPr>
          <w:rFonts w:hint="eastAsia" w:ascii="宋体" w:hAnsi="宋体"/>
          <w:color w:val="000000"/>
        </w:rPr>
        <w:t>GB/T 15543      《电能质量  三相电压不平衡》</w:t>
      </w:r>
    </w:p>
    <w:p>
      <w:pPr>
        <w:spacing w:line="400" w:lineRule="exact"/>
        <w:ind w:left="420" w:leftChars="178" w:hanging="46" w:hangingChars="22"/>
        <w:rPr>
          <w:rFonts w:hint="eastAsia" w:ascii="宋体" w:hAnsi="宋体"/>
          <w:color w:val="000000"/>
        </w:rPr>
      </w:pPr>
      <w:r>
        <w:rPr>
          <w:rFonts w:hint="eastAsia" w:ascii="宋体" w:hAnsi="宋体"/>
          <w:color w:val="000000"/>
        </w:rPr>
        <w:t>GB14285         《继电保护和安全自动装置技术规程》</w:t>
      </w:r>
    </w:p>
    <w:p>
      <w:pPr>
        <w:spacing w:line="400" w:lineRule="exact"/>
        <w:ind w:left="420" w:leftChars="178" w:hanging="46" w:hangingChars="22"/>
        <w:rPr>
          <w:rFonts w:hint="eastAsia" w:ascii="宋体" w:hAnsi="宋体"/>
          <w:color w:val="000000"/>
        </w:rPr>
      </w:pPr>
      <w:r>
        <w:rPr>
          <w:rFonts w:hint="eastAsia" w:ascii="宋体" w:hAnsi="宋体"/>
          <w:color w:val="000000"/>
        </w:rPr>
        <w:t>GB50217         《电力工程电缆设计规范》</w:t>
      </w:r>
    </w:p>
    <w:p>
      <w:pPr>
        <w:spacing w:line="400" w:lineRule="exact"/>
        <w:ind w:left="420" w:leftChars="178" w:hanging="46" w:hangingChars="22"/>
        <w:rPr>
          <w:rFonts w:hint="eastAsia" w:ascii="宋体" w:hAnsi="宋体"/>
          <w:color w:val="000000"/>
        </w:rPr>
      </w:pPr>
      <w:r>
        <w:rPr>
          <w:rFonts w:hint="eastAsia" w:ascii="宋体" w:hAnsi="宋体"/>
          <w:color w:val="000000"/>
        </w:rPr>
        <w:t>DL/T677         《继电保护设备信息接口配套标准》</w:t>
      </w:r>
    </w:p>
    <w:p>
      <w:pPr>
        <w:spacing w:line="360" w:lineRule="auto"/>
        <w:ind w:left="420" w:leftChars="178" w:hanging="46" w:hangingChars="22"/>
        <w:rPr>
          <w:rFonts w:ascii="宋体" w:hAnsi="宋体"/>
        </w:rPr>
      </w:pPr>
      <w:r>
        <w:rPr>
          <w:rFonts w:hint="eastAsia" w:ascii="宋体" w:hAnsi="宋体"/>
        </w:rPr>
        <w:t>DL/T 725        《电力用电流互感器使用技术规范》</w:t>
      </w:r>
      <w:r>
        <w:rPr>
          <w:rFonts w:ascii="宋体" w:hAnsi="宋体"/>
        </w:rPr>
        <w:t xml:space="preserve"> </w:t>
      </w:r>
    </w:p>
    <w:p>
      <w:pPr>
        <w:spacing w:line="360" w:lineRule="auto"/>
        <w:ind w:left="420" w:leftChars="178" w:hanging="46" w:hangingChars="22"/>
        <w:rPr>
          <w:rFonts w:hint="eastAsia" w:ascii="宋体" w:hAnsi="宋体"/>
        </w:rPr>
      </w:pPr>
      <w:r>
        <w:rPr>
          <w:rFonts w:hint="eastAsia" w:ascii="宋体" w:hAnsi="宋体"/>
        </w:rPr>
        <w:t>国网关于印发《“防止电力生产重大事故的二十五项重点要求”继电保护实施细则》</w:t>
      </w:r>
    </w:p>
    <w:p>
      <w:pPr>
        <w:spacing w:line="360" w:lineRule="auto"/>
        <w:ind w:left="420" w:leftChars="178" w:hanging="46" w:hangingChars="22"/>
        <w:rPr>
          <w:rFonts w:hint="eastAsia" w:ascii="宋体" w:hAnsi="宋体"/>
        </w:rPr>
      </w:pPr>
      <w:r>
        <w:rPr>
          <w:rFonts w:hint="eastAsia" w:ascii="宋体" w:hAnsi="宋体"/>
        </w:rPr>
        <w:t>国网《国家电网公司十八项电网重大反事故措施》(修订版)及《继电保护专业重点实施要求》</w:t>
      </w:r>
    </w:p>
    <w:p>
      <w:pPr>
        <w:adjustRightInd w:val="0"/>
        <w:snapToGrid w:val="0"/>
        <w:spacing w:line="360" w:lineRule="auto"/>
        <w:ind w:firstLine="420" w:firstLineChars="200"/>
        <w:rPr>
          <w:rFonts w:hint="eastAsia" w:ascii="宋体" w:hAnsi="宋体"/>
        </w:rPr>
      </w:pPr>
      <w:r>
        <w:rPr>
          <w:rFonts w:hint="eastAsia" w:ascii="宋体" w:hAnsi="宋体"/>
        </w:rPr>
        <w:t>以上标准应执行最新版本，当上述标准不一致时按高标准执行。</w:t>
      </w:r>
      <w:r>
        <w:rPr>
          <w:rFonts w:ascii="宋体" w:hAnsi="宋体"/>
        </w:rPr>
        <w:t>如果本技术</w:t>
      </w:r>
      <w:r>
        <w:rPr>
          <w:rFonts w:hint="eastAsia" w:ascii="宋体" w:hAnsi="宋体"/>
        </w:rPr>
        <w:t>协议</w:t>
      </w:r>
      <w:r>
        <w:rPr>
          <w:rFonts w:ascii="宋体" w:hAnsi="宋体"/>
        </w:rPr>
        <w:t>有与上述规程、规范和标准明显抵触的条文，</w:t>
      </w:r>
      <w:r>
        <w:rPr>
          <w:rFonts w:hint="eastAsia" w:ascii="宋体" w:hAnsi="宋体"/>
        </w:rPr>
        <w:t>乙方</w:t>
      </w:r>
      <w:r>
        <w:rPr>
          <w:rFonts w:ascii="宋体" w:hAnsi="宋体"/>
        </w:rPr>
        <w:t>应及时通告</w:t>
      </w:r>
      <w:r>
        <w:rPr>
          <w:rFonts w:hint="eastAsia" w:ascii="宋体" w:hAnsi="宋体"/>
        </w:rPr>
        <w:t>甲方</w:t>
      </w:r>
      <w:r>
        <w:rPr>
          <w:rFonts w:ascii="宋体" w:hAnsi="宋体"/>
        </w:rPr>
        <w:t>进行书面解决。</w:t>
      </w:r>
    </w:p>
    <w:p>
      <w:pPr>
        <w:adjustRightInd w:val="0"/>
        <w:snapToGrid w:val="0"/>
        <w:spacing w:line="360" w:lineRule="auto"/>
        <w:ind w:firstLine="420" w:firstLineChars="200"/>
        <w:rPr>
          <w:rFonts w:hint="eastAsia"/>
        </w:rPr>
      </w:pPr>
      <w:r>
        <w:rPr>
          <w:rFonts w:ascii="宋体" w:hAnsi="宋体"/>
        </w:rPr>
        <w:t>所有螺栓、双头螺栓、螺纹、管螺纹、螺栓夹及螺母均应遵守国际标准化组织（ISO）和国际单位制（SI）的标准。</w:t>
      </w:r>
    </w:p>
    <w:p>
      <w:pPr>
        <w:pStyle w:val="3"/>
        <w:keepNext/>
        <w:keepLines/>
        <w:numPr>
          <w:ilvl w:val="0"/>
          <w:numId w:val="0"/>
        </w:numPr>
        <w:spacing w:beforeLines="0" w:afterLines="0" w:line="360" w:lineRule="auto"/>
        <w:rPr>
          <w:rFonts w:ascii="宋体" w:hAnsi="宋体"/>
          <w:color w:val="auto"/>
          <w:sz w:val="24"/>
          <w:szCs w:val="20"/>
        </w:rPr>
      </w:pPr>
      <w:bookmarkStart w:id="347" w:name="_Toc7991"/>
      <w:bookmarkStart w:id="348" w:name="_Toc27127612"/>
      <w:r>
        <w:rPr>
          <w:rFonts w:hint="eastAsia" w:ascii="宋体" w:hAnsi="宋体"/>
          <w:color w:val="auto"/>
          <w:sz w:val="24"/>
          <w:szCs w:val="20"/>
        </w:rPr>
        <w:t xml:space="preserve">2.2 </w:t>
      </w:r>
      <w:r>
        <w:rPr>
          <w:rFonts w:ascii="宋体" w:hAnsi="宋体"/>
          <w:color w:val="auto"/>
          <w:sz w:val="24"/>
          <w:szCs w:val="20"/>
        </w:rPr>
        <w:t>环境条件</w:t>
      </w:r>
      <w:bookmarkEnd w:id="347"/>
      <w:bookmarkEnd w:id="348"/>
    </w:p>
    <w:p>
      <w:pPr>
        <w:pStyle w:val="13"/>
        <w:spacing w:line="360" w:lineRule="auto"/>
        <w:ind w:firstLine="480" w:firstLineChars="200"/>
        <w:rPr>
          <w:rFonts w:hAnsi="宋体"/>
          <w:color w:val="000000"/>
          <w:sz w:val="24"/>
          <w:szCs w:val="24"/>
        </w:rPr>
      </w:pPr>
      <w:r>
        <w:rPr>
          <w:rFonts w:hAnsi="宋体"/>
          <w:color w:val="000000"/>
          <w:sz w:val="24"/>
          <w:szCs w:val="24"/>
        </w:rPr>
        <w:t>a</w:t>
      </w:r>
      <w:r>
        <w:rPr>
          <w:rFonts w:hint="eastAsia" w:hAnsi="宋体"/>
          <w:color w:val="000000"/>
          <w:sz w:val="24"/>
          <w:szCs w:val="24"/>
        </w:rPr>
        <w:t>）本条的目的在于强调设备应遵照的环境条件要求，因为这会影响设备的寿命、结构和运行可靠性。</w:t>
      </w:r>
    </w:p>
    <w:p>
      <w:pPr>
        <w:pStyle w:val="13"/>
        <w:spacing w:line="360" w:lineRule="auto"/>
        <w:ind w:firstLine="480" w:firstLineChars="200"/>
        <w:rPr>
          <w:rFonts w:hAnsi="宋体" w:cs="Arial"/>
          <w:color w:val="000000"/>
          <w:sz w:val="24"/>
        </w:rPr>
      </w:pPr>
      <w:r>
        <w:rPr>
          <w:rFonts w:hint="eastAsia" w:hAnsi="宋体"/>
          <w:color w:val="000000"/>
          <w:sz w:val="24"/>
          <w:szCs w:val="24"/>
        </w:rPr>
        <w:t>b</w:t>
      </w:r>
      <w:r>
        <w:rPr>
          <w:rFonts w:hint="eastAsia" w:hAnsi="宋体" w:cs="Arial"/>
          <w:color w:val="000000"/>
          <w:sz w:val="24"/>
        </w:rPr>
        <w:t>）下列环境条件适用按合同提供的所有设备和结构，特别是对于控制和仪表及电气设备的设计和选择尤其重要。</w:t>
      </w:r>
    </w:p>
    <w:p>
      <w:pPr>
        <w:pStyle w:val="13"/>
        <w:spacing w:line="360" w:lineRule="auto"/>
        <w:ind w:firstLine="420"/>
        <w:rPr>
          <w:rFonts w:hAnsi="宋体" w:cs="Arial"/>
          <w:color w:val="000000"/>
          <w:sz w:val="24"/>
        </w:rPr>
      </w:pPr>
      <w:r>
        <w:rPr>
          <w:rFonts w:hint="eastAsia" w:hAnsi="宋体" w:cs="Arial"/>
          <w:color w:val="000000"/>
          <w:sz w:val="24"/>
        </w:rPr>
        <w:t>c）投标方保证提供的所有材料、设备、精加工件、装置和系统在运输、卸货、搬运、储存、安装和运行中能经得起环境的条件，并且没有损坏和失灵，能长期满容量连续运行。</w:t>
      </w:r>
    </w:p>
    <w:p>
      <w:pPr>
        <w:spacing w:line="360" w:lineRule="auto"/>
        <w:ind w:firstLine="420" w:firstLineChars="200"/>
        <w:rPr>
          <w:rFonts w:hint="eastAsia" w:ascii="宋体" w:hAnsi="宋体"/>
        </w:rPr>
      </w:pPr>
      <w:r>
        <w:rPr>
          <w:rFonts w:hint="eastAsia" w:ascii="宋体" w:hAnsi="宋体"/>
        </w:rPr>
        <w:t>a）本条的目的在于强调设备遵照的环境条件要求，因为这会影响设备的寿命、结构和运行可靠性。</w:t>
      </w:r>
    </w:p>
    <w:p>
      <w:pPr>
        <w:spacing w:line="360" w:lineRule="auto"/>
        <w:ind w:firstLine="420" w:firstLineChars="200"/>
        <w:rPr>
          <w:rFonts w:hint="eastAsia" w:ascii="宋体" w:hAnsi="宋体"/>
        </w:rPr>
      </w:pPr>
      <w:r>
        <w:rPr>
          <w:rFonts w:hint="eastAsia" w:ascii="宋体" w:hAnsi="宋体"/>
        </w:rPr>
        <w:t>b）下列环境条件适用按合同提供的所有设备和结构，特别是对于控制和仪表及电气设备的设计和选择尤其重要。</w:t>
      </w:r>
    </w:p>
    <w:p>
      <w:pPr>
        <w:spacing w:line="360" w:lineRule="auto"/>
        <w:ind w:firstLine="420" w:firstLineChars="200"/>
        <w:rPr>
          <w:rFonts w:hint="eastAsia" w:ascii="宋体" w:hAnsi="宋体"/>
        </w:rPr>
      </w:pPr>
      <w:r>
        <w:rPr>
          <w:rFonts w:hint="eastAsia" w:ascii="宋体" w:hAnsi="宋体"/>
        </w:rPr>
        <w:t>c）生产商保证提供的所有材料、设备、精加工件、装置和系统在运输、卸货、搬运、储存、安装和运行中能经得起环境的条件，并且没有损坏和失灵，能长期满容量连续运行。</w:t>
      </w:r>
    </w:p>
    <w:p>
      <w:pPr>
        <w:spacing w:line="360" w:lineRule="auto"/>
        <w:rPr>
          <w:rFonts w:hint="eastAsia" w:ascii="宋体" w:hAnsi="宋体"/>
        </w:rPr>
      </w:pPr>
      <w:r>
        <w:rPr>
          <w:rFonts w:hint="eastAsia" w:ascii="宋体" w:hAnsi="宋体"/>
        </w:rPr>
        <w:t>2.2.1  项目建设环境条件</w:t>
      </w:r>
    </w:p>
    <w:tbl>
      <w:tblPr>
        <w:tblStyle w:val="21"/>
        <w:tblW w:w="912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929"/>
        <w:gridCol w:w="5507"/>
        <w:gridCol w:w="929"/>
        <w:gridCol w:w="176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4" w:hRule="exact"/>
          <w:tblHeader/>
          <w:jc w:val="center"/>
        </w:trPr>
        <w:tc>
          <w:tcPr>
            <w:tcW w:w="929" w:type="dxa"/>
            <w:vAlign w:val="center"/>
          </w:tcPr>
          <w:p>
            <w:pPr>
              <w:pStyle w:val="9"/>
              <w:spacing w:before="60" w:beforeLines="25"/>
              <w:jc w:val="center"/>
            </w:pPr>
            <w:bookmarkStart w:id="349" w:name="_Toc357106357"/>
            <w:r>
              <w:t>序号</w:t>
            </w:r>
          </w:p>
        </w:tc>
        <w:tc>
          <w:tcPr>
            <w:tcW w:w="5507" w:type="dxa"/>
            <w:vAlign w:val="center"/>
          </w:tcPr>
          <w:p>
            <w:pPr>
              <w:pStyle w:val="9"/>
              <w:spacing w:before="60" w:beforeLines="25"/>
              <w:jc w:val="center"/>
            </w:pPr>
            <w:r>
              <w:t>名      称</w:t>
            </w:r>
          </w:p>
        </w:tc>
        <w:tc>
          <w:tcPr>
            <w:tcW w:w="929" w:type="dxa"/>
            <w:vAlign w:val="center"/>
          </w:tcPr>
          <w:p>
            <w:pPr>
              <w:pStyle w:val="9"/>
              <w:spacing w:before="60" w:beforeLines="25"/>
              <w:jc w:val="center"/>
            </w:pPr>
            <w:r>
              <w:t>单位</w:t>
            </w:r>
          </w:p>
        </w:tc>
        <w:tc>
          <w:tcPr>
            <w:tcW w:w="1761" w:type="dxa"/>
            <w:vAlign w:val="center"/>
          </w:tcPr>
          <w:p>
            <w:pPr>
              <w:pStyle w:val="9"/>
              <w:spacing w:before="60" w:beforeLines="25"/>
              <w:jc w:val="center"/>
            </w:pPr>
            <w:r>
              <w:t>数    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4" w:hRule="exact"/>
          <w:jc w:val="center"/>
        </w:trPr>
        <w:tc>
          <w:tcPr>
            <w:tcW w:w="929" w:type="dxa"/>
            <w:vAlign w:val="center"/>
          </w:tcPr>
          <w:p>
            <w:pPr>
              <w:pStyle w:val="9"/>
              <w:spacing w:before="60" w:beforeLines="25"/>
              <w:jc w:val="center"/>
            </w:pPr>
            <w:r>
              <w:rPr>
                <w:rFonts w:hint="eastAsia"/>
              </w:rPr>
              <w:t>1</w:t>
            </w:r>
          </w:p>
        </w:tc>
        <w:tc>
          <w:tcPr>
            <w:tcW w:w="5507" w:type="dxa"/>
            <w:vAlign w:val="center"/>
          </w:tcPr>
          <w:p>
            <w:pPr>
              <w:pStyle w:val="9"/>
              <w:spacing w:before="60" w:beforeLines="25"/>
              <w:jc w:val="center"/>
            </w:pPr>
            <w:r>
              <w:t>极端最低温度</w:t>
            </w:r>
          </w:p>
        </w:tc>
        <w:tc>
          <w:tcPr>
            <w:tcW w:w="929" w:type="dxa"/>
            <w:vAlign w:val="center"/>
          </w:tcPr>
          <w:p>
            <w:pPr>
              <w:pStyle w:val="9"/>
              <w:spacing w:before="60" w:beforeLines="25"/>
              <w:jc w:val="center"/>
            </w:pPr>
            <w:r>
              <w:rPr>
                <w:rFonts w:hint="eastAsia" w:ascii="宋体" w:hAnsi="宋体" w:cs="宋体"/>
              </w:rPr>
              <w:t>℃</w:t>
            </w:r>
          </w:p>
        </w:tc>
        <w:tc>
          <w:tcPr>
            <w:tcW w:w="1761" w:type="dxa"/>
            <w:vAlign w:val="center"/>
          </w:tcPr>
          <w:p>
            <w:pPr>
              <w:pStyle w:val="9"/>
              <w:spacing w:before="60" w:beforeLines="25"/>
              <w:jc w:val="center"/>
            </w:pPr>
            <w:r>
              <w:t>-23.1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4" w:hRule="exact"/>
          <w:jc w:val="center"/>
        </w:trPr>
        <w:tc>
          <w:tcPr>
            <w:tcW w:w="929" w:type="dxa"/>
            <w:vAlign w:val="center"/>
          </w:tcPr>
          <w:p>
            <w:pPr>
              <w:pStyle w:val="9"/>
              <w:spacing w:before="60" w:beforeLines="25"/>
              <w:jc w:val="center"/>
            </w:pPr>
            <w:r>
              <w:rPr>
                <w:rFonts w:hint="eastAsia"/>
              </w:rPr>
              <w:t>2</w:t>
            </w:r>
          </w:p>
        </w:tc>
        <w:tc>
          <w:tcPr>
            <w:tcW w:w="5507" w:type="dxa"/>
            <w:vAlign w:val="center"/>
          </w:tcPr>
          <w:p>
            <w:pPr>
              <w:pStyle w:val="9"/>
              <w:spacing w:before="60" w:beforeLines="25"/>
              <w:jc w:val="center"/>
            </w:pPr>
            <w:r>
              <w:t>极端最高温度</w:t>
            </w:r>
          </w:p>
        </w:tc>
        <w:tc>
          <w:tcPr>
            <w:tcW w:w="929" w:type="dxa"/>
            <w:vAlign w:val="center"/>
          </w:tcPr>
          <w:p>
            <w:pPr>
              <w:pStyle w:val="9"/>
              <w:spacing w:before="60" w:beforeLines="25"/>
              <w:jc w:val="center"/>
            </w:pPr>
            <w:r>
              <w:rPr>
                <w:rFonts w:hint="eastAsia" w:ascii="宋体" w:hAnsi="宋体" w:cs="宋体"/>
              </w:rPr>
              <w:t>℃</w:t>
            </w:r>
          </w:p>
        </w:tc>
        <w:tc>
          <w:tcPr>
            <w:tcW w:w="1761" w:type="dxa"/>
            <w:vAlign w:val="center"/>
          </w:tcPr>
          <w:p>
            <w:pPr>
              <w:pStyle w:val="9"/>
              <w:spacing w:before="60" w:beforeLines="25"/>
              <w:jc w:val="center"/>
            </w:pPr>
            <w:r>
              <w:rPr>
                <w:rFonts w:hint="eastAsia"/>
              </w:rPr>
              <w:t>4</w:t>
            </w:r>
            <w:r>
              <w:t>2.2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4" w:hRule="exact"/>
          <w:jc w:val="center"/>
        </w:trPr>
        <w:tc>
          <w:tcPr>
            <w:tcW w:w="929" w:type="dxa"/>
            <w:vAlign w:val="center"/>
          </w:tcPr>
          <w:p>
            <w:pPr>
              <w:pStyle w:val="9"/>
              <w:spacing w:before="60" w:beforeLines="25"/>
              <w:jc w:val="center"/>
            </w:pPr>
            <w:r>
              <w:rPr>
                <w:rFonts w:hint="eastAsia"/>
              </w:rPr>
              <w:t>3</w:t>
            </w:r>
          </w:p>
        </w:tc>
        <w:tc>
          <w:tcPr>
            <w:tcW w:w="5507" w:type="dxa"/>
            <w:vAlign w:val="center"/>
          </w:tcPr>
          <w:p>
            <w:pPr>
              <w:pStyle w:val="9"/>
              <w:spacing w:before="60" w:beforeLines="25"/>
              <w:jc w:val="center"/>
            </w:pPr>
            <w:r>
              <w:t>最大冻土层深度</w:t>
            </w:r>
          </w:p>
        </w:tc>
        <w:tc>
          <w:tcPr>
            <w:tcW w:w="929" w:type="dxa"/>
            <w:vAlign w:val="center"/>
          </w:tcPr>
          <w:p>
            <w:pPr>
              <w:pStyle w:val="9"/>
              <w:spacing w:before="60" w:beforeLines="25"/>
              <w:jc w:val="center"/>
            </w:pPr>
            <w:r>
              <w:t>cm</w:t>
            </w:r>
          </w:p>
        </w:tc>
        <w:tc>
          <w:tcPr>
            <w:tcW w:w="1761" w:type="dxa"/>
            <w:vAlign w:val="center"/>
          </w:tcPr>
          <w:p>
            <w:pPr>
              <w:pStyle w:val="9"/>
              <w:spacing w:before="60" w:beforeLines="25"/>
              <w:jc w:val="center"/>
            </w:pPr>
            <w:r>
              <w:t>60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4" w:hRule="exact"/>
          <w:jc w:val="center"/>
        </w:trPr>
        <w:tc>
          <w:tcPr>
            <w:tcW w:w="929" w:type="dxa"/>
            <w:vAlign w:val="center"/>
          </w:tcPr>
          <w:p>
            <w:pPr>
              <w:pStyle w:val="9"/>
              <w:spacing w:before="60" w:beforeLines="25"/>
              <w:jc w:val="center"/>
            </w:pPr>
            <w:r>
              <w:rPr>
                <w:rFonts w:hint="eastAsia"/>
              </w:rPr>
              <w:t>4</w:t>
            </w:r>
          </w:p>
        </w:tc>
        <w:tc>
          <w:tcPr>
            <w:tcW w:w="5507" w:type="dxa"/>
            <w:vAlign w:val="center"/>
          </w:tcPr>
          <w:p>
            <w:pPr>
              <w:pStyle w:val="13"/>
              <w:snapToGrid w:val="0"/>
              <w:ind w:left="425" w:hanging="425"/>
              <w:jc w:val="center"/>
              <w:rPr>
                <w:sz w:val="24"/>
              </w:rPr>
            </w:pPr>
            <w:r>
              <w:rPr>
                <w:rFonts w:ascii="Times New Roman" w:hAnsi="Times New Roman"/>
                <w:snapToGrid w:val="0"/>
                <w:sz w:val="24"/>
                <w:szCs w:val="24"/>
              </w:rPr>
              <w:t>海拔高度</w:t>
            </w:r>
          </w:p>
        </w:tc>
        <w:tc>
          <w:tcPr>
            <w:tcW w:w="929" w:type="dxa"/>
            <w:vAlign w:val="center"/>
          </w:tcPr>
          <w:p>
            <w:pPr>
              <w:pStyle w:val="13"/>
              <w:snapToGrid w:val="0"/>
              <w:ind w:left="425" w:hanging="425"/>
              <w:jc w:val="center"/>
              <w:rPr>
                <w:sz w:val="24"/>
              </w:rPr>
            </w:pPr>
            <w:r>
              <w:rPr>
                <w:rFonts w:ascii="Times New Roman" w:hAnsi="Times New Roman"/>
                <w:snapToGrid w:val="0"/>
                <w:sz w:val="24"/>
                <w:szCs w:val="24"/>
              </w:rPr>
              <w:t>m</w:t>
            </w:r>
          </w:p>
        </w:tc>
        <w:tc>
          <w:tcPr>
            <w:tcW w:w="1761" w:type="dxa"/>
            <w:vAlign w:val="center"/>
          </w:tcPr>
          <w:p>
            <w:pPr>
              <w:ind w:left="425" w:hanging="425"/>
              <w:jc w:val="center"/>
            </w:pPr>
            <w:r>
              <w:t>240-310m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4" w:hRule="exact"/>
          <w:jc w:val="center"/>
        </w:trPr>
        <w:tc>
          <w:tcPr>
            <w:tcW w:w="929" w:type="dxa"/>
            <w:vAlign w:val="center"/>
          </w:tcPr>
          <w:p>
            <w:pPr>
              <w:pStyle w:val="9"/>
              <w:spacing w:before="60" w:beforeLines="25"/>
              <w:jc w:val="center"/>
            </w:pPr>
            <w:r>
              <w:rPr>
                <w:rFonts w:hint="eastAsia"/>
              </w:rPr>
              <w:t>5</w:t>
            </w:r>
          </w:p>
        </w:tc>
        <w:tc>
          <w:tcPr>
            <w:tcW w:w="5507" w:type="dxa"/>
            <w:vAlign w:val="center"/>
          </w:tcPr>
          <w:p>
            <w:pPr>
              <w:pStyle w:val="13"/>
              <w:snapToGrid w:val="0"/>
              <w:ind w:left="425" w:hanging="425"/>
              <w:jc w:val="center"/>
              <w:rPr>
                <w:rFonts w:ascii="Times New Roman" w:hAnsi="Times New Roman"/>
                <w:snapToGrid w:val="0"/>
                <w:sz w:val="24"/>
                <w:szCs w:val="24"/>
              </w:rPr>
            </w:pPr>
            <w:r>
              <w:rPr>
                <w:sz w:val="24"/>
              </w:rPr>
              <w:t>地震设防烈度</w:t>
            </w:r>
          </w:p>
        </w:tc>
        <w:tc>
          <w:tcPr>
            <w:tcW w:w="929" w:type="dxa"/>
            <w:vAlign w:val="center"/>
          </w:tcPr>
          <w:p>
            <w:pPr>
              <w:pStyle w:val="13"/>
              <w:snapToGrid w:val="0"/>
              <w:ind w:left="425" w:hanging="425"/>
              <w:jc w:val="center"/>
              <w:rPr>
                <w:rFonts w:ascii="Times New Roman" w:hAnsi="Times New Roman"/>
                <w:snapToGrid w:val="0"/>
                <w:sz w:val="24"/>
                <w:szCs w:val="24"/>
              </w:rPr>
            </w:pPr>
            <w:r>
              <w:rPr>
                <w:rFonts w:hint="eastAsia" w:ascii="Times New Roman" w:hAnsi="Times New Roman"/>
                <w:snapToGrid w:val="0"/>
                <w:sz w:val="24"/>
                <w:szCs w:val="24"/>
              </w:rPr>
              <w:t>度</w:t>
            </w:r>
          </w:p>
        </w:tc>
        <w:tc>
          <w:tcPr>
            <w:tcW w:w="1761" w:type="dxa"/>
            <w:vAlign w:val="center"/>
          </w:tcPr>
          <w:p>
            <w:pPr>
              <w:ind w:left="425" w:hanging="425"/>
              <w:jc w:val="center"/>
            </w:pPr>
            <w:r>
              <w:t>7度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54" w:hRule="exact"/>
          <w:jc w:val="center"/>
        </w:trPr>
        <w:tc>
          <w:tcPr>
            <w:tcW w:w="929" w:type="dxa"/>
            <w:vAlign w:val="center"/>
          </w:tcPr>
          <w:p>
            <w:pPr>
              <w:pStyle w:val="9"/>
              <w:spacing w:before="60" w:beforeLines="25"/>
              <w:jc w:val="center"/>
            </w:pPr>
            <w:r>
              <w:rPr>
                <w:rFonts w:hint="eastAsia"/>
              </w:rPr>
              <w:t>6</w:t>
            </w:r>
          </w:p>
        </w:tc>
        <w:tc>
          <w:tcPr>
            <w:tcW w:w="5507" w:type="dxa"/>
            <w:vAlign w:val="center"/>
          </w:tcPr>
          <w:p>
            <w:pPr>
              <w:pStyle w:val="13"/>
              <w:snapToGrid w:val="0"/>
              <w:ind w:left="425" w:hanging="425"/>
              <w:jc w:val="center"/>
              <w:rPr>
                <w:sz w:val="24"/>
              </w:rPr>
            </w:pPr>
            <w:r>
              <w:rPr>
                <w:sz w:val="24"/>
              </w:rPr>
              <w:t>地震加速度</w:t>
            </w:r>
          </w:p>
        </w:tc>
        <w:tc>
          <w:tcPr>
            <w:tcW w:w="929" w:type="dxa"/>
            <w:vAlign w:val="center"/>
          </w:tcPr>
          <w:p>
            <w:pPr>
              <w:pStyle w:val="13"/>
              <w:snapToGrid w:val="0"/>
              <w:ind w:left="425" w:hanging="425"/>
              <w:jc w:val="center"/>
              <w:rPr>
                <w:rFonts w:ascii="Times New Roman" w:hAnsi="Times New Roman"/>
                <w:snapToGrid w:val="0"/>
                <w:sz w:val="24"/>
                <w:szCs w:val="24"/>
              </w:rPr>
            </w:pPr>
            <w:r>
              <w:rPr>
                <w:rFonts w:hint="eastAsia" w:ascii="Times New Roman" w:hAnsi="Times New Roman"/>
                <w:snapToGrid w:val="0"/>
                <w:sz w:val="24"/>
                <w:szCs w:val="24"/>
              </w:rPr>
              <w:t>g</w:t>
            </w:r>
          </w:p>
        </w:tc>
        <w:tc>
          <w:tcPr>
            <w:tcW w:w="1761" w:type="dxa"/>
            <w:vAlign w:val="center"/>
          </w:tcPr>
          <w:p>
            <w:pPr>
              <w:ind w:left="425" w:hanging="425"/>
              <w:jc w:val="center"/>
            </w:pPr>
            <w:r>
              <w:t>0.1</w:t>
            </w:r>
            <w:r>
              <w:rPr>
                <w:rFonts w:hint="eastAsia"/>
              </w:rPr>
              <w:t>5</w:t>
            </w:r>
            <w:r>
              <w:t>g</w:t>
            </w:r>
          </w:p>
        </w:tc>
      </w:tr>
    </w:tbl>
    <w:p>
      <w:pPr>
        <w:spacing w:line="360" w:lineRule="auto"/>
      </w:pPr>
      <w:r>
        <w:rPr>
          <w:rFonts w:hint="eastAsia"/>
        </w:rPr>
        <w:t>2.2.2绝缘配合</w:t>
      </w:r>
      <w:bookmarkEnd w:id="349"/>
    </w:p>
    <w:p>
      <w:pPr>
        <w:spacing w:line="360" w:lineRule="auto"/>
        <w:ind w:firstLine="420" w:firstLineChars="200"/>
        <w:rPr>
          <w:rFonts w:hint="eastAsia"/>
        </w:rPr>
      </w:pPr>
      <w:r>
        <w:t>屋外配电装置污秽等级按</w:t>
      </w:r>
      <w:r>
        <w:rPr>
          <w:rFonts w:hint="eastAsia"/>
        </w:rPr>
        <w:t>e</w:t>
      </w:r>
      <w:r>
        <w:t>级考虑，配电装置外绝缘泄漏比距≥</w:t>
      </w:r>
      <w:r>
        <w:rPr>
          <w:rFonts w:hint="eastAsia"/>
        </w:rPr>
        <w:t>3.1</w:t>
      </w:r>
      <w:r>
        <w:t>cm/kV(以设备最高运行电压为基准)</w:t>
      </w:r>
      <w:r>
        <w:rPr>
          <w:rFonts w:hint="eastAsia"/>
        </w:rPr>
        <w:t>。</w:t>
      </w:r>
    </w:p>
    <w:p>
      <w:pPr>
        <w:spacing w:line="360" w:lineRule="auto"/>
        <w:ind w:firstLine="420" w:firstLineChars="200"/>
        <w:rPr>
          <w:rFonts w:hint="eastAsia"/>
        </w:rPr>
      </w:pPr>
      <w:r>
        <w:t>所有电气设备的绝缘均按照国家标准选择确定。</w:t>
      </w:r>
    </w:p>
    <w:p>
      <w:pPr>
        <w:pStyle w:val="3"/>
        <w:keepNext/>
        <w:keepLines/>
        <w:numPr>
          <w:ilvl w:val="0"/>
          <w:numId w:val="0"/>
        </w:numPr>
        <w:spacing w:beforeLines="0" w:afterLines="0" w:line="360" w:lineRule="auto"/>
        <w:rPr>
          <w:rFonts w:ascii="宋体" w:hAnsi="宋体"/>
          <w:color w:val="auto"/>
          <w:sz w:val="24"/>
          <w:szCs w:val="20"/>
        </w:rPr>
      </w:pPr>
      <w:bookmarkStart w:id="350" w:name="_Toc25111"/>
      <w:bookmarkStart w:id="351" w:name="_Toc27127613"/>
      <w:r>
        <w:rPr>
          <w:rFonts w:hint="eastAsia" w:ascii="宋体" w:hAnsi="宋体"/>
          <w:color w:val="auto"/>
          <w:sz w:val="24"/>
          <w:szCs w:val="20"/>
        </w:rPr>
        <w:t>2.3 工程概况</w:t>
      </w:r>
      <w:bookmarkEnd w:id="350"/>
      <w:bookmarkEnd w:id="351"/>
    </w:p>
    <w:p>
      <w:pPr>
        <w:spacing w:line="360" w:lineRule="auto"/>
        <w:ind w:firstLine="420" w:firstLineChars="200"/>
        <w:rPr>
          <w:bCs/>
        </w:rPr>
      </w:pPr>
      <w:r>
        <w:rPr>
          <w:rFonts w:hint="eastAsia"/>
          <w:bCs/>
        </w:rPr>
        <w:t>本</w:t>
      </w:r>
      <w:r>
        <w:rPr>
          <w:bCs/>
        </w:rPr>
        <w:t>项目</w:t>
      </w:r>
      <w:r>
        <w:rPr>
          <w:rFonts w:hint="eastAsia"/>
          <w:bCs/>
        </w:rPr>
        <w:t>主要</w:t>
      </w:r>
      <w:r>
        <w:rPr>
          <w:bCs/>
        </w:rPr>
        <w:t>位于邢台市内丘县南赛乡</w:t>
      </w:r>
      <w:r>
        <w:rPr>
          <w:rFonts w:hint="eastAsia"/>
          <w:bCs/>
        </w:rPr>
        <w:t>附近</w:t>
      </w:r>
      <w:r>
        <w:rPr>
          <w:bCs/>
        </w:rPr>
        <w:t>，本项目建设300MW</w:t>
      </w:r>
      <w:r>
        <w:rPr>
          <w:rFonts w:hint="eastAsia"/>
          <w:bCs/>
        </w:rPr>
        <w:t>p</w:t>
      </w:r>
      <w:r>
        <w:rPr>
          <w:bCs/>
        </w:rPr>
        <w:t>光伏电站；光伏场区用地范围：东至上黄水峪村</w:t>
      </w:r>
      <w:r>
        <w:rPr>
          <w:rFonts w:hint="eastAsia"/>
          <w:bCs/>
        </w:rPr>
        <w:t>、花沟村地界</w:t>
      </w:r>
      <w:r>
        <w:rPr>
          <w:bCs/>
        </w:rPr>
        <w:t>，南至</w:t>
      </w:r>
      <w:r>
        <w:rPr>
          <w:rFonts w:hint="eastAsia"/>
          <w:bCs/>
        </w:rPr>
        <w:t>宁家庄</w:t>
      </w:r>
      <w:r>
        <w:rPr>
          <w:bCs/>
        </w:rPr>
        <w:t>、</w:t>
      </w:r>
      <w:r>
        <w:rPr>
          <w:rFonts w:hint="eastAsia"/>
          <w:bCs/>
        </w:rPr>
        <w:t>蔡庄</w:t>
      </w:r>
      <w:r>
        <w:rPr>
          <w:bCs/>
        </w:rPr>
        <w:t>村地界，西至</w:t>
      </w:r>
      <w:r>
        <w:rPr>
          <w:rFonts w:hint="eastAsia"/>
          <w:bCs/>
        </w:rPr>
        <w:t>宁家庄、天台村、菩萨岭村</w:t>
      </w:r>
      <w:r>
        <w:rPr>
          <w:bCs/>
        </w:rPr>
        <w:t>地界，北至</w:t>
      </w:r>
      <w:r>
        <w:rPr>
          <w:rFonts w:hint="eastAsia"/>
          <w:bCs/>
        </w:rPr>
        <w:t>石梯</w:t>
      </w:r>
      <w:r>
        <w:rPr>
          <w:bCs/>
        </w:rPr>
        <w:t>村地界。本项目新建220kV升压站一座</w:t>
      </w:r>
      <w:r>
        <w:rPr>
          <w:rFonts w:hint="eastAsia"/>
          <w:bCs/>
        </w:rPr>
        <w:t>，站区按400MW容量考虑布置位置</w:t>
      </w:r>
      <w:r>
        <w:rPr>
          <w:bCs/>
        </w:rPr>
        <w:t>。</w:t>
      </w:r>
      <w:r>
        <w:rPr>
          <w:rFonts w:hint="eastAsia"/>
          <w:bCs/>
        </w:rPr>
        <w:t>本期建设2x150MVA主变及高低压两侧配电装置。</w:t>
      </w:r>
    </w:p>
    <w:p>
      <w:pPr>
        <w:widowControl/>
        <w:spacing w:line="360" w:lineRule="auto"/>
        <w:ind w:firstLine="367" w:firstLineChars="175"/>
        <w:jc w:val="left"/>
      </w:pPr>
      <w:r>
        <w:t>内丘县交通区位优越，</w:t>
      </w:r>
      <w:r>
        <w:fldChar w:fldCharType="begin"/>
      </w:r>
      <w:r>
        <w:instrText xml:space="preserve"> HYPERLINK "https://baike.so.com/doc/3534425-3717502.html" \t "_blank" </w:instrText>
      </w:r>
      <w:r>
        <w:fldChar w:fldCharType="separate"/>
      </w:r>
      <w:r>
        <w:t>京广铁路</w:t>
      </w:r>
      <w:r>
        <w:fldChar w:fldCharType="end"/>
      </w:r>
      <w:r>
        <w:t>、107国道、京港澳高速和世界上运营里程最长的</w:t>
      </w:r>
      <w:r>
        <w:fldChar w:fldCharType="begin"/>
      </w:r>
      <w:r>
        <w:instrText xml:space="preserve"> HYPERLINK "https://baike.so.com/doc/7348963-7614571.html" \t "_blank" </w:instrText>
      </w:r>
      <w:r>
        <w:fldChar w:fldCharType="separate"/>
      </w:r>
      <w:r>
        <w:t>京广高铁</w:t>
      </w:r>
      <w:r>
        <w:fldChar w:fldCharType="end"/>
      </w:r>
      <w:r>
        <w:t>等4条国家南北交通大动脉纵穿南北，邢衡高速、隆昔公路横贯东西。拟建示范项目位于内丘县西部，场址中心位置距内丘县城直线距离约</w:t>
      </w:r>
      <w:r>
        <w:rPr>
          <w:rFonts w:hint="eastAsia"/>
        </w:rPr>
        <w:t>20</w:t>
      </w:r>
      <w:r>
        <w:t>公里，省道S328从场区穿过，交通条件便利。</w:t>
      </w:r>
    </w:p>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352" w:name="_Toc27263"/>
      <w:bookmarkStart w:id="353" w:name="_Toc27127614"/>
      <w:r>
        <w:rPr>
          <w:rFonts w:hint="eastAsia"/>
          <w:iCs/>
          <w:kern w:val="36"/>
          <w:sz w:val="32"/>
          <w:szCs w:val="44"/>
          <w:lang w:eastAsia="ar-SA"/>
        </w:rPr>
        <w:t>动态无功补偿成套装置技术指标</w:t>
      </w:r>
      <w:bookmarkEnd w:id="352"/>
      <w:bookmarkEnd w:id="353"/>
    </w:p>
    <w:p>
      <w:pPr>
        <w:pStyle w:val="3"/>
        <w:keepNext/>
        <w:keepLines/>
        <w:numPr>
          <w:ilvl w:val="0"/>
          <w:numId w:val="0"/>
        </w:numPr>
        <w:spacing w:beforeLines="0" w:afterLines="0" w:line="360" w:lineRule="auto"/>
        <w:rPr>
          <w:rFonts w:ascii="宋体" w:hAnsi="宋体"/>
          <w:color w:val="auto"/>
          <w:sz w:val="24"/>
          <w:szCs w:val="20"/>
        </w:rPr>
      </w:pPr>
      <w:bookmarkStart w:id="354" w:name="_Toc17569"/>
      <w:bookmarkStart w:id="355" w:name="_Toc27127615"/>
      <w:r>
        <w:rPr>
          <w:rFonts w:hint="eastAsia" w:ascii="宋体" w:hAnsi="宋体"/>
          <w:color w:val="auto"/>
          <w:sz w:val="24"/>
          <w:szCs w:val="20"/>
        </w:rPr>
        <w:t>3.1技术要求</w:t>
      </w:r>
      <w:bookmarkEnd w:id="354"/>
      <w:bookmarkEnd w:id="355"/>
    </w:p>
    <w:p>
      <w:pPr>
        <w:spacing w:line="360" w:lineRule="auto"/>
        <w:ind w:firstLine="420" w:firstLineChars="200"/>
        <w:rPr>
          <w:rFonts w:ascii="宋体" w:hAnsi="宋体"/>
        </w:rPr>
      </w:pPr>
      <w:r>
        <w:rPr>
          <w:rFonts w:hint="eastAsia" w:ascii="宋体" w:hAnsi="宋体"/>
        </w:rPr>
        <w:t>本工程每台主变低压侧配置总容量不低于容性</w:t>
      </w:r>
      <w:r>
        <w:rPr>
          <w:rFonts w:hint="eastAsia" w:ascii="宋体" w:hAnsi="宋体"/>
          <w:highlight w:val="red"/>
        </w:rPr>
        <w:t>46.85Mvar、感性4.59Mvar</w:t>
      </w:r>
      <w:r>
        <w:rPr>
          <w:rFonts w:hint="eastAsia" w:ascii="宋体" w:hAnsi="宋体"/>
        </w:rPr>
        <w:t>的可快速调节的无功补偿装置设计，成套装置响应时间不大于30ms。所配无功补偿装置应保证动态部分自动调节，确保电容器、电抗器支路在紧急情况下能被快速正确投切。</w:t>
      </w:r>
    </w:p>
    <w:p>
      <w:pPr>
        <w:spacing w:line="360" w:lineRule="auto"/>
        <w:ind w:firstLine="420" w:firstLineChars="200"/>
        <w:rPr>
          <w:rFonts w:ascii="宋体" w:hAnsi="宋体"/>
        </w:rPr>
      </w:pPr>
      <w:r>
        <w:rPr>
          <w:rFonts w:hint="eastAsia" w:ascii="宋体" w:hAnsi="宋体"/>
        </w:rPr>
        <w:t>本工程每台主变下暂配置1套</w:t>
      </w:r>
      <w:r>
        <w:rPr>
          <w:rFonts w:hint="eastAsia" w:hAnsi="宋体"/>
        </w:rPr>
        <w:t>26</w:t>
      </w:r>
      <w:r>
        <w:rPr>
          <w:rFonts w:hAnsi="宋体"/>
        </w:rPr>
        <w:t>M</w:t>
      </w:r>
      <w:r>
        <w:rPr>
          <w:rFonts w:hint="eastAsia" w:hAnsi="宋体"/>
        </w:rPr>
        <w:t>V</w:t>
      </w:r>
      <w:r>
        <w:rPr>
          <w:rFonts w:hAnsi="宋体"/>
        </w:rPr>
        <w:t>ar</w:t>
      </w:r>
      <w:r>
        <w:rPr>
          <w:rFonts w:hint="eastAsia" w:hAnsi="宋体"/>
        </w:rPr>
        <w:t>静止式动态无功补偿装置（SVG）和1套</w:t>
      </w:r>
      <w:r>
        <w:rPr>
          <w:rFonts w:hint="eastAsia" w:hAnsi="宋体"/>
          <w:highlight w:val="red"/>
        </w:rPr>
        <w:t>21MVar</w:t>
      </w:r>
      <w:r>
        <w:rPr>
          <w:rFonts w:hint="eastAsia" w:hAnsi="宋体"/>
        </w:rPr>
        <w:t>并补电容器组（FC）的补偿容量</w:t>
      </w:r>
      <w:r>
        <w:rPr>
          <w:rFonts w:hint="eastAsia" w:ascii="宋体" w:hAnsi="宋体"/>
        </w:rPr>
        <w:t>成套装置。</w:t>
      </w:r>
      <w:r>
        <w:rPr>
          <w:rFonts w:hint="eastAsia" w:ascii="宋体" w:hAnsi="宋体"/>
          <w:color w:val="000000"/>
        </w:rPr>
        <w:t>动态无功补偿装置FC设备、SVG及隔离开关、SVG箱式装置（含功率柜、控制柜等）等布置于户外，每套无功补偿装置</w:t>
      </w:r>
      <w:r>
        <w:rPr>
          <w:rFonts w:hint="eastAsia" w:ascii="宋体" w:hAnsi="宋体"/>
        </w:rPr>
        <w:t>由1台断路器控制，断路器由招标方提供，装在35kV高压开关柜内，SVG及FC分别对应一台断路器。无功调节由SVG控制系统统一实现自动投切，并联滤波器方案由投标厂家自行设计。</w:t>
      </w:r>
    </w:p>
    <w:p>
      <w:pPr>
        <w:adjustRightInd w:val="0"/>
        <w:snapToGrid w:val="0"/>
        <w:spacing w:line="360" w:lineRule="auto"/>
        <w:rPr>
          <w:rFonts w:ascii="宋体" w:hAnsi="宋体"/>
        </w:rPr>
      </w:pPr>
      <w:r>
        <w:rPr>
          <w:rFonts w:hint="eastAsia" w:ascii="宋体" w:hAnsi="宋体"/>
          <w:color w:val="000000"/>
        </w:rPr>
        <w:t>3.1.1</w:t>
      </w:r>
      <w:r>
        <w:rPr>
          <w:rFonts w:hint="eastAsia" w:ascii="宋体" w:hAnsi="宋体"/>
        </w:rPr>
        <w:t>输出容量</w:t>
      </w:r>
    </w:p>
    <w:p>
      <w:pPr>
        <w:adjustRightInd w:val="0"/>
        <w:snapToGrid w:val="0"/>
        <w:spacing w:line="360" w:lineRule="auto"/>
        <w:ind w:firstLine="420" w:firstLineChars="200"/>
        <w:rPr>
          <w:rFonts w:ascii="宋体" w:hAnsi="宋体"/>
        </w:rPr>
      </w:pPr>
      <w:r>
        <w:rPr>
          <w:rFonts w:ascii="宋体" w:hAnsi="宋体"/>
          <w:kern w:val="1"/>
          <w:lang w:eastAsia="ar-SA"/>
        </w:rPr>
        <w:t>成套装置额定</w:t>
      </w:r>
      <w:r>
        <w:rPr>
          <w:rFonts w:hint="eastAsia" w:ascii="宋体" w:hAnsi="宋体"/>
          <w:kern w:val="1"/>
        </w:rPr>
        <w:t>输出</w:t>
      </w:r>
      <w:r>
        <w:rPr>
          <w:rFonts w:ascii="宋体" w:hAnsi="宋体"/>
          <w:kern w:val="1"/>
          <w:lang w:eastAsia="ar-SA"/>
        </w:rPr>
        <w:t>容量为</w:t>
      </w:r>
      <w:r>
        <w:rPr>
          <w:rFonts w:hint="eastAsia" w:ascii="宋体" w:hAnsi="宋体"/>
          <w:b/>
          <w:highlight w:val="red"/>
        </w:rPr>
        <w:t>感性4.59~46.85MVar容性</w:t>
      </w:r>
      <w:r>
        <w:rPr>
          <w:rFonts w:hint="eastAsia" w:ascii="宋体" w:hAnsi="宋体"/>
          <w:kern w:val="1"/>
        </w:rPr>
        <w:t>M</w:t>
      </w:r>
      <w:r>
        <w:rPr>
          <w:rFonts w:ascii="宋体" w:hAnsi="宋体"/>
          <w:kern w:val="1"/>
          <w:lang w:eastAsia="ar-SA"/>
        </w:rPr>
        <w:t>Var。</w:t>
      </w:r>
    </w:p>
    <w:p>
      <w:pPr>
        <w:adjustRightInd w:val="0"/>
        <w:snapToGrid w:val="0"/>
        <w:spacing w:line="360" w:lineRule="auto"/>
        <w:rPr>
          <w:rFonts w:ascii="宋体" w:hAnsi="宋体"/>
        </w:rPr>
      </w:pPr>
      <w:bookmarkStart w:id="356" w:name="_Toc194397377"/>
      <w:r>
        <w:rPr>
          <w:rFonts w:hint="eastAsia" w:ascii="宋体" w:hAnsi="宋体"/>
        </w:rPr>
        <w:t>3.1.2响应时间</w:t>
      </w:r>
      <w:bookmarkEnd w:id="356"/>
    </w:p>
    <w:p>
      <w:pPr>
        <w:adjustRightInd w:val="0"/>
        <w:snapToGrid w:val="0"/>
        <w:spacing w:line="360" w:lineRule="auto"/>
        <w:ind w:firstLine="420" w:firstLineChars="200"/>
        <w:rPr>
          <w:rFonts w:ascii="宋体" w:hAnsi="宋体"/>
        </w:rPr>
      </w:pPr>
      <w:r>
        <w:rPr>
          <w:rFonts w:hint="eastAsia" w:ascii="宋体" w:hAnsi="宋体"/>
        </w:rPr>
        <w:t>成套装置可动态跟踪电网电压变化及负载变化，并根据变化情况动态调节无功输出，实现高功率因数运行。整套装置动态响应时间不大于30ms。</w:t>
      </w:r>
    </w:p>
    <w:p>
      <w:pPr>
        <w:adjustRightInd w:val="0"/>
        <w:snapToGrid w:val="0"/>
        <w:spacing w:line="360" w:lineRule="auto"/>
        <w:rPr>
          <w:rFonts w:ascii="宋体" w:hAnsi="宋体"/>
        </w:rPr>
      </w:pPr>
      <w:bookmarkStart w:id="357" w:name="_Toc194397378"/>
      <w:r>
        <w:rPr>
          <w:rFonts w:hint="eastAsia" w:ascii="宋体" w:hAnsi="宋体"/>
        </w:rPr>
        <w:t>3.1.3谐波特性</w:t>
      </w:r>
      <w:bookmarkEnd w:id="357"/>
    </w:p>
    <w:p>
      <w:pPr>
        <w:adjustRightInd w:val="0"/>
        <w:snapToGrid w:val="0"/>
        <w:spacing w:line="360" w:lineRule="auto"/>
        <w:ind w:firstLine="420" w:firstLineChars="200"/>
        <w:rPr>
          <w:rFonts w:ascii="宋体" w:hAnsi="宋体"/>
        </w:rPr>
      </w:pPr>
      <w:r>
        <w:rPr>
          <w:rFonts w:ascii="宋体" w:hAnsi="宋体"/>
        </w:rPr>
        <w:t>动态无功补偿装置输出谐波电流总畸变率（THD）小于</w:t>
      </w:r>
      <w:r>
        <w:rPr>
          <w:rFonts w:hint="eastAsia" w:ascii="宋体" w:hAnsi="宋体"/>
        </w:rPr>
        <w:t>2</w:t>
      </w:r>
      <w:r>
        <w:rPr>
          <w:rFonts w:ascii="宋体" w:hAnsi="宋体"/>
        </w:rPr>
        <w:t>％，滤除谐波，达到输出电压谐波含量满足国标要求。</w:t>
      </w:r>
      <w:r>
        <w:rPr>
          <w:rFonts w:hint="eastAsia" w:ascii="宋体" w:hAnsi="宋体"/>
        </w:rPr>
        <w:t>满足光伏电站接入电网技术规定的要求。</w:t>
      </w:r>
    </w:p>
    <w:p>
      <w:pPr>
        <w:adjustRightInd w:val="0"/>
        <w:snapToGrid w:val="0"/>
        <w:spacing w:line="360" w:lineRule="auto"/>
        <w:rPr>
          <w:rFonts w:ascii="宋体" w:hAnsi="宋体"/>
        </w:rPr>
      </w:pPr>
      <w:bookmarkStart w:id="358" w:name="_Toc194397380"/>
      <w:r>
        <w:rPr>
          <w:rFonts w:hint="eastAsia" w:ascii="宋体" w:hAnsi="宋体"/>
          <w:color w:val="000000"/>
        </w:rPr>
        <w:t>3.1.4</w:t>
      </w:r>
      <w:r>
        <w:rPr>
          <w:rFonts w:hint="eastAsia" w:ascii="宋体" w:hAnsi="宋体"/>
        </w:rPr>
        <w:t>过载能力</w:t>
      </w:r>
      <w:bookmarkEnd w:id="358"/>
    </w:p>
    <w:p>
      <w:pPr>
        <w:adjustRightInd w:val="0"/>
        <w:snapToGrid w:val="0"/>
        <w:spacing w:line="360" w:lineRule="auto"/>
        <w:ind w:firstLine="420" w:firstLineChars="200"/>
        <w:rPr>
          <w:rFonts w:ascii="宋体" w:hAnsi="宋体"/>
        </w:rPr>
      </w:pPr>
      <w:r>
        <w:rPr>
          <w:rFonts w:hint="eastAsia" w:ascii="宋体" w:hAnsi="宋体"/>
        </w:rPr>
        <w:t>动态无功补偿装置应具有短时过载能力，过载无功补偿容量为成套装置总容量的15%。</w:t>
      </w:r>
    </w:p>
    <w:p>
      <w:pPr>
        <w:adjustRightInd w:val="0"/>
        <w:snapToGrid w:val="0"/>
        <w:spacing w:line="360" w:lineRule="auto"/>
        <w:rPr>
          <w:rFonts w:ascii="宋体" w:hAnsi="宋体"/>
        </w:rPr>
      </w:pPr>
      <w:bookmarkStart w:id="359" w:name="_Toc194397381"/>
      <w:r>
        <w:rPr>
          <w:rFonts w:hint="eastAsia" w:ascii="宋体" w:hAnsi="宋体"/>
          <w:color w:val="000000"/>
        </w:rPr>
        <w:t>3.1.5</w:t>
      </w:r>
      <w:r>
        <w:rPr>
          <w:rFonts w:hint="eastAsia" w:ascii="宋体" w:hAnsi="宋体"/>
        </w:rPr>
        <w:t>冷却</w:t>
      </w:r>
      <w:bookmarkEnd w:id="359"/>
      <w:r>
        <w:rPr>
          <w:rFonts w:hint="eastAsia" w:ascii="宋体" w:hAnsi="宋体"/>
        </w:rPr>
        <w:t xml:space="preserve">系统 </w:t>
      </w:r>
    </w:p>
    <w:p>
      <w:pPr>
        <w:spacing w:line="360" w:lineRule="auto"/>
        <w:ind w:firstLine="420" w:firstLineChars="200"/>
        <w:rPr>
          <w:rFonts w:hint="eastAsia" w:ascii="宋体" w:hAnsi="宋体"/>
          <w:color w:val="000000"/>
        </w:rPr>
      </w:pPr>
      <w:r>
        <w:rPr>
          <w:rFonts w:hint="eastAsia" w:ascii="宋体" w:hAnsi="宋体"/>
        </w:rPr>
        <w:t>动态无功补偿装置采用水冷，技术先进、运行安全可靠，适应现场环境。</w:t>
      </w:r>
      <w:r>
        <w:rPr>
          <w:rFonts w:hint="eastAsia" w:ascii="宋体" w:hAnsi="宋体"/>
          <w:color w:val="000000"/>
        </w:rPr>
        <w:t>投标方所提供的设备应附带阀组单元的冷却系统，冷却系统采用先进、安全可靠的冷却系统。</w:t>
      </w:r>
    </w:p>
    <w:p>
      <w:pPr>
        <w:spacing w:line="360" w:lineRule="auto"/>
        <w:ind w:firstLine="420" w:firstLineChars="200"/>
        <w:rPr>
          <w:rFonts w:ascii="宋体" w:hAnsi="宋体"/>
        </w:rPr>
      </w:pPr>
      <w:r>
        <w:rPr>
          <w:rFonts w:hint="eastAsia" w:ascii="宋体" w:hAnsi="宋体"/>
        </w:rPr>
        <w:t>投标人要设计排风通道与室外相连，做到把热风直接排到室外，并承担此部分费用。</w:t>
      </w:r>
    </w:p>
    <w:p>
      <w:pPr>
        <w:adjustRightInd w:val="0"/>
        <w:snapToGrid w:val="0"/>
        <w:spacing w:line="360" w:lineRule="auto"/>
        <w:rPr>
          <w:rFonts w:ascii="宋体" w:hAnsi="宋体"/>
        </w:rPr>
      </w:pPr>
      <w:r>
        <w:rPr>
          <w:rFonts w:hint="eastAsia" w:ascii="宋体" w:hAnsi="宋体"/>
          <w:color w:val="000000"/>
        </w:rPr>
        <w:t>3.1.6</w:t>
      </w:r>
      <w:r>
        <w:rPr>
          <w:rFonts w:ascii="宋体" w:hAnsi="宋体"/>
        </w:rPr>
        <w:t>运行效率</w:t>
      </w:r>
    </w:p>
    <w:p>
      <w:pPr>
        <w:adjustRightInd w:val="0"/>
        <w:snapToGrid w:val="0"/>
        <w:spacing w:line="360" w:lineRule="auto"/>
        <w:ind w:firstLine="420" w:firstLineChars="200"/>
        <w:rPr>
          <w:rFonts w:ascii="宋体" w:hAnsi="宋体"/>
        </w:rPr>
      </w:pPr>
      <w:r>
        <w:rPr>
          <w:rFonts w:ascii="宋体" w:hAnsi="宋体"/>
        </w:rPr>
        <w:t>装置运行过程中，最大有功损耗不大于成套装置总输出容量的</w:t>
      </w:r>
      <w:r>
        <w:rPr>
          <w:rFonts w:hint="eastAsia" w:ascii="宋体" w:hAnsi="宋体"/>
        </w:rPr>
        <w:t>0.8</w:t>
      </w:r>
      <w:r>
        <w:rPr>
          <w:rFonts w:ascii="宋体" w:hAnsi="宋体"/>
        </w:rPr>
        <w:t>%。</w:t>
      </w:r>
    </w:p>
    <w:p>
      <w:pPr>
        <w:adjustRightInd w:val="0"/>
        <w:snapToGrid w:val="0"/>
        <w:spacing w:line="360" w:lineRule="auto"/>
        <w:rPr>
          <w:rFonts w:ascii="宋体" w:hAnsi="宋体"/>
        </w:rPr>
      </w:pPr>
      <w:r>
        <w:rPr>
          <w:rFonts w:hint="eastAsia" w:ascii="宋体" w:hAnsi="宋体"/>
        </w:rPr>
        <w:t>3.1.7 短路水平</w:t>
      </w:r>
    </w:p>
    <w:p>
      <w:pPr>
        <w:widowControl/>
        <w:spacing w:line="360" w:lineRule="auto"/>
        <w:ind w:firstLine="367" w:firstLineChars="175"/>
        <w:jc w:val="left"/>
      </w:pPr>
      <w:r>
        <w:rPr>
          <w:rFonts w:hint="eastAsia" w:ascii="宋体" w:hAnsi="宋体"/>
        </w:rPr>
        <w:t xml:space="preserve">    35kV母线短路水平31.5kA。</w:t>
      </w:r>
    </w:p>
    <w:p>
      <w:pPr>
        <w:widowControl/>
        <w:spacing w:line="360" w:lineRule="auto"/>
        <w:ind w:firstLine="367" w:firstLineChars="175"/>
        <w:jc w:val="left"/>
        <w:rPr>
          <w:rFonts w:hint="eastAsia"/>
        </w:rPr>
      </w:pPr>
    </w:p>
    <w:p>
      <w:pPr>
        <w:pStyle w:val="3"/>
        <w:keepNext/>
        <w:keepLines/>
        <w:numPr>
          <w:ilvl w:val="0"/>
          <w:numId w:val="0"/>
        </w:numPr>
        <w:spacing w:beforeLines="0" w:afterLines="0" w:line="360" w:lineRule="auto"/>
        <w:rPr>
          <w:rFonts w:ascii="宋体" w:hAnsi="宋体"/>
          <w:color w:val="auto"/>
          <w:sz w:val="24"/>
          <w:szCs w:val="20"/>
        </w:rPr>
      </w:pPr>
      <w:bookmarkStart w:id="360" w:name="_Toc26840"/>
      <w:bookmarkStart w:id="361" w:name="_Toc27127616"/>
      <w:r>
        <w:rPr>
          <w:rFonts w:hint="eastAsia" w:ascii="宋体" w:hAnsi="宋体"/>
          <w:color w:val="auto"/>
          <w:sz w:val="24"/>
          <w:szCs w:val="20"/>
        </w:rPr>
        <w:t>3.2 SVG技术要求</w:t>
      </w:r>
      <w:bookmarkEnd w:id="360"/>
      <w:bookmarkEnd w:id="361"/>
    </w:p>
    <w:p>
      <w:pPr>
        <w:pStyle w:val="4"/>
        <w:spacing w:before="120" w:after="120"/>
        <w:rPr>
          <w:snapToGrid w:val="0"/>
        </w:rPr>
      </w:pPr>
      <w:r>
        <w:rPr>
          <w:rFonts w:hint="eastAsia"/>
          <w:snapToGrid w:val="0"/>
        </w:rPr>
        <w:t xml:space="preserve">3.2.1 </w:t>
      </w:r>
      <w:r>
        <w:rPr>
          <w:snapToGrid w:val="0"/>
        </w:rPr>
        <w:t>需要与SVG对接的信号</w:t>
      </w:r>
    </w:p>
    <w:p>
      <w:pPr>
        <w:tabs>
          <w:tab w:val="left" w:pos="420"/>
        </w:tabs>
        <w:spacing w:line="360" w:lineRule="auto"/>
        <w:ind w:firstLine="105" w:firstLineChars="50"/>
        <w:rPr>
          <w:color w:val="000000"/>
        </w:rPr>
      </w:pPr>
      <w:r>
        <w:rPr>
          <w:color w:val="000000"/>
        </w:rPr>
        <w:t>1）现场提供的电源</w:t>
      </w:r>
    </w:p>
    <w:p>
      <w:pPr>
        <w:tabs>
          <w:tab w:val="left" w:pos="420"/>
        </w:tabs>
        <w:spacing w:line="360" w:lineRule="auto"/>
        <w:ind w:firstLine="105" w:firstLineChars="50"/>
        <w:rPr>
          <w:color w:val="000000"/>
        </w:rPr>
      </w:pPr>
      <w:r>
        <w:rPr>
          <w:color w:val="000000"/>
        </w:rPr>
        <w:t>电源：AC380V三相四线制电源，容量</w:t>
      </w:r>
      <w:r>
        <w:rPr>
          <w:color w:val="000000"/>
          <w:u w:val="single"/>
        </w:rPr>
        <w:t xml:space="preserve">   </w:t>
      </w:r>
      <w:r>
        <w:rPr>
          <w:color w:val="000000"/>
        </w:rPr>
        <w:t>kVA， DC220V直流电源。</w:t>
      </w:r>
    </w:p>
    <w:p>
      <w:pPr>
        <w:tabs>
          <w:tab w:val="left" w:pos="420"/>
        </w:tabs>
        <w:spacing w:line="360" w:lineRule="auto"/>
        <w:ind w:firstLine="315" w:firstLineChars="150"/>
        <w:rPr>
          <w:color w:val="000000"/>
        </w:rPr>
      </w:pPr>
      <w:r>
        <w:rPr>
          <w:color w:val="000000"/>
        </w:rPr>
        <w:t>提供给SVG的控制电源：</w:t>
      </w:r>
    </w:p>
    <w:tbl>
      <w:tblPr>
        <w:tblStyle w:val="21"/>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3"/>
        <w:gridCol w:w="1134"/>
        <w:gridCol w:w="368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09" w:type="dxa"/>
            <w:vAlign w:val="top"/>
          </w:tcPr>
          <w:p>
            <w:pPr>
              <w:spacing w:line="360" w:lineRule="auto"/>
              <w:rPr>
                <w:color w:val="000000"/>
              </w:rPr>
            </w:pPr>
            <w:r>
              <w:rPr>
                <w:color w:val="000000"/>
              </w:rPr>
              <w:t>序号</w:t>
            </w:r>
          </w:p>
        </w:tc>
        <w:tc>
          <w:tcPr>
            <w:tcW w:w="1423" w:type="dxa"/>
            <w:vAlign w:val="top"/>
          </w:tcPr>
          <w:p>
            <w:pPr>
              <w:spacing w:line="360" w:lineRule="auto"/>
              <w:rPr>
                <w:color w:val="000000"/>
              </w:rPr>
            </w:pPr>
            <w:r>
              <w:rPr>
                <w:color w:val="000000"/>
              </w:rPr>
              <w:t>名称</w:t>
            </w:r>
          </w:p>
        </w:tc>
        <w:tc>
          <w:tcPr>
            <w:tcW w:w="1134" w:type="dxa"/>
            <w:vAlign w:val="top"/>
          </w:tcPr>
          <w:p>
            <w:pPr>
              <w:spacing w:line="360" w:lineRule="auto"/>
              <w:rPr>
                <w:color w:val="000000"/>
              </w:rPr>
            </w:pPr>
            <w:r>
              <w:rPr>
                <w:color w:val="000000"/>
              </w:rPr>
              <w:t>性质</w:t>
            </w:r>
          </w:p>
        </w:tc>
        <w:tc>
          <w:tcPr>
            <w:tcW w:w="3685" w:type="dxa"/>
            <w:vAlign w:val="top"/>
          </w:tcPr>
          <w:p>
            <w:pPr>
              <w:spacing w:line="360" w:lineRule="auto"/>
              <w:rPr>
                <w:color w:val="000000"/>
              </w:rPr>
            </w:pPr>
            <w:r>
              <w:rPr>
                <w:color w:val="000000"/>
              </w:rPr>
              <w:t>说明</w:t>
            </w:r>
          </w:p>
        </w:tc>
        <w:tc>
          <w:tcPr>
            <w:tcW w:w="2106" w:type="dxa"/>
            <w:vAlign w:val="top"/>
          </w:tcPr>
          <w:p>
            <w:pPr>
              <w:spacing w:line="360" w:lineRule="auto"/>
              <w:rPr>
                <w:color w:val="000000"/>
              </w:rPr>
            </w:pPr>
            <w:r>
              <w:rPr>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9" w:type="dxa"/>
            <w:vAlign w:val="top"/>
          </w:tcPr>
          <w:p>
            <w:pPr>
              <w:spacing w:line="360" w:lineRule="auto"/>
              <w:rPr>
                <w:color w:val="000000"/>
              </w:rPr>
            </w:pPr>
            <w:r>
              <w:rPr>
                <w:color w:val="000000"/>
              </w:rPr>
              <w:t>1</w:t>
            </w:r>
          </w:p>
        </w:tc>
        <w:tc>
          <w:tcPr>
            <w:tcW w:w="1423" w:type="dxa"/>
            <w:vAlign w:val="top"/>
          </w:tcPr>
          <w:p>
            <w:pPr>
              <w:spacing w:line="360" w:lineRule="auto"/>
              <w:rPr>
                <w:color w:val="000000"/>
              </w:rPr>
            </w:pPr>
            <w:r>
              <w:rPr>
                <w:color w:val="000000"/>
              </w:rPr>
              <w:t>380VAC电源</w:t>
            </w:r>
          </w:p>
        </w:tc>
        <w:tc>
          <w:tcPr>
            <w:tcW w:w="1134" w:type="dxa"/>
            <w:vAlign w:val="top"/>
          </w:tcPr>
          <w:p>
            <w:pPr>
              <w:spacing w:line="360" w:lineRule="auto"/>
              <w:rPr>
                <w:color w:val="000000"/>
              </w:rPr>
            </w:pPr>
            <w:r>
              <w:rPr>
                <w:color w:val="000000"/>
              </w:rPr>
              <w:t>控制电源</w:t>
            </w:r>
          </w:p>
        </w:tc>
        <w:tc>
          <w:tcPr>
            <w:tcW w:w="3685" w:type="dxa"/>
            <w:vAlign w:val="top"/>
          </w:tcPr>
          <w:p>
            <w:pPr>
              <w:spacing w:line="360" w:lineRule="auto"/>
              <w:rPr>
                <w:color w:val="000000"/>
              </w:rPr>
            </w:pPr>
            <w:r>
              <w:rPr>
                <w:color w:val="000000"/>
              </w:rPr>
              <w:t>提供给SVG的交流控制电源</w:t>
            </w:r>
          </w:p>
        </w:tc>
        <w:tc>
          <w:tcPr>
            <w:tcW w:w="2106" w:type="dxa"/>
            <w:vAlign w:val="top"/>
          </w:tcPr>
          <w:p>
            <w:pPr>
              <w:spacing w:line="360" w:lineRule="auto"/>
              <w:rPr>
                <w:color w:val="000000"/>
              </w:rPr>
            </w:pPr>
            <w:r>
              <w:rPr>
                <w:color w:val="000000"/>
              </w:rPr>
              <w:t>三相四线制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09" w:type="dxa"/>
            <w:vAlign w:val="top"/>
          </w:tcPr>
          <w:p>
            <w:pPr>
              <w:spacing w:line="360" w:lineRule="auto"/>
              <w:rPr>
                <w:color w:val="000000"/>
              </w:rPr>
            </w:pPr>
            <w:r>
              <w:rPr>
                <w:color w:val="000000"/>
              </w:rPr>
              <w:t>2</w:t>
            </w:r>
          </w:p>
        </w:tc>
        <w:tc>
          <w:tcPr>
            <w:tcW w:w="1423" w:type="dxa"/>
            <w:vAlign w:val="top"/>
          </w:tcPr>
          <w:p>
            <w:pPr>
              <w:spacing w:line="360" w:lineRule="auto"/>
              <w:rPr>
                <w:color w:val="000000"/>
              </w:rPr>
            </w:pPr>
            <w:r>
              <w:rPr>
                <w:color w:val="000000"/>
              </w:rPr>
              <w:t>DC220V电源</w:t>
            </w:r>
          </w:p>
        </w:tc>
        <w:tc>
          <w:tcPr>
            <w:tcW w:w="1134" w:type="dxa"/>
            <w:vAlign w:val="top"/>
          </w:tcPr>
          <w:p>
            <w:pPr>
              <w:spacing w:line="360" w:lineRule="auto"/>
              <w:rPr>
                <w:color w:val="000000"/>
              </w:rPr>
            </w:pPr>
            <w:r>
              <w:rPr>
                <w:color w:val="000000"/>
              </w:rPr>
              <w:t>控制电源</w:t>
            </w:r>
          </w:p>
        </w:tc>
        <w:tc>
          <w:tcPr>
            <w:tcW w:w="3685" w:type="dxa"/>
            <w:vAlign w:val="top"/>
          </w:tcPr>
          <w:p>
            <w:pPr>
              <w:spacing w:line="360" w:lineRule="auto"/>
              <w:rPr>
                <w:color w:val="000000"/>
              </w:rPr>
            </w:pPr>
            <w:r>
              <w:rPr>
                <w:color w:val="000000"/>
              </w:rPr>
              <w:t>提供给SVG的直流控制电源，(可选)</w:t>
            </w:r>
          </w:p>
        </w:tc>
        <w:tc>
          <w:tcPr>
            <w:tcW w:w="2106" w:type="dxa"/>
            <w:vAlign w:val="top"/>
          </w:tcPr>
          <w:p>
            <w:pPr>
              <w:spacing w:line="360" w:lineRule="auto"/>
              <w:rPr>
                <w:color w:val="000000"/>
              </w:rPr>
            </w:pPr>
          </w:p>
        </w:tc>
      </w:tr>
    </w:tbl>
    <w:p>
      <w:pPr>
        <w:tabs>
          <w:tab w:val="left" w:pos="420"/>
        </w:tabs>
        <w:spacing w:line="360" w:lineRule="auto"/>
        <w:ind w:firstLine="105" w:firstLineChars="50"/>
        <w:rPr>
          <w:color w:val="000000"/>
        </w:rPr>
      </w:pPr>
      <w:r>
        <w:rPr>
          <w:color w:val="000000"/>
        </w:rPr>
        <w:t>2）SVG到DCS的开关量</w:t>
      </w:r>
    </w:p>
    <w:p>
      <w:pPr>
        <w:numPr>
          <w:ilvl w:val="0"/>
          <w:numId w:val="8"/>
        </w:numPr>
        <w:tabs>
          <w:tab w:val="left" w:pos="420"/>
        </w:tabs>
        <w:spacing w:line="360" w:lineRule="auto"/>
        <w:rPr>
          <w:color w:val="000000"/>
        </w:rPr>
      </w:pPr>
      <w:r>
        <w:rPr>
          <w:color w:val="000000"/>
        </w:rPr>
        <w:t>外部故障输入：可以作为SVG正常运行的条件，闭合联跳；</w:t>
      </w:r>
    </w:p>
    <w:p>
      <w:pPr>
        <w:numPr>
          <w:ilvl w:val="0"/>
          <w:numId w:val="8"/>
        </w:numPr>
        <w:tabs>
          <w:tab w:val="left" w:pos="420"/>
        </w:tabs>
        <w:spacing w:line="360" w:lineRule="auto"/>
        <w:rPr>
          <w:color w:val="000000"/>
        </w:rPr>
      </w:pPr>
      <w:r>
        <w:rPr>
          <w:color w:val="000000"/>
        </w:rPr>
        <w:t>外部开停机：控制SVG的开机停机，1路常开点，闭合开机，断开停机；</w:t>
      </w:r>
    </w:p>
    <w:p>
      <w:pPr>
        <w:numPr>
          <w:ilvl w:val="0"/>
          <w:numId w:val="8"/>
        </w:numPr>
        <w:tabs>
          <w:tab w:val="left" w:pos="420"/>
        </w:tabs>
        <w:spacing w:line="360" w:lineRule="auto"/>
        <w:rPr>
          <w:color w:val="000000"/>
        </w:rPr>
      </w:pPr>
      <w:r>
        <w:rPr>
          <w:color w:val="000000"/>
        </w:rPr>
        <w:t>外部复位：可以清除SVG故障显示，闭合时有效；</w:t>
      </w:r>
    </w:p>
    <w:p>
      <w:pPr>
        <w:numPr>
          <w:ilvl w:val="0"/>
          <w:numId w:val="8"/>
        </w:numPr>
        <w:tabs>
          <w:tab w:val="left" w:pos="420"/>
        </w:tabs>
        <w:spacing w:line="360" w:lineRule="auto"/>
        <w:rPr>
          <w:color w:val="000000"/>
        </w:rPr>
      </w:pPr>
      <w:r>
        <w:rPr>
          <w:color w:val="000000"/>
        </w:rPr>
        <w:t>故障报警：装置出现故障时发出警报。1路常开点。</w:t>
      </w:r>
    </w:p>
    <w:p>
      <w:pPr>
        <w:tabs>
          <w:tab w:val="left" w:pos="420"/>
        </w:tabs>
        <w:spacing w:line="360" w:lineRule="auto"/>
        <w:rPr>
          <w:color w:val="000000"/>
        </w:rPr>
      </w:pPr>
      <w:r>
        <w:rPr>
          <w:color w:val="000000"/>
        </w:rPr>
        <w:t>SVG的开关量信号</w:t>
      </w:r>
    </w:p>
    <w:tbl>
      <w:tblPr>
        <w:tblStyle w:val="21"/>
        <w:tblW w:w="93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370"/>
        <w:gridCol w:w="354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09" w:type="dxa"/>
            <w:vAlign w:val="top"/>
          </w:tcPr>
          <w:p>
            <w:pPr>
              <w:spacing w:line="360" w:lineRule="auto"/>
              <w:rPr>
                <w:color w:val="000000"/>
              </w:rPr>
            </w:pPr>
            <w:r>
              <w:rPr>
                <w:color w:val="000000"/>
              </w:rPr>
              <w:t>序号</w:t>
            </w:r>
          </w:p>
        </w:tc>
        <w:tc>
          <w:tcPr>
            <w:tcW w:w="1276" w:type="dxa"/>
            <w:vAlign w:val="top"/>
          </w:tcPr>
          <w:p>
            <w:pPr>
              <w:spacing w:line="360" w:lineRule="auto"/>
              <w:rPr>
                <w:color w:val="000000"/>
              </w:rPr>
            </w:pPr>
            <w:r>
              <w:rPr>
                <w:color w:val="000000"/>
              </w:rPr>
              <w:t>名称</w:t>
            </w:r>
          </w:p>
        </w:tc>
        <w:tc>
          <w:tcPr>
            <w:tcW w:w="1370" w:type="dxa"/>
            <w:vAlign w:val="top"/>
          </w:tcPr>
          <w:p>
            <w:pPr>
              <w:spacing w:line="360" w:lineRule="auto"/>
              <w:rPr>
                <w:color w:val="000000"/>
              </w:rPr>
            </w:pPr>
            <w:r>
              <w:rPr>
                <w:color w:val="000000"/>
              </w:rPr>
              <w:t>性质</w:t>
            </w:r>
          </w:p>
        </w:tc>
        <w:tc>
          <w:tcPr>
            <w:tcW w:w="3544" w:type="dxa"/>
            <w:vAlign w:val="top"/>
          </w:tcPr>
          <w:p>
            <w:pPr>
              <w:spacing w:line="360" w:lineRule="auto"/>
              <w:rPr>
                <w:color w:val="000000"/>
              </w:rPr>
            </w:pPr>
            <w:r>
              <w:rPr>
                <w:color w:val="000000"/>
              </w:rPr>
              <w:t>说明</w:t>
            </w:r>
          </w:p>
        </w:tc>
        <w:tc>
          <w:tcPr>
            <w:tcW w:w="2409" w:type="dxa"/>
            <w:vAlign w:val="top"/>
          </w:tcPr>
          <w:p>
            <w:pPr>
              <w:spacing w:line="360" w:lineRule="auto"/>
              <w:rPr>
                <w:color w:val="000000"/>
              </w:rPr>
            </w:pPr>
            <w:r>
              <w:rPr>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9" w:type="dxa"/>
            <w:vAlign w:val="top"/>
          </w:tcPr>
          <w:p>
            <w:pPr>
              <w:spacing w:line="360" w:lineRule="auto"/>
              <w:rPr>
                <w:color w:val="000000"/>
              </w:rPr>
            </w:pPr>
            <w:r>
              <w:rPr>
                <w:color w:val="000000"/>
              </w:rPr>
              <w:t>1</w:t>
            </w:r>
          </w:p>
        </w:tc>
        <w:tc>
          <w:tcPr>
            <w:tcW w:w="1276" w:type="dxa"/>
            <w:vAlign w:val="top"/>
          </w:tcPr>
          <w:p>
            <w:pPr>
              <w:spacing w:line="360" w:lineRule="auto"/>
              <w:rPr>
                <w:color w:val="000000"/>
              </w:rPr>
            </w:pPr>
            <w:r>
              <w:rPr>
                <w:color w:val="000000"/>
              </w:rPr>
              <w:t>外部故障</w:t>
            </w:r>
          </w:p>
        </w:tc>
        <w:tc>
          <w:tcPr>
            <w:tcW w:w="1370" w:type="dxa"/>
            <w:vAlign w:val="top"/>
          </w:tcPr>
          <w:p>
            <w:pPr>
              <w:spacing w:line="360" w:lineRule="auto"/>
              <w:rPr>
                <w:color w:val="000000"/>
              </w:rPr>
            </w:pPr>
            <w:r>
              <w:rPr>
                <w:color w:val="000000"/>
              </w:rPr>
              <w:t>DI开关量</w:t>
            </w:r>
          </w:p>
        </w:tc>
        <w:tc>
          <w:tcPr>
            <w:tcW w:w="3544" w:type="dxa"/>
            <w:vAlign w:val="top"/>
          </w:tcPr>
          <w:p>
            <w:pPr>
              <w:spacing w:line="360" w:lineRule="auto"/>
              <w:rPr>
                <w:color w:val="000000"/>
              </w:rPr>
            </w:pPr>
            <w:r>
              <w:rPr>
                <w:color w:val="000000"/>
              </w:rPr>
              <w:t>与SVG运行相关的设备故障输入</w:t>
            </w:r>
          </w:p>
        </w:tc>
        <w:tc>
          <w:tcPr>
            <w:tcW w:w="2409" w:type="dxa"/>
            <w:vAlign w:val="top"/>
          </w:tcPr>
          <w:p>
            <w:pPr>
              <w:spacing w:line="360" w:lineRule="auto"/>
              <w:rPr>
                <w:color w:val="000000"/>
              </w:rPr>
            </w:pPr>
            <w:r>
              <w:rPr>
                <w:color w:val="000000"/>
              </w:rPr>
              <w:t>无源接点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09" w:type="dxa"/>
            <w:vAlign w:val="top"/>
          </w:tcPr>
          <w:p>
            <w:pPr>
              <w:spacing w:line="360" w:lineRule="auto"/>
              <w:rPr>
                <w:color w:val="000000"/>
              </w:rPr>
            </w:pPr>
            <w:r>
              <w:rPr>
                <w:color w:val="000000"/>
              </w:rPr>
              <w:t>2</w:t>
            </w:r>
          </w:p>
        </w:tc>
        <w:tc>
          <w:tcPr>
            <w:tcW w:w="1276" w:type="dxa"/>
            <w:vAlign w:val="top"/>
          </w:tcPr>
          <w:p>
            <w:pPr>
              <w:spacing w:line="360" w:lineRule="auto"/>
              <w:rPr>
                <w:color w:val="000000"/>
              </w:rPr>
            </w:pPr>
            <w:r>
              <w:rPr>
                <w:color w:val="000000"/>
              </w:rPr>
              <w:t>外部开停机</w:t>
            </w:r>
          </w:p>
        </w:tc>
        <w:tc>
          <w:tcPr>
            <w:tcW w:w="1370" w:type="dxa"/>
            <w:vAlign w:val="top"/>
          </w:tcPr>
          <w:p>
            <w:pPr>
              <w:spacing w:line="360" w:lineRule="auto"/>
              <w:rPr>
                <w:color w:val="000000"/>
              </w:rPr>
            </w:pPr>
            <w:r>
              <w:rPr>
                <w:color w:val="000000"/>
              </w:rPr>
              <w:t>DI开关量</w:t>
            </w:r>
          </w:p>
        </w:tc>
        <w:tc>
          <w:tcPr>
            <w:tcW w:w="3544" w:type="dxa"/>
            <w:vAlign w:val="top"/>
          </w:tcPr>
          <w:p>
            <w:pPr>
              <w:spacing w:line="360" w:lineRule="auto"/>
              <w:rPr>
                <w:color w:val="000000"/>
              </w:rPr>
            </w:pPr>
            <w:r>
              <w:rPr>
                <w:color w:val="000000"/>
              </w:rPr>
              <w:t>控制SVG开停机信号</w:t>
            </w:r>
          </w:p>
        </w:tc>
        <w:tc>
          <w:tcPr>
            <w:tcW w:w="2409" w:type="dxa"/>
            <w:vAlign w:val="top"/>
          </w:tcPr>
          <w:p>
            <w:pPr>
              <w:spacing w:line="360" w:lineRule="auto"/>
              <w:rPr>
                <w:color w:val="000000"/>
              </w:rPr>
            </w:pPr>
            <w:r>
              <w:rPr>
                <w:color w:val="000000"/>
              </w:rPr>
              <w:t>闭合开机，断开停机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09" w:type="dxa"/>
            <w:vAlign w:val="top"/>
          </w:tcPr>
          <w:p>
            <w:pPr>
              <w:spacing w:line="360" w:lineRule="auto"/>
              <w:rPr>
                <w:color w:val="000000"/>
              </w:rPr>
            </w:pPr>
            <w:r>
              <w:rPr>
                <w:color w:val="000000"/>
              </w:rPr>
              <w:t>3</w:t>
            </w:r>
          </w:p>
        </w:tc>
        <w:tc>
          <w:tcPr>
            <w:tcW w:w="1276" w:type="dxa"/>
            <w:vAlign w:val="top"/>
          </w:tcPr>
          <w:p>
            <w:pPr>
              <w:spacing w:line="360" w:lineRule="auto"/>
              <w:rPr>
                <w:color w:val="000000"/>
              </w:rPr>
            </w:pPr>
            <w:r>
              <w:rPr>
                <w:color w:val="000000"/>
              </w:rPr>
              <w:t>外部复位</w:t>
            </w:r>
          </w:p>
        </w:tc>
        <w:tc>
          <w:tcPr>
            <w:tcW w:w="1370" w:type="dxa"/>
            <w:vAlign w:val="top"/>
          </w:tcPr>
          <w:p>
            <w:pPr>
              <w:spacing w:line="360" w:lineRule="auto"/>
              <w:rPr>
                <w:color w:val="000000"/>
              </w:rPr>
            </w:pPr>
            <w:r>
              <w:rPr>
                <w:color w:val="000000"/>
              </w:rPr>
              <w:t>DI开关量</w:t>
            </w:r>
          </w:p>
        </w:tc>
        <w:tc>
          <w:tcPr>
            <w:tcW w:w="3544" w:type="dxa"/>
            <w:vAlign w:val="top"/>
          </w:tcPr>
          <w:p>
            <w:pPr>
              <w:spacing w:line="360" w:lineRule="auto"/>
              <w:rPr>
                <w:color w:val="000000"/>
              </w:rPr>
            </w:pPr>
            <w:r>
              <w:rPr>
                <w:color w:val="000000"/>
              </w:rPr>
              <w:t>控制SVG故障复位信号</w:t>
            </w:r>
          </w:p>
        </w:tc>
        <w:tc>
          <w:tcPr>
            <w:tcW w:w="2409" w:type="dxa"/>
            <w:vAlign w:val="top"/>
          </w:tcPr>
          <w:p>
            <w:pPr>
              <w:spacing w:line="360" w:lineRule="auto"/>
              <w:rPr>
                <w:color w:val="000000"/>
              </w:rPr>
            </w:pPr>
            <w:r>
              <w:rPr>
                <w:color w:val="000000"/>
              </w:rPr>
              <w:t>无源接点，闭合复位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09" w:type="dxa"/>
            <w:vAlign w:val="top"/>
          </w:tcPr>
          <w:p>
            <w:pPr>
              <w:spacing w:line="360" w:lineRule="auto"/>
              <w:rPr>
                <w:color w:val="000000"/>
              </w:rPr>
            </w:pPr>
            <w:r>
              <w:rPr>
                <w:color w:val="000000"/>
              </w:rPr>
              <w:t>4</w:t>
            </w:r>
          </w:p>
        </w:tc>
        <w:tc>
          <w:tcPr>
            <w:tcW w:w="1276" w:type="dxa"/>
            <w:vAlign w:val="top"/>
          </w:tcPr>
          <w:p>
            <w:pPr>
              <w:spacing w:line="360" w:lineRule="auto"/>
              <w:rPr>
                <w:color w:val="000000"/>
              </w:rPr>
            </w:pPr>
            <w:r>
              <w:rPr>
                <w:color w:val="000000"/>
              </w:rPr>
              <w:t>并机故障</w:t>
            </w:r>
          </w:p>
        </w:tc>
        <w:tc>
          <w:tcPr>
            <w:tcW w:w="1370" w:type="dxa"/>
            <w:vAlign w:val="top"/>
          </w:tcPr>
          <w:p>
            <w:pPr>
              <w:spacing w:line="360" w:lineRule="auto"/>
              <w:rPr>
                <w:color w:val="000000"/>
              </w:rPr>
            </w:pPr>
            <w:r>
              <w:rPr>
                <w:color w:val="000000"/>
              </w:rPr>
              <w:t>DI开关量</w:t>
            </w:r>
          </w:p>
        </w:tc>
        <w:tc>
          <w:tcPr>
            <w:tcW w:w="3544" w:type="dxa"/>
            <w:vAlign w:val="top"/>
          </w:tcPr>
          <w:p>
            <w:pPr>
              <w:spacing w:line="360" w:lineRule="auto"/>
              <w:rPr>
                <w:color w:val="000000"/>
              </w:rPr>
            </w:pPr>
            <w:r>
              <w:rPr>
                <w:color w:val="000000"/>
              </w:rPr>
              <w:t>SVG多机运行时，一台故障给出信号</w:t>
            </w:r>
          </w:p>
        </w:tc>
        <w:tc>
          <w:tcPr>
            <w:tcW w:w="2409" w:type="dxa"/>
            <w:vAlign w:val="top"/>
          </w:tcPr>
          <w:p>
            <w:pPr>
              <w:spacing w:line="360" w:lineRule="auto"/>
              <w:rPr>
                <w:color w:val="000000"/>
              </w:rPr>
            </w:pPr>
            <w:r>
              <w:rPr>
                <w:color w:val="000000"/>
              </w:rPr>
              <w:t>两台SVG互连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09" w:type="dxa"/>
            <w:vAlign w:val="top"/>
          </w:tcPr>
          <w:p>
            <w:pPr>
              <w:spacing w:line="360" w:lineRule="auto"/>
              <w:rPr>
                <w:color w:val="000000"/>
              </w:rPr>
            </w:pPr>
            <w:r>
              <w:rPr>
                <w:color w:val="000000"/>
              </w:rPr>
              <w:t>5</w:t>
            </w:r>
          </w:p>
        </w:tc>
        <w:tc>
          <w:tcPr>
            <w:tcW w:w="1276" w:type="dxa"/>
            <w:vAlign w:val="top"/>
          </w:tcPr>
          <w:p>
            <w:pPr>
              <w:spacing w:line="360" w:lineRule="auto"/>
              <w:rPr>
                <w:color w:val="000000"/>
              </w:rPr>
            </w:pPr>
            <w:r>
              <w:rPr>
                <w:color w:val="000000"/>
              </w:rPr>
              <w:t>故障报警</w:t>
            </w:r>
          </w:p>
        </w:tc>
        <w:tc>
          <w:tcPr>
            <w:tcW w:w="1370" w:type="dxa"/>
            <w:vAlign w:val="top"/>
          </w:tcPr>
          <w:p>
            <w:pPr>
              <w:spacing w:line="360" w:lineRule="auto"/>
              <w:rPr>
                <w:color w:val="000000"/>
              </w:rPr>
            </w:pPr>
            <w:r>
              <w:rPr>
                <w:color w:val="000000"/>
              </w:rPr>
              <w:t>DO开关量</w:t>
            </w:r>
          </w:p>
        </w:tc>
        <w:tc>
          <w:tcPr>
            <w:tcW w:w="3544" w:type="dxa"/>
            <w:vAlign w:val="top"/>
          </w:tcPr>
          <w:p>
            <w:pPr>
              <w:spacing w:line="360" w:lineRule="auto"/>
              <w:rPr>
                <w:color w:val="000000"/>
              </w:rPr>
            </w:pPr>
            <w:r>
              <w:rPr>
                <w:color w:val="000000"/>
              </w:rPr>
              <w:t>SVG装置出现故障时输出信号</w:t>
            </w:r>
          </w:p>
        </w:tc>
        <w:tc>
          <w:tcPr>
            <w:tcW w:w="2409" w:type="dxa"/>
            <w:vAlign w:val="top"/>
          </w:tcPr>
          <w:p>
            <w:pPr>
              <w:spacing w:line="360" w:lineRule="auto"/>
              <w:rPr>
                <w:color w:val="000000"/>
              </w:rPr>
            </w:pPr>
            <w:r>
              <w:rPr>
                <w:color w:val="000000"/>
              </w:rPr>
              <w:t>无源</w:t>
            </w:r>
          </w:p>
        </w:tc>
      </w:tr>
    </w:tbl>
    <w:p>
      <w:pPr>
        <w:tabs>
          <w:tab w:val="left" w:pos="420"/>
        </w:tabs>
        <w:spacing w:line="360" w:lineRule="auto"/>
        <w:ind w:firstLine="105" w:firstLineChars="50"/>
        <w:rPr>
          <w:color w:val="000000"/>
        </w:rPr>
      </w:pPr>
      <w:r>
        <w:rPr>
          <w:color w:val="000000"/>
        </w:rPr>
        <w:t>3）高压开关柜到SVG的连接点</w:t>
      </w:r>
    </w:p>
    <w:p>
      <w:pPr>
        <w:numPr>
          <w:ilvl w:val="0"/>
          <w:numId w:val="8"/>
        </w:numPr>
        <w:tabs>
          <w:tab w:val="left" w:pos="420"/>
        </w:tabs>
        <w:spacing w:line="360" w:lineRule="auto"/>
        <w:rPr>
          <w:color w:val="000000"/>
        </w:rPr>
      </w:pPr>
      <w:r>
        <w:rPr>
          <w:color w:val="000000"/>
        </w:rPr>
        <w:t>高压开关紧急分断：即联跳高压开关接点。SVG出现重故障时，自动分断高压开关。1路常开点，闭合有效；</w:t>
      </w:r>
    </w:p>
    <w:p>
      <w:pPr>
        <w:numPr>
          <w:ilvl w:val="0"/>
          <w:numId w:val="8"/>
        </w:numPr>
        <w:tabs>
          <w:tab w:val="left" w:pos="420"/>
        </w:tabs>
        <w:spacing w:line="360" w:lineRule="auto"/>
        <w:rPr>
          <w:color w:val="000000"/>
        </w:rPr>
      </w:pPr>
      <w:r>
        <w:rPr>
          <w:color w:val="000000"/>
        </w:rPr>
        <w:t>高压合闸允许：允许将高压开关合闸，1路常开点，闭合有效。</w:t>
      </w:r>
    </w:p>
    <w:p>
      <w:pPr>
        <w:numPr>
          <w:ilvl w:val="0"/>
          <w:numId w:val="8"/>
        </w:numPr>
        <w:tabs>
          <w:tab w:val="left" w:pos="420"/>
        </w:tabs>
        <w:spacing w:line="360" w:lineRule="auto"/>
        <w:rPr>
          <w:color w:val="000000"/>
        </w:rPr>
      </w:pPr>
      <w:r>
        <w:rPr>
          <w:color w:val="000000"/>
        </w:rPr>
        <w:t>高压就绪：高压准备就绪，高压开关提供给SVG的1路常开点，闭合有效。</w:t>
      </w:r>
    </w:p>
    <w:p>
      <w:pPr>
        <w:tabs>
          <w:tab w:val="left" w:pos="420"/>
        </w:tabs>
        <w:spacing w:line="360" w:lineRule="auto"/>
        <w:rPr>
          <w:color w:val="000000"/>
        </w:rPr>
      </w:pPr>
      <w:r>
        <w:rPr>
          <w:color w:val="000000"/>
        </w:rPr>
        <w:t>SVG与高压开关柜的连接信号：</w:t>
      </w:r>
    </w:p>
    <w:tbl>
      <w:tblPr>
        <w:tblStyle w:val="21"/>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559"/>
        <w:gridCol w:w="1134"/>
        <w:gridCol w:w="411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1" w:type="dxa"/>
            <w:vAlign w:val="top"/>
          </w:tcPr>
          <w:p>
            <w:pPr>
              <w:spacing w:line="360" w:lineRule="auto"/>
              <w:rPr>
                <w:color w:val="000000"/>
              </w:rPr>
            </w:pPr>
            <w:r>
              <w:rPr>
                <w:color w:val="000000"/>
              </w:rPr>
              <w:t>序号</w:t>
            </w:r>
          </w:p>
        </w:tc>
        <w:tc>
          <w:tcPr>
            <w:tcW w:w="1559" w:type="dxa"/>
            <w:vAlign w:val="top"/>
          </w:tcPr>
          <w:p>
            <w:pPr>
              <w:spacing w:line="360" w:lineRule="auto"/>
              <w:rPr>
                <w:color w:val="000000"/>
              </w:rPr>
            </w:pPr>
            <w:r>
              <w:rPr>
                <w:color w:val="000000"/>
              </w:rPr>
              <w:t>名称</w:t>
            </w:r>
          </w:p>
        </w:tc>
        <w:tc>
          <w:tcPr>
            <w:tcW w:w="1134" w:type="dxa"/>
            <w:vAlign w:val="top"/>
          </w:tcPr>
          <w:p>
            <w:pPr>
              <w:spacing w:line="360" w:lineRule="auto"/>
              <w:rPr>
                <w:color w:val="000000"/>
              </w:rPr>
            </w:pPr>
            <w:r>
              <w:rPr>
                <w:color w:val="000000"/>
              </w:rPr>
              <w:t>性质</w:t>
            </w:r>
          </w:p>
        </w:tc>
        <w:tc>
          <w:tcPr>
            <w:tcW w:w="4111" w:type="dxa"/>
            <w:vAlign w:val="top"/>
          </w:tcPr>
          <w:p>
            <w:pPr>
              <w:spacing w:line="360" w:lineRule="auto"/>
              <w:rPr>
                <w:color w:val="000000"/>
              </w:rPr>
            </w:pPr>
            <w:r>
              <w:rPr>
                <w:color w:val="000000"/>
              </w:rPr>
              <w:t>说明</w:t>
            </w:r>
          </w:p>
        </w:tc>
        <w:tc>
          <w:tcPr>
            <w:tcW w:w="1275" w:type="dxa"/>
            <w:vAlign w:val="top"/>
          </w:tcPr>
          <w:p>
            <w:pPr>
              <w:spacing w:line="360" w:lineRule="auto"/>
              <w:rPr>
                <w:color w:val="000000"/>
              </w:rPr>
            </w:pPr>
            <w:r>
              <w:rPr>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81" w:type="dxa"/>
            <w:vAlign w:val="top"/>
          </w:tcPr>
          <w:p>
            <w:pPr>
              <w:spacing w:line="360" w:lineRule="auto"/>
              <w:rPr>
                <w:color w:val="000000"/>
              </w:rPr>
            </w:pPr>
            <w:r>
              <w:rPr>
                <w:color w:val="000000"/>
              </w:rPr>
              <w:t>1</w:t>
            </w:r>
          </w:p>
        </w:tc>
        <w:tc>
          <w:tcPr>
            <w:tcW w:w="1559" w:type="dxa"/>
            <w:vAlign w:val="top"/>
          </w:tcPr>
          <w:p>
            <w:pPr>
              <w:spacing w:line="360" w:lineRule="auto"/>
              <w:rPr>
                <w:color w:val="000000"/>
              </w:rPr>
            </w:pPr>
            <w:r>
              <w:rPr>
                <w:color w:val="000000"/>
              </w:rPr>
              <w:t>高压就绪</w:t>
            </w:r>
          </w:p>
        </w:tc>
        <w:tc>
          <w:tcPr>
            <w:tcW w:w="1134" w:type="dxa"/>
            <w:vAlign w:val="top"/>
          </w:tcPr>
          <w:p>
            <w:pPr>
              <w:spacing w:line="360" w:lineRule="auto"/>
              <w:rPr>
                <w:color w:val="000000"/>
              </w:rPr>
            </w:pPr>
            <w:r>
              <w:rPr>
                <w:color w:val="000000"/>
              </w:rPr>
              <w:t>DI开关量</w:t>
            </w:r>
          </w:p>
        </w:tc>
        <w:tc>
          <w:tcPr>
            <w:tcW w:w="4111" w:type="dxa"/>
            <w:vAlign w:val="top"/>
          </w:tcPr>
          <w:p>
            <w:pPr>
              <w:spacing w:line="360" w:lineRule="auto"/>
              <w:rPr>
                <w:color w:val="000000"/>
              </w:rPr>
            </w:pPr>
            <w:r>
              <w:rPr>
                <w:color w:val="000000"/>
              </w:rPr>
              <w:t>表示上级开关柜给SVG的合闸位置信号</w:t>
            </w:r>
          </w:p>
        </w:tc>
        <w:tc>
          <w:tcPr>
            <w:tcW w:w="1275" w:type="dxa"/>
            <w:vAlign w:val="top"/>
          </w:tcPr>
          <w:p>
            <w:pPr>
              <w:spacing w:line="360" w:lineRule="auto"/>
              <w:rPr>
                <w:color w:val="000000"/>
              </w:rPr>
            </w:pPr>
            <w:r>
              <w:rPr>
                <w:color w:val="000000"/>
              </w:rPr>
              <w:t>无源干接点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81" w:type="dxa"/>
            <w:vAlign w:val="top"/>
          </w:tcPr>
          <w:p>
            <w:pPr>
              <w:spacing w:line="360" w:lineRule="auto"/>
              <w:rPr>
                <w:color w:val="000000"/>
              </w:rPr>
            </w:pPr>
            <w:r>
              <w:rPr>
                <w:color w:val="000000"/>
              </w:rPr>
              <w:t>2</w:t>
            </w:r>
          </w:p>
        </w:tc>
        <w:tc>
          <w:tcPr>
            <w:tcW w:w="1559" w:type="dxa"/>
            <w:vAlign w:val="top"/>
          </w:tcPr>
          <w:p>
            <w:pPr>
              <w:spacing w:line="360" w:lineRule="auto"/>
              <w:rPr>
                <w:color w:val="000000"/>
              </w:rPr>
            </w:pPr>
            <w:r>
              <w:rPr>
                <w:color w:val="000000"/>
              </w:rPr>
              <w:t>高压合闸允许</w:t>
            </w:r>
          </w:p>
        </w:tc>
        <w:tc>
          <w:tcPr>
            <w:tcW w:w="1134" w:type="dxa"/>
            <w:vAlign w:val="top"/>
          </w:tcPr>
          <w:p>
            <w:pPr>
              <w:spacing w:line="360" w:lineRule="auto"/>
              <w:rPr>
                <w:color w:val="000000"/>
              </w:rPr>
            </w:pPr>
            <w:r>
              <w:rPr>
                <w:color w:val="000000"/>
              </w:rPr>
              <w:t>DO开关量</w:t>
            </w:r>
          </w:p>
        </w:tc>
        <w:tc>
          <w:tcPr>
            <w:tcW w:w="4111" w:type="dxa"/>
            <w:vAlign w:val="top"/>
          </w:tcPr>
          <w:p>
            <w:pPr>
              <w:spacing w:line="360" w:lineRule="auto"/>
              <w:rPr>
                <w:color w:val="000000"/>
              </w:rPr>
            </w:pPr>
            <w:r>
              <w:rPr>
                <w:color w:val="000000"/>
              </w:rPr>
              <w:t>表示SVG给上级开关柜的合闸允许信号</w:t>
            </w:r>
          </w:p>
        </w:tc>
        <w:tc>
          <w:tcPr>
            <w:tcW w:w="1275" w:type="dxa"/>
            <w:vAlign w:val="top"/>
          </w:tcPr>
          <w:p>
            <w:pPr>
              <w:spacing w:line="360" w:lineRule="auto"/>
              <w:rPr>
                <w:color w:val="000000"/>
              </w:rPr>
            </w:pPr>
            <w:r>
              <w:rPr>
                <w:color w:val="000000"/>
              </w:rPr>
              <w:t>无源干接点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81" w:type="dxa"/>
            <w:vAlign w:val="top"/>
          </w:tcPr>
          <w:p>
            <w:pPr>
              <w:spacing w:line="360" w:lineRule="auto"/>
              <w:rPr>
                <w:color w:val="000000"/>
              </w:rPr>
            </w:pPr>
            <w:r>
              <w:rPr>
                <w:color w:val="000000"/>
              </w:rPr>
              <w:t>3</w:t>
            </w:r>
          </w:p>
        </w:tc>
        <w:tc>
          <w:tcPr>
            <w:tcW w:w="1559" w:type="dxa"/>
            <w:vAlign w:val="top"/>
          </w:tcPr>
          <w:p>
            <w:pPr>
              <w:spacing w:line="360" w:lineRule="auto"/>
              <w:rPr>
                <w:color w:val="000000"/>
              </w:rPr>
            </w:pPr>
            <w:r>
              <w:rPr>
                <w:color w:val="000000"/>
              </w:rPr>
              <w:t>联跳高压</w:t>
            </w:r>
          </w:p>
        </w:tc>
        <w:tc>
          <w:tcPr>
            <w:tcW w:w="1134" w:type="dxa"/>
            <w:vAlign w:val="top"/>
          </w:tcPr>
          <w:p>
            <w:pPr>
              <w:spacing w:line="360" w:lineRule="auto"/>
              <w:rPr>
                <w:color w:val="000000"/>
              </w:rPr>
            </w:pPr>
            <w:r>
              <w:rPr>
                <w:color w:val="000000"/>
              </w:rPr>
              <w:t>DO开关量</w:t>
            </w:r>
          </w:p>
        </w:tc>
        <w:tc>
          <w:tcPr>
            <w:tcW w:w="4111" w:type="dxa"/>
            <w:vAlign w:val="top"/>
          </w:tcPr>
          <w:p>
            <w:pPr>
              <w:spacing w:line="360" w:lineRule="auto"/>
              <w:rPr>
                <w:color w:val="000000"/>
              </w:rPr>
            </w:pPr>
            <w:r>
              <w:rPr>
                <w:color w:val="000000"/>
              </w:rPr>
              <w:t>表示SVG给上级开关柜的紧急分闸信号</w:t>
            </w:r>
          </w:p>
        </w:tc>
        <w:tc>
          <w:tcPr>
            <w:tcW w:w="1275" w:type="dxa"/>
            <w:vAlign w:val="top"/>
          </w:tcPr>
          <w:p>
            <w:pPr>
              <w:spacing w:line="360" w:lineRule="auto"/>
              <w:rPr>
                <w:color w:val="000000"/>
              </w:rPr>
            </w:pPr>
            <w:r>
              <w:rPr>
                <w:color w:val="000000"/>
              </w:rPr>
              <w:t>无源干接点</w:t>
            </w:r>
          </w:p>
        </w:tc>
      </w:tr>
    </w:tbl>
    <w:p>
      <w:pPr>
        <w:tabs>
          <w:tab w:val="left" w:pos="420"/>
        </w:tabs>
        <w:spacing w:line="360" w:lineRule="auto"/>
        <w:ind w:firstLine="105" w:firstLineChars="50"/>
        <w:rPr>
          <w:color w:val="000000"/>
        </w:rPr>
      </w:pPr>
      <w:r>
        <w:rPr>
          <w:color w:val="000000"/>
        </w:rPr>
        <w:t>4）与SVG连接的模拟信号</w:t>
      </w:r>
    </w:p>
    <w:p>
      <w:pPr>
        <w:spacing w:line="360" w:lineRule="auto"/>
        <w:ind w:firstLine="420" w:firstLineChars="200"/>
        <w:rPr>
          <w:color w:val="000000"/>
        </w:rPr>
      </w:pPr>
      <w:r>
        <w:rPr>
          <w:color w:val="000000"/>
        </w:rPr>
        <w:t>PT信号：采集系统电压，用于系统计算以及电压同步，如果考核点不是系统电压，则再接入考核点PT信号；装置接入点电压（PT）：AC100V，精度0.2级。</w:t>
      </w:r>
    </w:p>
    <w:p>
      <w:pPr>
        <w:numPr>
          <w:ilvl w:val="0"/>
          <w:numId w:val="8"/>
        </w:numPr>
        <w:tabs>
          <w:tab w:val="left" w:pos="420"/>
        </w:tabs>
        <w:spacing w:line="360" w:lineRule="auto"/>
        <w:rPr>
          <w:color w:val="000000"/>
        </w:rPr>
      </w:pPr>
      <w:r>
        <w:rPr>
          <w:color w:val="000000"/>
        </w:rPr>
        <w:t>CT信号：采集考核点电流，用于系统计算补偿无功。CT次级电流1A，其它规格需特殊说明。CT精度要求：0.2级。</w:t>
      </w:r>
    </w:p>
    <w:p>
      <w:pPr>
        <w:pStyle w:val="7"/>
        <w:spacing w:line="360" w:lineRule="auto"/>
        <w:ind w:firstLine="464"/>
        <w:rPr>
          <w:color w:val="000000"/>
          <w:spacing w:val="-4"/>
          <w:sz w:val="24"/>
          <w:szCs w:val="24"/>
        </w:rPr>
      </w:pPr>
      <w:r>
        <w:rPr>
          <w:color w:val="000000"/>
          <w:spacing w:val="-4"/>
          <w:sz w:val="24"/>
          <w:szCs w:val="24"/>
        </w:rPr>
        <w:t>提供给SVG的模拟量信号：</w:t>
      </w:r>
    </w:p>
    <w:tbl>
      <w:tblPr>
        <w:tblStyle w:val="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83"/>
        <w:gridCol w:w="1296"/>
        <w:gridCol w:w="398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top"/>
          </w:tcPr>
          <w:p>
            <w:pPr>
              <w:spacing w:line="360" w:lineRule="auto"/>
              <w:rPr>
                <w:color w:val="000000"/>
              </w:rPr>
            </w:pPr>
            <w:r>
              <w:rPr>
                <w:color w:val="000000"/>
              </w:rPr>
              <w:t>序号</w:t>
            </w:r>
          </w:p>
        </w:tc>
        <w:tc>
          <w:tcPr>
            <w:tcW w:w="1383" w:type="dxa"/>
            <w:vAlign w:val="top"/>
          </w:tcPr>
          <w:p>
            <w:pPr>
              <w:spacing w:line="360" w:lineRule="auto"/>
              <w:rPr>
                <w:color w:val="000000"/>
              </w:rPr>
            </w:pPr>
            <w:r>
              <w:rPr>
                <w:color w:val="000000"/>
              </w:rPr>
              <w:t>名称</w:t>
            </w:r>
          </w:p>
        </w:tc>
        <w:tc>
          <w:tcPr>
            <w:tcW w:w="1296" w:type="dxa"/>
            <w:vAlign w:val="top"/>
          </w:tcPr>
          <w:p>
            <w:pPr>
              <w:spacing w:line="360" w:lineRule="auto"/>
              <w:rPr>
                <w:color w:val="000000"/>
              </w:rPr>
            </w:pPr>
            <w:r>
              <w:rPr>
                <w:color w:val="000000"/>
              </w:rPr>
              <w:t>性质</w:t>
            </w:r>
          </w:p>
        </w:tc>
        <w:tc>
          <w:tcPr>
            <w:tcW w:w="3983" w:type="dxa"/>
            <w:vAlign w:val="top"/>
          </w:tcPr>
          <w:p>
            <w:pPr>
              <w:spacing w:line="360" w:lineRule="auto"/>
              <w:rPr>
                <w:color w:val="000000"/>
              </w:rPr>
            </w:pPr>
            <w:r>
              <w:rPr>
                <w:color w:val="000000"/>
              </w:rPr>
              <w:t>说明</w:t>
            </w:r>
          </w:p>
        </w:tc>
        <w:tc>
          <w:tcPr>
            <w:tcW w:w="1418" w:type="dxa"/>
            <w:vAlign w:val="top"/>
          </w:tcPr>
          <w:p>
            <w:pPr>
              <w:spacing w:line="360" w:lineRule="auto"/>
              <w:rPr>
                <w:color w:val="000000"/>
              </w:rPr>
            </w:pPr>
            <w:r>
              <w:rPr>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17" w:type="dxa"/>
            <w:vAlign w:val="top"/>
          </w:tcPr>
          <w:p>
            <w:pPr>
              <w:spacing w:line="360" w:lineRule="auto"/>
              <w:rPr>
                <w:color w:val="000000"/>
              </w:rPr>
            </w:pPr>
            <w:r>
              <w:rPr>
                <w:color w:val="000000"/>
              </w:rPr>
              <w:t>1</w:t>
            </w:r>
          </w:p>
        </w:tc>
        <w:tc>
          <w:tcPr>
            <w:tcW w:w="1383" w:type="dxa"/>
            <w:vAlign w:val="top"/>
          </w:tcPr>
          <w:p>
            <w:pPr>
              <w:spacing w:line="360" w:lineRule="auto"/>
              <w:rPr>
                <w:color w:val="000000"/>
              </w:rPr>
            </w:pPr>
            <w:r>
              <w:rPr>
                <w:color w:val="000000"/>
              </w:rPr>
              <w:t>CT信号</w:t>
            </w:r>
          </w:p>
        </w:tc>
        <w:tc>
          <w:tcPr>
            <w:tcW w:w="1296" w:type="dxa"/>
            <w:vAlign w:val="top"/>
          </w:tcPr>
          <w:p>
            <w:pPr>
              <w:spacing w:line="360" w:lineRule="auto"/>
              <w:rPr>
                <w:color w:val="000000"/>
              </w:rPr>
            </w:pPr>
            <w:r>
              <w:rPr>
                <w:color w:val="000000"/>
              </w:rPr>
              <w:t>AI(1A)</w:t>
            </w:r>
          </w:p>
        </w:tc>
        <w:tc>
          <w:tcPr>
            <w:tcW w:w="3983" w:type="dxa"/>
            <w:vAlign w:val="top"/>
          </w:tcPr>
          <w:p>
            <w:pPr>
              <w:spacing w:line="360" w:lineRule="auto"/>
              <w:rPr>
                <w:color w:val="000000"/>
              </w:rPr>
            </w:pPr>
            <w:r>
              <w:rPr>
                <w:color w:val="000000"/>
              </w:rPr>
              <w:t>考核点三路CT电流信号提供给SVG</w:t>
            </w:r>
          </w:p>
        </w:tc>
        <w:tc>
          <w:tcPr>
            <w:tcW w:w="1418" w:type="dxa"/>
            <w:vAlign w:val="top"/>
          </w:tcPr>
          <w:p>
            <w:pPr>
              <w:spacing w:line="360" w:lineRule="auto"/>
              <w:rPr>
                <w:color w:val="000000"/>
              </w:rPr>
            </w:pPr>
            <w:r>
              <w:rPr>
                <w:color w:val="000000"/>
              </w:rPr>
              <w:t>精度0.2级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17" w:type="dxa"/>
            <w:vAlign w:val="top"/>
          </w:tcPr>
          <w:p>
            <w:pPr>
              <w:spacing w:line="360" w:lineRule="auto"/>
              <w:rPr>
                <w:color w:val="000000"/>
              </w:rPr>
            </w:pPr>
            <w:r>
              <w:rPr>
                <w:color w:val="000000"/>
              </w:rPr>
              <w:t>2</w:t>
            </w:r>
          </w:p>
        </w:tc>
        <w:tc>
          <w:tcPr>
            <w:tcW w:w="1383" w:type="dxa"/>
            <w:vAlign w:val="top"/>
          </w:tcPr>
          <w:p>
            <w:pPr>
              <w:spacing w:line="360" w:lineRule="auto"/>
              <w:rPr>
                <w:color w:val="000000"/>
              </w:rPr>
            </w:pPr>
            <w:r>
              <w:rPr>
                <w:color w:val="000000"/>
              </w:rPr>
              <w:t>PT 信号</w:t>
            </w:r>
          </w:p>
        </w:tc>
        <w:tc>
          <w:tcPr>
            <w:tcW w:w="1296" w:type="dxa"/>
            <w:vAlign w:val="top"/>
          </w:tcPr>
          <w:p>
            <w:pPr>
              <w:spacing w:line="360" w:lineRule="auto"/>
              <w:rPr>
                <w:color w:val="000000"/>
              </w:rPr>
            </w:pPr>
            <w:r>
              <w:rPr>
                <w:color w:val="000000"/>
              </w:rPr>
              <w:t>AI(100V)</w:t>
            </w:r>
          </w:p>
        </w:tc>
        <w:tc>
          <w:tcPr>
            <w:tcW w:w="3983" w:type="dxa"/>
            <w:vAlign w:val="top"/>
          </w:tcPr>
          <w:p>
            <w:pPr>
              <w:spacing w:line="360" w:lineRule="auto"/>
              <w:rPr>
                <w:color w:val="000000"/>
              </w:rPr>
            </w:pPr>
            <w:r>
              <w:rPr>
                <w:color w:val="000000"/>
              </w:rPr>
              <w:t>网侧或考核点PT电压信号提供给SVG</w:t>
            </w:r>
          </w:p>
        </w:tc>
        <w:tc>
          <w:tcPr>
            <w:tcW w:w="1418" w:type="dxa"/>
            <w:vAlign w:val="top"/>
          </w:tcPr>
          <w:p>
            <w:pPr>
              <w:spacing w:line="360" w:lineRule="auto"/>
              <w:rPr>
                <w:color w:val="000000"/>
              </w:rPr>
            </w:pPr>
            <w:r>
              <w:rPr>
                <w:color w:val="000000"/>
              </w:rPr>
              <w:t>精度0.2级</w:t>
            </w:r>
          </w:p>
        </w:tc>
      </w:tr>
    </w:tbl>
    <w:p>
      <w:pPr>
        <w:tabs>
          <w:tab w:val="left" w:pos="420"/>
        </w:tabs>
        <w:spacing w:line="360" w:lineRule="auto"/>
        <w:ind w:firstLine="105" w:firstLineChars="50"/>
        <w:rPr>
          <w:color w:val="000000"/>
        </w:rPr>
      </w:pPr>
      <w:r>
        <w:rPr>
          <w:color w:val="000000"/>
        </w:rPr>
        <w:t>5）SVG与现场的通讯接口</w:t>
      </w:r>
    </w:p>
    <w:p>
      <w:pPr>
        <w:spacing w:line="360" w:lineRule="auto"/>
        <w:ind w:firstLine="472" w:firstLineChars="225"/>
        <w:rPr>
          <w:color w:val="000000"/>
        </w:rPr>
      </w:pPr>
      <w:r>
        <w:rPr>
          <w:color w:val="000000"/>
        </w:rPr>
        <w:t>SVG控制系统采用RS485或以太网通讯方式，RS485接口可支持Modbus-RTU通讯协议或电力CDT通讯规约，以太网通讯协议为IEC/104。</w:t>
      </w:r>
    </w:p>
    <w:p>
      <w:pPr>
        <w:spacing w:line="360" w:lineRule="auto"/>
        <w:rPr>
          <w:color w:val="000000"/>
        </w:rPr>
      </w:pPr>
      <w:r>
        <w:rPr>
          <w:color w:val="000000"/>
        </w:rPr>
        <w:t>通讯接口：</w:t>
      </w:r>
    </w:p>
    <w:tbl>
      <w:tblPr>
        <w:tblStyle w:val="21"/>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5"/>
        <w:gridCol w:w="2268"/>
        <w:gridCol w:w="297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10" w:type="dxa"/>
            <w:vAlign w:val="top"/>
          </w:tcPr>
          <w:p>
            <w:pPr>
              <w:spacing w:line="360" w:lineRule="auto"/>
              <w:rPr>
                <w:color w:val="000000"/>
              </w:rPr>
            </w:pPr>
            <w:r>
              <w:rPr>
                <w:color w:val="000000"/>
              </w:rPr>
              <w:t>序号</w:t>
            </w:r>
          </w:p>
        </w:tc>
        <w:tc>
          <w:tcPr>
            <w:tcW w:w="1275" w:type="dxa"/>
            <w:vAlign w:val="top"/>
          </w:tcPr>
          <w:p>
            <w:pPr>
              <w:spacing w:line="360" w:lineRule="auto"/>
              <w:rPr>
                <w:color w:val="000000"/>
              </w:rPr>
            </w:pPr>
            <w:r>
              <w:rPr>
                <w:color w:val="000000"/>
              </w:rPr>
              <w:t>名称</w:t>
            </w:r>
          </w:p>
        </w:tc>
        <w:tc>
          <w:tcPr>
            <w:tcW w:w="2268" w:type="dxa"/>
            <w:vAlign w:val="top"/>
          </w:tcPr>
          <w:p>
            <w:pPr>
              <w:spacing w:line="360" w:lineRule="auto"/>
              <w:rPr>
                <w:color w:val="000000"/>
              </w:rPr>
            </w:pPr>
            <w:r>
              <w:rPr>
                <w:color w:val="000000"/>
              </w:rPr>
              <w:t>性质</w:t>
            </w:r>
          </w:p>
        </w:tc>
        <w:tc>
          <w:tcPr>
            <w:tcW w:w="2977" w:type="dxa"/>
            <w:vAlign w:val="top"/>
          </w:tcPr>
          <w:p>
            <w:pPr>
              <w:spacing w:line="360" w:lineRule="auto"/>
              <w:rPr>
                <w:color w:val="000000"/>
              </w:rPr>
            </w:pPr>
            <w:r>
              <w:rPr>
                <w:color w:val="000000"/>
              </w:rPr>
              <w:t>说明</w:t>
            </w:r>
          </w:p>
        </w:tc>
        <w:tc>
          <w:tcPr>
            <w:tcW w:w="2126" w:type="dxa"/>
            <w:vAlign w:val="top"/>
          </w:tcPr>
          <w:p>
            <w:pPr>
              <w:spacing w:line="360" w:lineRule="auto"/>
              <w:rPr>
                <w:color w:val="000000"/>
              </w:rPr>
            </w:pPr>
            <w:r>
              <w:rPr>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10" w:type="dxa"/>
            <w:vAlign w:val="top"/>
          </w:tcPr>
          <w:p>
            <w:pPr>
              <w:spacing w:line="360" w:lineRule="auto"/>
              <w:rPr>
                <w:color w:val="000000"/>
              </w:rPr>
            </w:pPr>
            <w:r>
              <w:rPr>
                <w:color w:val="000000"/>
              </w:rPr>
              <w:t>1</w:t>
            </w:r>
          </w:p>
        </w:tc>
        <w:tc>
          <w:tcPr>
            <w:tcW w:w="1275" w:type="dxa"/>
            <w:vAlign w:val="top"/>
          </w:tcPr>
          <w:p>
            <w:pPr>
              <w:spacing w:line="360" w:lineRule="auto"/>
              <w:rPr>
                <w:color w:val="000000"/>
              </w:rPr>
            </w:pPr>
            <w:r>
              <w:rPr>
                <w:color w:val="000000"/>
              </w:rPr>
              <w:t>通讯接口</w:t>
            </w:r>
          </w:p>
        </w:tc>
        <w:tc>
          <w:tcPr>
            <w:tcW w:w="2268" w:type="dxa"/>
            <w:vAlign w:val="top"/>
          </w:tcPr>
          <w:p>
            <w:pPr>
              <w:spacing w:line="360" w:lineRule="auto"/>
              <w:rPr>
                <w:color w:val="000000"/>
              </w:rPr>
            </w:pPr>
            <w:r>
              <w:rPr>
                <w:color w:val="000000"/>
              </w:rPr>
              <w:t>两路RS485</w:t>
            </w:r>
          </w:p>
        </w:tc>
        <w:tc>
          <w:tcPr>
            <w:tcW w:w="2977" w:type="dxa"/>
            <w:vAlign w:val="top"/>
          </w:tcPr>
          <w:p>
            <w:pPr>
              <w:spacing w:line="360" w:lineRule="auto"/>
              <w:rPr>
                <w:color w:val="000000"/>
              </w:rPr>
            </w:pPr>
            <w:r>
              <w:rPr>
                <w:color w:val="000000"/>
              </w:rPr>
              <w:t>与现场通讯的接口，默认</w:t>
            </w:r>
          </w:p>
        </w:tc>
        <w:tc>
          <w:tcPr>
            <w:tcW w:w="2126" w:type="dxa"/>
            <w:vAlign w:val="top"/>
          </w:tcPr>
          <w:p>
            <w:pPr>
              <w:spacing w:line="360" w:lineRule="auto"/>
              <w:rPr>
                <w:color w:val="000000"/>
              </w:rPr>
            </w:pPr>
            <w:r>
              <w:rPr>
                <w:color w:val="000000"/>
              </w:rPr>
              <w:t>Modbus-RTU协议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10" w:type="dxa"/>
            <w:vAlign w:val="top"/>
          </w:tcPr>
          <w:p>
            <w:pPr>
              <w:spacing w:line="360" w:lineRule="auto"/>
              <w:rPr>
                <w:color w:val="000000"/>
              </w:rPr>
            </w:pPr>
            <w:r>
              <w:rPr>
                <w:color w:val="000000"/>
              </w:rPr>
              <w:t>2</w:t>
            </w:r>
          </w:p>
        </w:tc>
        <w:tc>
          <w:tcPr>
            <w:tcW w:w="1275" w:type="dxa"/>
            <w:vAlign w:val="top"/>
          </w:tcPr>
          <w:p>
            <w:pPr>
              <w:spacing w:line="360" w:lineRule="auto"/>
              <w:rPr>
                <w:color w:val="000000"/>
              </w:rPr>
            </w:pPr>
            <w:r>
              <w:rPr>
                <w:color w:val="000000"/>
              </w:rPr>
              <w:t>通讯接口</w:t>
            </w:r>
          </w:p>
        </w:tc>
        <w:tc>
          <w:tcPr>
            <w:tcW w:w="2268" w:type="dxa"/>
            <w:vAlign w:val="top"/>
          </w:tcPr>
          <w:p>
            <w:pPr>
              <w:spacing w:line="360" w:lineRule="auto"/>
              <w:rPr>
                <w:color w:val="000000"/>
              </w:rPr>
            </w:pPr>
            <w:r>
              <w:rPr>
                <w:color w:val="000000"/>
              </w:rPr>
              <w:t>以太网+RS485一路</w:t>
            </w:r>
          </w:p>
        </w:tc>
        <w:tc>
          <w:tcPr>
            <w:tcW w:w="2977" w:type="dxa"/>
            <w:vAlign w:val="top"/>
          </w:tcPr>
          <w:p>
            <w:pPr>
              <w:spacing w:line="360" w:lineRule="auto"/>
              <w:rPr>
                <w:color w:val="000000"/>
              </w:rPr>
            </w:pPr>
            <w:r>
              <w:rPr>
                <w:color w:val="000000"/>
              </w:rPr>
              <w:t>与现场通讯的接口，可选</w:t>
            </w:r>
          </w:p>
        </w:tc>
        <w:tc>
          <w:tcPr>
            <w:tcW w:w="2126" w:type="dxa"/>
            <w:vAlign w:val="top"/>
          </w:tcPr>
          <w:p>
            <w:pPr>
              <w:spacing w:line="360" w:lineRule="auto"/>
              <w:rPr>
                <w:color w:val="000000"/>
              </w:rPr>
            </w:pPr>
            <w:r>
              <w:rPr>
                <w:color w:val="000000"/>
              </w:rPr>
              <w:t>IEC/104协议</w:t>
            </w:r>
          </w:p>
        </w:tc>
      </w:tr>
    </w:tbl>
    <w:p>
      <w:pPr>
        <w:pStyle w:val="4"/>
        <w:spacing w:before="120" w:after="120"/>
      </w:pPr>
      <w:r>
        <w:rPr>
          <w:rFonts w:hint="eastAsia"/>
          <w:snapToGrid w:val="0"/>
        </w:rPr>
        <w:t>3.2.2</w:t>
      </w:r>
      <w:r>
        <w:t>成套SVG补偿装置技术要求</w:t>
      </w:r>
    </w:p>
    <w:p>
      <w:pPr>
        <w:tabs>
          <w:tab w:val="left" w:pos="0"/>
          <w:tab w:val="left" w:pos="600"/>
        </w:tabs>
        <w:spacing w:line="360" w:lineRule="auto"/>
        <w:ind w:firstLine="420" w:firstLineChars="200"/>
        <w:rPr>
          <w:color w:val="000000"/>
        </w:rPr>
      </w:pPr>
      <w:r>
        <w:rPr>
          <w:color w:val="000000"/>
        </w:rPr>
        <w:t>SVG装置在规定的工作条件和负载条件下运行，并按使用说明书进行安装和维护，预期寿命应不少于25年，质保期5年。</w:t>
      </w:r>
    </w:p>
    <w:p>
      <w:pPr>
        <w:spacing w:line="360" w:lineRule="auto"/>
        <w:ind w:firstLine="420" w:firstLineChars="200"/>
        <w:rPr>
          <w:color w:val="000000"/>
        </w:rPr>
      </w:pPr>
      <w:r>
        <w:rPr>
          <w:color w:val="000000"/>
        </w:rPr>
        <w:t>本工程装设35kV动态无功补偿装置。装置主要包括：以大功率可关断电力电子器件组成的逆变器为其核心部分的SVG型静止无功发生器成套装置，并成套配备相应的自动控制监控和保护系统等成套装置，SVG装置使用年限不少于25年，质保期5年，包括静止无功发生器（SVG）、隔离开关等，额定补偿容量以供电部门批复为准。</w:t>
      </w:r>
    </w:p>
    <w:p>
      <w:pPr>
        <w:spacing w:line="360" w:lineRule="auto"/>
        <w:ind w:firstLine="420" w:firstLineChars="200"/>
        <w:rPr>
          <w:color w:val="000000"/>
        </w:rPr>
      </w:pPr>
      <w:r>
        <w:rPr>
          <w:color w:val="000000"/>
        </w:rPr>
        <w:t>每套成套装置以进线无功功率及母线电压作为控制目标，动态跟踪电网电能质量变化，并根据变化情况动态调节无功输出，实现变电站在任意负荷下的高功率因数运行；</w:t>
      </w:r>
    </w:p>
    <w:p>
      <w:pPr>
        <w:spacing w:line="360" w:lineRule="auto"/>
        <w:ind w:firstLine="420" w:firstLineChars="200"/>
        <w:rPr>
          <w:color w:val="000000"/>
        </w:rPr>
      </w:pPr>
      <w:r>
        <w:rPr>
          <w:color w:val="000000"/>
        </w:rPr>
        <w:t>成套装置应满足无功功率、电压调节、功率因数及谐波治理等技术要求，并要求达到以下技术指标：</w:t>
      </w:r>
    </w:p>
    <w:p>
      <w:pPr>
        <w:spacing w:line="360" w:lineRule="auto"/>
        <w:ind w:firstLine="420" w:firstLineChars="200"/>
        <w:rPr>
          <w:color w:val="000000"/>
        </w:rPr>
      </w:pPr>
      <w:r>
        <w:rPr>
          <w:color w:val="000000"/>
        </w:rPr>
        <w:t>1）输出容量</w:t>
      </w:r>
    </w:p>
    <w:p>
      <w:pPr>
        <w:spacing w:line="360" w:lineRule="auto"/>
        <w:ind w:firstLine="420" w:firstLineChars="200"/>
        <w:rPr>
          <w:color w:val="000000"/>
        </w:rPr>
      </w:pPr>
      <w:r>
        <w:rPr>
          <w:color w:val="000000"/>
        </w:rPr>
        <w:t>成套装置以母线侧功率因数，或母线电压作为控制目标，SVG装置额定补偿容量以供电部门批复为准，且容量范围内连续平滑调节。</w:t>
      </w:r>
    </w:p>
    <w:p>
      <w:pPr>
        <w:spacing w:line="360" w:lineRule="auto"/>
        <w:ind w:firstLine="420" w:firstLineChars="200"/>
        <w:rPr>
          <w:color w:val="000000"/>
        </w:rPr>
      </w:pPr>
      <w:r>
        <w:rPr>
          <w:color w:val="000000"/>
        </w:rPr>
        <w:t>2）响应时间</w:t>
      </w:r>
    </w:p>
    <w:p>
      <w:pPr>
        <w:spacing w:line="360" w:lineRule="auto"/>
        <w:ind w:firstLine="420" w:firstLineChars="200"/>
        <w:rPr>
          <w:color w:val="000000"/>
        </w:rPr>
      </w:pPr>
      <w:r>
        <w:rPr>
          <w:color w:val="000000"/>
        </w:rPr>
        <w:t>SVG装置可动态跟踪电网电压变化，并根据变化情况动态调节无功输出，实现稳定电压的作用。动态响应时间不大于10ms。</w:t>
      </w:r>
    </w:p>
    <w:p>
      <w:pPr>
        <w:spacing w:line="360" w:lineRule="auto"/>
        <w:ind w:firstLine="420" w:firstLineChars="200"/>
        <w:rPr>
          <w:color w:val="000000"/>
        </w:rPr>
      </w:pPr>
      <w:r>
        <w:rPr>
          <w:color w:val="000000"/>
        </w:rPr>
        <w:t>3）过载能力</w:t>
      </w:r>
    </w:p>
    <w:p>
      <w:pPr>
        <w:adjustRightInd w:val="0"/>
        <w:spacing w:line="360" w:lineRule="auto"/>
        <w:ind w:right="63" w:rightChars="30" w:firstLine="420" w:firstLineChars="200"/>
        <w:jc w:val="left"/>
        <w:textAlignment w:val="baseline"/>
        <w:rPr>
          <w:color w:val="000000"/>
        </w:rPr>
      </w:pPr>
      <w:r>
        <w:rPr>
          <w:color w:val="000000"/>
        </w:rPr>
        <w:t>成套装置应具有短时过载能力，过载无功补偿容量为成套装置额定容量的15%、时间持续1分钟保护停机。</w:t>
      </w:r>
    </w:p>
    <w:p>
      <w:pPr>
        <w:spacing w:line="360" w:lineRule="auto"/>
        <w:ind w:firstLine="420" w:firstLineChars="200"/>
        <w:rPr>
          <w:color w:val="000000"/>
        </w:rPr>
      </w:pPr>
      <w:r>
        <w:rPr>
          <w:color w:val="000000"/>
        </w:rPr>
        <w:t>4）冷却方式</w:t>
      </w:r>
    </w:p>
    <w:p>
      <w:pPr>
        <w:spacing w:line="360" w:lineRule="auto"/>
        <w:ind w:firstLine="420" w:firstLineChars="200"/>
        <w:rPr>
          <w:color w:val="000000"/>
        </w:rPr>
      </w:pPr>
      <w:r>
        <w:rPr>
          <w:color w:val="000000"/>
        </w:rPr>
        <w:t>成套装置采用水冷，技术先进、运行安全可靠，适应现场环境。</w:t>
      </w:r>
    </w:p>
    <w:p>
      <w:pPr>
        <w:spacing w:line="360" w:lineRule="auto"/>
        <w:ind w:firstLine="420" w:firstLineChars="200"/>
        <w:rPr>
          <w:color w:val="000000"/>
        </w:rPr>
      </w:pPr>
      <w:r>
        <w:rPr>
          <w:color w:val="000000"/>
        </w:rPr>
        <w:t>5）谐波电压</w:t>
      </w:r>
    </w:p>
    <w:p>
      <w:pPr>
        <w:spacing w:line="360" w:lineRule="auto"/>
        <w:ind w:firstLine="420" w:firstLineChars="200"/>
        <w:rPr>
          <w:color w:val="000000"/>
        </w:rPr>
      </w:pPr>
      <w:r>
        <w:rPr>
          <w:color w:val="000000"/>
        </w:rPr>
        <w:t>注入系统公共连接点（P.C.C.点）母线的谐波电压总畸变率、奇次谐波电压含有率、偶次谐波电压含有率均满足中华人民共和国国家标准《GB/T 14549－93 电能质量公用电网谐波》的要求。</w:t>
      </w:r>
    </w:p>
    <w:p>
      <w:pPr>
        <w:widowControl/>
        <w:spacing w:line="360" w:lineRule="auto"/>
        <w:ind w:firstLine="420" w:firstLineChars="200"/>
        <w:jc w:val="left"/>
        <w:rPr>
          <w:color w:val="000000"/>
        </w:rPr>
      </w:pPr>
      <w:r>
        <w:rPr>
          <w:color w:val="000000"/>
        </w:rPr>
        <w:t>允许的谐波电压畸变如下：</w:t>
      </w:r>
    </w:p>
    <w:tbl>
      <w:tblPr>
        <w:tblStyle w:val="21"/>
        <w:tblW w:w="7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2340" w:type="dxa"/>
            <w:vAlign w:val="center"/>
          </w:tcPr>
          <w:p>
            <w:pPr>
              <w:spacing w:line="360" w:lineRule="auto"/>
              <w:jc w:val="center"/>
              <w:rPr>
                <w:color w:val="000000"/>
              </w:rPr>
            </w:pPr>
            <w:r>
              <w:rPr>
                <w:color w:val="000000"/>
              </w:rPr>
              <w:t>电压总谐波畸变率</w:t>
            </w:r>
          </w:p>
        </w:tc>
        <w:tc>
          <w:tcPr>
            <w:tcW w:w="2520" w:type="dxa"/>
            <w:vAlign w:val="center"/>
          </w:tcPr>
          <w:p>
            <w:pPr>
              <w:spacing w:line="360" w:lineRule="auto"/>
              <w:jc w:val="center"/>
              <w:rPr>
                <w:color w:val="000000"/>
              </w:rPr>
            </w:pPr>
            <w:r>
              <w:rPr>
                <w:color w:val="000000"/>
              </w:rPr>
              <w:t>奇次谐波电压含有率</w:t>
            </w:r>
          </w:p>
        </w:tc>
        <w:tc>
          <w:tcPr>
            <w:tcW w:w="2520" w:type="dxa"/>
            <w:vAlign w:val="center"/>
          </w:tcPr>
          <w:p>
            <w:pPr>
              <w:spacing w:line="360" w:lineRule="auto"/>
              <w:jc w:val="center"/>
              <w:rPr>
                <w:color w:val="000000"/>
              </w:rPr>
            </w:pPr>
            <w:r>
              <w:rPr>
                <w:color w:val="000000"/>
              </w:rPr>
              <w:t>偶次谐波电压含有率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40" w:type="dxa"/>
            <w:vAlign w:val="center"/>
          </w:tcPr>
          <w:p>
            <w:pPr>
              <w:spacing w:line="360" w:lineRule="auto"/>
              <w:jc w:val="center"/>
              <w:rPr>
                <w:color w:val="000000"/>
              </w:rPr>
            </w:pPr>
            <w:r>
              <w:rPr>
                <w:color w:val="000000"/>
              </w:rPr>
              <w:t>3.0%</w:t>
            </w:r>
          </w:p>
        </w:tc>
        <w:tc>
          <w:tcPr>
            <w:tcW w:w="2520" w:type="dxa"/>
            <w:vAlign w:val="center"/>
          </w:tcPr>
          <w:p>
            <w:pPr>
              <w:spacing w:line="360" w:lineRule="auto"/>
              <w:jc w:val="center"/>
              <w:rPr>
                <w:color w:val="000000"/>
              </w:rPr>
            </w:pPr>
            <w:r>
              <w:rPr>
                <w:color w:val="000000"/>
              </w:rPr>
              <w:t>2.4%</w:t>
            </w:r>
          </w:p>
        </w:tc>
        <w:tc>
          <w:tcPr>
            <w:tcW w:w="2520" w:type="dxa"/>
            <w:vAlign w:val="center"/>
          </w:tcPr>
          <w:p>
            <w:pPr>
              <w:spacing w:line="360" w:lineRule="auto"/>
              <w:jc w:val="center"/>
              <w:rPr>
                <w:color w:val="000000"/>
              </w:rPr>
            </w:pPr>
            <w:r>
              <w:rPr>
                <w:color w:val="000000"/>
              </w:rPr>
              <w:t>1.2%</w:t>
            </w:r>
          </w:p>
        </w:tc>
      </w:tr>
    </w:tbl>
    <w:p>
      <w:pPr>
        <w:spacing w:line="360" w:lineRule="auto"/>
        <w:ind w:firstLine="420" w:firstLineChars="200"/>
        <w:rPr>
          <w:color w:val="000000"/>
        </w:rPr>
      </w:pPr>
      <w:r>
        <w:rPr>
          <w:color w:val="000000"/>
        </w:rPr>
        <w:t>6）谐波电流</w:t>
      </w:r>
    </w:p>
    <w:p>
      <w:pPr>
        <w:spacing w:line="360" w:lineRule="auto"/>
        <w:ind w:firstLine="420" w:firstLineChars="200"/>
        <w:rPr>
          <w:color w:val="000000"/>
        </w:rPr>
      </w:pPr>
      <w:r>
        <w:rPr>
          <w:color w:val="000000"/>
        </w:rPr>
        <w:t>注入系统公共连接点（P.C.C.点）母线的各次谐波电流满足中华人民共和国国家标准《GB/T 14549－93 电能质量公用电网谐波》的要求。</w:t>
      </w:r>
    </w:p>
    <w:p>
      <w:pPr>
        <w:spacing w:line="360" w:lineRule="auto"/>
        <w:ind w:firstLine="420" w:firstLineChars="200"/>
        <w:rPr>
          <w:color w:val="000000"/>
        </w:rPr>
      </w:pPr>
      <w:r>
        <w:rPr>
          <w:color w:val="000000"/>
        </w:rPr>
        <w:t>7）三相电压不平衡度</w:t>
      </w:r>
    </w:p>
    <w:p>
      <w:pPr>
        <w:spacing w:line="360" w:lineRule="auto"/>
        <w:ind w:firstLine="420" w:firstLineChars="200"/>
        <w:rPr>
          <w:color w:val="000000"/>
        </w:rPr>
      </w:pPr>
      <w:r>
        <w:rPr>
          <w:color w:val="000000"/>
        </w:rPr>
        <w:t>公共连接点母线引起的电压不平衡度≤2%，满足中华人民共和国国家标准《GB/T 15543 2008 电能质量三相电压允许不平衡度》的要求。</w:t>
      </w:r>
    </w:p>
    <w:p>
      <w:pPr>
        <w:spacing w:line="360" w:lineRule="auto"/>
        <w:ind w:firstLine="420" w:firstLineChars="200"/>
        <w:rPr>
          <w:color w:val="000000"/>
        </w:rPr>
      </w:pPr>
      <w:r>
        <w:rPr>
          <w:color w:val="000000"/>
        </w:rPr>
        <w:t>8）电压波动和闪变</w:t>
      </w:r>
    </w:p>
    <w:p>
      <w:pPr>
        <w:widowControl/>
        <w:spacing w:line="360" w:lineRule="auto"/>
        <w:ind w:firstLine="420" w:firstLineChars="200"/>
        <w:jc w:val="left"/>
        <w:rPr>
          <w:color w:val="000000"/>
        </w:rPr>
      </w:pPr>
      <w:r>
        <w:t>35kV母线</w:t>
      </w:r>
      <w:r>
        <w:rPr>
          <w:color w:val="000000"/>
        </w:rPr>
        <w:t>电压的电压闪变和波动满足国家标准&lt;&lt;电能质量、电压波动和闪变&gt;&gt;GB/T12326。</w:t>
      </w:r>
    </w:p>
    <w:tbl>
      <w:tblPr>
        <w:tblStyle w:val="21"/>
        <w:tblW w:w="7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5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2340" w:type="dxa"/>
            <w:vAlign w:val="center"/>
          </w:tcPr>
          <w:p>
            <w:pPr>
              <w:spacing w:line="360" w:lineRule="auto"/>
              <w:jc w:val="center"/>
              <w:rPr>
                <w:color w:val="000000"/>
              </w:rPr>
            </w:pPr>
            <w:r>
              <w:rPr>
                <w:color w:val="000000"/>
              </w:rPr>
              <w:t>短时闪变Pst</w:t>
            </w:r>
          </w:p>
        </w:tc>
        <w:tc>
          <w:tcPr>
            <w:tcW w:w="2520" w:type="dxa"/>
            <w:vAlign w:val="center"/>
          </w:tcPr>
          <w:p>
            <w:pPr>
              <w:spacing w:line="360" w:lineRule="auto"/>
              <w:jc w:val="center"/>
              <w:rPr>
                <w:color w:val="000000"/>
              </w:rPr>
            </w:pPr>
            <w:r>
              <w:rPr>
                <w:color w:val="000000"/>
              </w:rPr>
              <w:t>长时闪变Plt</w:t>
            </w:r>
          </w:p>
        </w:tc>
        <w:tc>
          <w:tcPr>
            <w:tcW w:w="2520" w:type="dxa"/>
            <w:vAlign w:val="center"/>
          </w:tcPr>
          <w:p>
            <w:pPr>
              <w:spacing w:line="360" w:lineRule="auto"/>
              <w:jc w:val="center"/>
              <w:rPr>
                <w:color w:val="000000"/>
              </w:rPr>
            </w:pPr>
            <w:r>
              <w:rPr>
                <w:color w:val="000000"/>
              </w:rPr>
              <w:t>电压波动限制值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40" w:type="dxa"/>
            <w:vAlign w:val="center"/>
          </w:tcPr>
          <w:p>
            <w:pPr>
              <w:spacing w:line="360" w:lineRule="auto"/>
              <w:jc w:val="center"/>
              <w:rPr>
                <w:color w:val="000000"/>
              </w:rPr>
            </w:pPr>
            <w:r>
              <w:rPr>
                <w:color w:val="000000"/>
              </w:rPr>
              <w:t>1.0</w:t>
            </w:r>
          </w:p>
        </w:tc>
        <w:tc>
          <w:tcPr>
            <w:tcW w:w="2520" w:type="dxa"/>
            <w:vAlign w:val="center"/>
          </w:tcPr>
          <w:p>
            <w:pPr>
              <w:spacing w:line="360" w:lineRule="auto"/>
              <w:jc w:val="center"/>
              <w:rPr>
                <w:color w:val="000000"/>
              </w:rPr>
            </w:pPr>
            <w:r>
              <w:rPr>
                <w:color w:val="000000"/>
              </w:rPr>
              <w:t>0.8</w:t>
            </w:r>
          </w:p>
        </w:tc>
        <w:tc>
          <w:tcPr>
            <w:tcW w:w="2520" w:type="dxa"/>
            <w:vAlign w:val="center"/>
          </w:tcPr>
          <w:p>
            <w:pPr>
              <w:spacing w:line="360" w:lineRule="auto"/>
              <w:jc w:val="center"/>
              <w:rPr>
                <w:color w:val="000000"/>
              </w:rPr>
            </w:pPr>
            <w:r>
              <w:rPr>
                <w:color w:val="000000"/>
              </w:rPr>
              <w:t>2%</w:t>
            </w:r>
          </w:p>
        </w:tc>
      </w:tr>
    </w:tbl>
    <w:p>
      <w:pPr>
        <w:spacing w:line="360" w:lineRule="auto"/>
        <w:ind w:firstLine="420" w:firstLineChars="200"/>
        <w:rPr>
          <w:color w:val="000000"/>
        </w:rPr>
      </w:pPr>
    </w:p>
    <w:p>
      <w:pPr>
        <w:spacing w:line="360" w:lineRule="auto"/>
        <w:ind w:firstLine="420" w:firstLineChars="200"/>
        <w:rPr>
          <w:color w:val="000000"/>
        </w:rPr>
      </w:pPr>
      <w:r>
        <w:rPr>
          <w:color w:val="000000"/>
        </w:rPr>
        <w:t>9）功率因数</w:t>
      </w:r>
    </w:p>
    <w:p>
      <w:pPr>
        <w:spacing w:line="480" w:lineRule="atLeast"/>
        <w:ind w:firstLine="420" w:firstLineChars="200"/>
        <w:jc w:val="left"/>
        <w:rPr>
          <w:color w:val="000000"/>
        </w:rPr>
      </w:pPr>
      <w:r>
        <w:t>35kV母</w:t>
      </w:r>
      <w:r>
        <w:rPr>
          <w:color w:val="000000"/>
        </w:rPr>
        <w:t>线进线点的平均功率因数值在0.95（超前）~0.95（滞后）范围内连续可调。</w:t>
      </w:r>
    </w:p>
    <w:p>
      <w:pPr>
        <w:pStyle w:val="4"/>
        <w:spacing w:before="120" w:after="120"/>
      </w:pPr>
      <w:r>
        <w:rPr>
          <w:rFonts w:hint="eastAsia"/>
          <w:snapToGrid w:val="0"/>
        </w:rPr>
        <w:t xml:space="preserve">3.2.3  </w:t>
      </w:r>
      <w:r>
        <w:t>SVG装置技术规范参数</w:t>
      </w:r>
    </w:p>
    <w:p>
      <w:pPr>
        <w:spacing w:line="360" w:lineRule="auto"/>
        <w:ind w:firstLine="420" w:firstLineChars="200"/>
        <w:rPr>
          <w:color w:val="000000"/>
        </w:rPr>
      </w:pPr>
      <w:r>
        <w:rPr>
          <w:color w:val="000000"/>
        </w:rPr>
        <w:t>采用全控型器件IGBT，装置主回路元件的选用应留有足够的电流、电压裕度。</w:t>
      </w:r>
    </w:p>
    <w:p>
      <w:pPr>
        <w:spacing w:line="360" w:lineRule="auto"/>
        <w:ind w:firstLine="420" w:firstLineChars="200"/>
        <w:rPr>
          <w:color w:val="000000"/>
        </w:rPr>
      </w:pPr>
      <w:r>
        <w:rPr>
          <w:color w:val="000000"/>
        </w:rPr>
        <w:t>额定频率：    50Hz</w:t>
      </w:r>
    </w:p>
    <w:p>
      <w:pPr>
        <w:spacing w:line="360" w:lineRule="auto"/>
        <w:ind w:firstLine="420" w:firstLineChars="200"/>
        <w:rPr>
          <w:rFonts w:hint="eastAsia"/>
          <w:color w:val="000000"/>
        </w:rPr>
      </w:pPr>
      <w:r>
        <w:rPr>
          <w:color w:val="000000"/>
        </w:rPr>
        <w:t xml:space="preserve">额定容量：    </w:t>
      </w:r>
      <w:r>
        <w:rPr>
          <w:rFonts w:hint="eastAsia"/>
          <w:color w:val="000000"/>
        </w:rPr>
        <w:t>见供货需求表</w:t>
      </w:r>
    </w:p>
    <w:p>
      <w:pPr>
        <w:spacing w:line="360" w:lineRule="auto"/>
        <w:ind w:firstLine="420" w:firstLineChars="200"/>
        <w:rPr>
          <w:color w:val="000000"/>
        </w:rPr>
      </w:pPr>
      <w:r>
        <w:rPr>
          <w:color w:val="000000"/>
        </w:rPr>
        <w:t>额定电压：    37kV</w:t>
      </w:r>
    </w:p>
    <w:p>
      <w:pPr>
        <w:spacing w:line="360" w:lineRule="auto"/>
        <w:ind w:firstLine="420" w:firstLineChars="200"/>
        <w:rPr>
          <w:color w:val="000000"/>
        </w:rPr>
      </w:pPr>
      <w:r>
        <w:rPr>
          <w:color w:val="000000"/>
        </w:rPr>
        <w:t>容量调节范围：从额定感性容量到额定容性容量连续可调</w:t>
      </w:r>
    </w:p>
    <w:p>
      <w:pPr>
        <w:spacing w:line="360" w:lineRule="auto"/>
        <w:ind w:firstLine="420" w:firstLineChars="200"/>
        <w:rPr>
          <w:color w:val="000000"/>
        </w:rPr>
      </w:pPr>
      <w:r>
        <w:rPr>
          <w:color w:val="000000"/>
        </w:rPr>
        <w:t>冷却方式：    水冷</w:t>
      </w:r>
    </w:p>
    <w:p>
      <w:pPr>
        <w:spacing w:line="360" w:lineRule="auto"/>
        <w:ind w:firstLine="420" w:firstLineChars="200"/>
        <w:rPr>
          <w:color w:val="000000"/>
        </w:rPr>
      </w:pPr>
      <w:r>
        <w:rPr>
          <w:color w:val="000000"/>
        </w:rPr>
        <w:t>损耗：        ＜0.8%</w:t>
      </w:r>
    </w:p>
    <w:p>
      <w:pPr>
        <w:spacing w:line="360" w:lineRule="auto"/>
        <w:ind w:firstLine="420" w:firstLineChars="200"/>
        <w:rPr>
          <w:color w:val="000000"/>
        </w:rPr>
      </w:pPr>
      <w:r>
        <w:rPr>
          <w:color w:val="000000"/>
        </w:rPr>
        <w:t>谐波特性：    ＜3%IN</w:t>
      </w:r>
    </w:p>
    <w:p>
      <w:pPr>
        <w:spacing w:line="360" w:lineRule="auto"/>
        <w:ind w:firstLine="420" w:firstLineChars="200"/>
        <w:rPr>
          <w:color w:val="000000"/>
        </w:rPr>
      </w:pPr>
      <w:r>
        <w:rPr>
          <w:color w:val="000000"/>
        </w:rPr>
        <w:t>响应速度：    不大于10ms</w:t>
      </w:r>
    </w:p>
    <w:p>
      <w:pPr>
        <w:pStyle w:val="6"/>
        <w:numPr>
          <w:ilvl w:val="0"/>
          <w:numId w:val="0"/>
        </w:numPr>
        <w:tabs>
          <w:tab w:val="left" w:pos="425"/>
        </w:tabs>
        <w:spacing w:before="60"/>
        <w:ind w:left="340"/>
        <w:rPr>
          <w:szCs w:val="24"/>
        </w:rPr>
      </w:pPr>
      <w:r>
        <w:rPr>
          <w:rFonts w:hint="eastAsia"/>
          <w:snapToGrid w:val="0"/>
          <w:szCs w:val="24"/>
        </w:rPr>
        <w:t>3.2.3.1</w:t>
      </w:r>
      <w:r>
        <w:rPr>
          <w:szCs w:val="24"/>
        </w:rPr>
        <w:t>逆变功率单元技术参数</w:t>
      </w:r>
    </w:p>
    <w:p>
      <w:pPr>
        <w:adjustRightInd w:val="0"/>
        <w:snapToGrid w:val="0"/>
        <w:spacing w:line="360" w:lineRule="auto"/>
        <w:ind w:firstLine="472" w:firstLineChars="225"/>
        <w:rPr>
          <w:color w:val="000000"/>
        </w:rPr>
      </w:pPr>
      <w:r>
        <w:rPr>
          <w:color w:val="000000"/>
        </w:rPr>
        <w:t>1）成套装置应采用先进的全控型器件IGBT，开关频率不低于500Hz。装置主回路元件的选用，应留有足够的电压、电流裕度，元件应有良好的dv/dt，di/dt特性。</w:t>
      </w:r>
    </w:p>
    <w:p>
      <w:pPr>
        <w:adjustRightInd w:val="0"/>
        <w:snapToGrid w:val="0"/>
        <w:spacing w:line="360" w:lineRule="auto"/>
        <w:ind w:firstLine="420" w:firstLineChars="200"/>
        <w:rPr>
          <w:color w:val="000000"/>
        </w:rPr>
      </w:pPr>
      <w:r>
        <w:rPr>
          <w:color w:val="000000"/>
        </w:rPr>
        <w:t>2）换流元件IGBT芯片耐压1700V。</w:t>
      </w:r>
    </w:p>
    <w:p>
      <w:pPr>
        <w:spacing w:line="360" w:lineRule="auto"/>
        <w:ind w:firstLine="420" w:firstLineChars="200"/>
        <w:rPr>
          <w:color w:val="000000"/>
        </w:rPr>
      </w:pPr>
      <w:r>
        <w:rPr>
          <w:color w:val="000000"/>
        </w:rPr>
        <w:t>3）系统主电路应采用链式结构；星型或三角连接，每相由若干个换流链模块组成，并采用冗余设计，满足运行要求；</w:t>
      </w:r>
    </w:p>
    <w:p>
      <w:pPr>
        <w:spacing w:line="480" w:lineRule="atLeast"/>
        <w:ind w:firstLine="420" w:firstLineChars="200"/>
        <w:jc w:val="left"/>
        <w:rPr>
          <w:color w:val="000000"/>
        </w:rPr>
      </w:pPr>
      <w:r>
        <w:rPr>
          <w:color w:val="000000"/>
        </w:rPr>
        <w:t>4）装置大功率电力电子元器件应具有完善的保护功能。</w:t>
      </w:r>
    </w:p>
    <w:p>
      <w:pPr>
        <w:pStyle w:val="6"/>
        <w:numPr>
          <w:ilvl w:val="0"/>
          <w:numId w:val="0"/>
        </w:numPr>
        <w:tabs>
          <w:tab w:val="left" w:pos="425"/>
        </w:tabs>
        <w:spacing w:before="60"/>
        <w:ind w:left="340"/>
        <w:rPr>
          <w:szCs w:val="24"/>
        </w:rPr>
      </w:pPr>
      <w:r>
        <w:rPr>
          <w:rFonts w:hint="eastAsia"/>
          <w:snapToGrid w:val="0"/>
          <w:szCs w:val="24"/>
        </w:rPr>
        <w:t>3.2.3.2</w:t>
      </w:r>
      <w:r>
        <w:rPr>
          <w:szCs w:val="24"/>
        </w:rPr>
        <w:t>控制及保护系统</w:t>
      </w:r>
    </w:p>
    <w:p>
      <w:pPr>
        <w:spacing w:line="360" w:lineRule="auto"/>
        <w:ind w:firstLine="420"/>
        <w:rPr>
          <w:color w:val="000000"/>
        </w:rPr>
      </w:pPr>
      <w:bookmarkStart w:id="362" w:name="_Toc184054129"/>
      <w:bookmarkStart w:id="363" w:name="_Toc187470213"/>
      <w:bookmarkStart w:id="364" w:name="_Toc185783320"/>
      <w:bookmarkStart w:id="365" w:name="_Toc184091844"/>
      <w:bookmarkStart w:id="366" w:name="_Toc188214757"/>
      <w:bookmarkStart w:id="367" w:name="_Toc104222190"/>
      <w:bookmarkStart w:id="368" w:name="_Toc112143217"/>
      <w:r>
        <w:rPr>
          <w:color w:val="000000"/>
        </w:rPr>
        <w:t>1）控制屏的结构及</w:t>
      </w:r>
      <w:bookmarkEnd w:id="362"/>
      <w:bookmarkEnd w:id="363"/>
      <w:bookmarkEnd w:id="364"/>
      <w:bookmarkEnd w:id="365"/>
      <w:r>
        <w:rPr>
          <w:color w:val="000000"/>
        </w:rPr>
        <w:t>组成</w:t>
      </w:r>
      <w:bookmarkEnd w:id="366"/>
    </w:p>
    <w:p>
      <w:pPr>
        <w:spacing w:line="360" w:lineRule="auto"/>
        <w:ind w:firstLine="472" w:firstLineChars="225"/>
        <w:rPr>
          <w:color w:val="000000"/>
        </w:rPr>
      </w:pPr>
      <w:r>
        <w:rPr>
          <w:color w:val="000000"/>
        </w:rPr>
        <w:t>控制屏采用柜式结构，表面采用静电喷塑工艺处理。柜体选用优质 “三防”产品，抗强电磁干扰能力强。信号传输通道中用的光纤及附件采用优质产品。其它控制系统中的附件，如各类集成电路等都采用知名公司产品。</w:t>
      </w:r>
    </w:p>
    <w:bookmarkEnd w:id="367"/>
    <w:bookmarkEnd w:id="368"/>
    <w:p>
      <w:pPr>
        <w:spacing w:line="360" w:lineRule="auto"/>
        <w:ind w:firstLine="472" w:firstLineChars="225"/>
        <w:rPr>
          <w:color w:val="000000"/>
        </w:rPr>
      </w:pPr>
      <w:r>
        <w:rPr>
          <w:color w:val="000000"/>
        </w:rPr>
        <w:t>控制系统由主控机箱、PLC（可编程逻辑控制器）和人机界面等几个主要部分组成。各部分应实现以下功能：</w:t>
      </w:r>
    </w:p>
    <w:p>
      <w:pPr>
        <w:spacing w:line="360" w:lineRule="auto"/>
        <w:ind w:firstLine="420" w:firstLineChars="200"/>
        <w:rPr>
          <w:color w:val="000000"/>
        </w:rPr>
      </w:pPr>
      <w:r>
        <w:rPr>
          <w:color w:val="000000"/>
        </w:rPr>
        <w:t>主控机箱：由各功能板卡组成。具有自主知识产权及专利的全数字化控制器，用DSP+FPGA组成的控制核心，充分发挥DSP超强的计算能力和FPGA出色的数据处理能力，实时计算电网所需的无功功率，动态跟踪与补偿，实现了准确计算，高速响应，精确补偿的效果。</w:t>
      </w:r>
    </w:p>
    <w:p>
      <w:pPr>
        <w:spacing w:line="360" w:lineRule="auto"/>
        <w:ind w:firstLine="420" w:firstLineChars="200"/>
        <w:rPr>
          <w:color w:val="000000"/>
        </w:rPr>
      </w:pPr>
      <w:r>
        <w:rPr>
          <w:color w:val="000000"/>
        </w:rPr>
        <w:t>PLC：高可靠性的工业级PLC，实现整机的逻辑控制，实时与主控部分、触摸屏通讯，把装置的运行状态实时的传给触摸屏显示，并且完成触摸屏、柜门按钮对装置的控制。</w:t>
      </w:r>
    </w:p>
    <w:p>
      <w:pPr>
        <w:spacing w:line="360" w:lineRule="auto"/>
        <w:ind w:firstLine="420" w:firstLineChars="200"/>
        <w:rPr>
          <w:color w:val="000000"/>
        </w:rPr>
      </w:pPr>
      <w:r>
        <w:rPr>
          <w:color w:val="000000"/>
        </w:rPr>
        <w:t>人机界面：实时显示系统运行状态和数据，查询与设定系统运行参数以及整机逻辑控制等功能；操作简单方便，界面友好，是一个人机交互的窗口；</w:t>
      </w:r>
    </w:p>
    <w:p>
      <w:pPr>
        <w:spacing w:line="360" w:lineRule="auto"/>
        <w:ind w:firstLine="472" w:firstLineChars="225"/>
        <w:rPr>
          <w:color w:val="000000"/>
        </w:rPr>
      </w:pPr>
      <w:bookmarkStart w:id="369" w:name="_Toc184091847"/>
      <w:bookmarkStart w:id="370" w:name="_Toc188214758"/>
      <w:bookmarkStart w:id="371" w:name="_Toc187470216"/>
      <w:bookmarkStart w:id="372" w:name="_Toc185783323"/>
      <w:bookmarkStart w:id="373" w:name="_Toc184054132"/>
      <w:bookmarkStart w:id="374" w:name="_Toc104222192"/>
      <w:bookmarkStart w:id="375" w:name="_Toc112143219"/>
      <w:r>
        <w:rPr>
          <w:color w:val="000000"/>
        </w:rPr>
        <w:t>2）主控制器的基本功能</w:t>
      </w:r>
      <w:bookmarkEnd w:id="369"/>
      <w:bookmarkEnd w:id="370"/>
      <w:bookmarkEnd w:id="371"/>
      <w:bookmarkEnd w:id="372"/>
      <w:bookmarkEnd w:id="373"/>
      <w:bookmarkEnd w:id="374"/>
      <w:bookmarkEnd w:id="375"/>
    </w:p>
    <w:p>
      <w:pPr>
        <w:spacing w:line="360" w:lineRule="auto"/>
        <w:ind w:firstLine="420" w:firstLineChars="200"/>
        <w:rPr>
          <w:color w:val="000000"/>
        </w:rPr>
      </w:pPr>
      <w:r>
        <w:rPr>
          <w:color w:val="000000"/>
        </w:rPr>
        <w:t>成套装置控制系统可根据系统电压/无功的变化情况，实现脉冲发生和分配功能，自动调节装置无功输出；成套装置具有供值班员使用的参数设置功能，所有设置的内容不受停电和干扰信号的影响；</w:t>
      </w:r>
    </w:p>
    <w:p>
      <w:pPr>
        <w:spacing w:line="360" w:lineRule="auto"/>
        <w:ind w:firstLine="472" w:firstLineChars="225"/>
        <w:rPr>
          <w:color w:val="000000"/>
        </w:rPr>
      </w:pPr>
      <w:bookmarkStart w:id="376" w:name="_Toc176682156"/>
      <w:bookmarkStart w:id="377" w:name="_Toc185783324"/>
      <w:bookmarkStart w:id="378" w:name="_Toc187470217"/>
      <w:bookmarkStart w:id="379" w:name="_Toc188214759"/>
      <w:bookmarkStart w:id="380" w:name="_Toc184054133"/>
      <w:bookmarkStart w:id="381" w:name="_Toc184091848"/>
      <w:r>
        <w:rPr>
          <w:color w:val="000000"/>
        </w:rPr>
        <w:t>3） 通讯</w:t>
      </w:r>
      <w:bookmarkEnd w:id="376"/>
      <w:r>
        <w:rPr>
          <w:color w:val="000000"/>
        </w:rPr>
        <w:t>功能</w:t>
      </w:r>
      <w:bookmarkEnd w:id="377"/>
      <w:bookmarkEnd w:id="378"/>
      <w:bookmarkEnd w:id="379"/>
      <w:bookmarkEnd w:id="380"/>
      <w:bookmarkEnd w:id="381"/>
    </w:p>
    <w:p>
      <w:pPr>
        <w:spacing w:line="360" w:lineRule="auto"/>
        <w:ind w:firstLine="472" w:firstLineChars="225"/>
        <w:rPr>
          <w:color w:val="000000"/>
        </w:rPr>
      </w:pPr>
      <w:r>
        <w:rPr>
          <w:color w:val="000000"/>
        </w:rPr>
        <w:t>控制系统具有和上位机通讯的标准化接口，实现就地和远方通讯。同时控制系统具备与变电站综合自动化联网的功能，乙方提供的SVG控制系统采用RS485或以太网通讯方式，RS485接口可支持MODBUS通讯协议，电力CDT通讯规约，以太网通讯协议为IEC/104。</w:t>
      </w:r>
    </w:p>
    <w:p>
      <w:pPr>
        <w:spacing w:line="360" w:lineRule="auto"/>
        <w:ind w:firstLine="472" w:firstLineChars="225"/>
        <w:rPr>
          <w:color w:val="000000"/>
        </w:rPr>
      </w:pPr>
      <w:bookmarkStart w:id="382" w:name="_Toc188214760"/>
      <w:bookmarkStart w:id="383" w:name="_Toc184054134"/>
      <w:bookmarkStart w:id="384" w:name="_Toc185783325"/>
      <w:bookmarkStart w:id="385" w:name="_Toc187470218"/>
      <w:bookmarkStart w:id="386" w:name="_Toc184091849"/>
      <w:r>
        <w:rPr>
          <w:color w:val="000000"/>
        </w:rPr>
        <w:t>4）显示功能</w:t>
      </w:r>
      <w:bookmarkEnd w:id="382"/>
      <w:bookmarkEnd w:id="383"/>
      <w:bookmarkEnd w:id="384"/>
      <w:bookmarkEnd w:id="385"/>
      <w:bookmarkEnd w:id="386"/>
    </w:p>
    <w:p>
      <w:pPr>
        <w:spacing w:line="360" w:lineRule="auto"/>
        <w:ind w:firstLine="472" w:firstLineChars="225"/>
        <w:rPr>
          <w:color w:val="000000"/>
        </w:rPr>
      </w:pPr>
      <w:r>
        <w:rPr>
          <w:color w:val="000000"/>
        </w:rPr>
        <w:t>控制系统采用液晶显示器，具有友好的人机界面，数据保存6个月以上。可提供如下功能：</w:t>
      </w:r>
    </w:p>
    <w:p>
      <w:pPr>
        <w:spacing w:line="360" w:lineRule="auto"/>
        <w:ind w:firstLine="472" w:firstLineChars="225"/>
        <w:rPr>
          <w:color w:val="000000"/>
        </w:rPr>
      </w:pPr>
      <w:r>
        <w:rPr>
          <w:color w:val="000000"/>
        </w:rPr>
        <w:t>主回路图；</w:t>
      </w:r>
    </w:p>
    <w:p>
      <w:pPr>
        <w:spacing w:line="360" w:lineRule="auto"/>
        <w:ind w:firstLine="472" w:firstLineChars="225"/>
        <w:rPr>
          <w:color w:val="000000"/>
        </w:rPr>
      </w:pPr>
      <w:r>
        <w:rPr>
          <w:color w:val="000000"/>
        </w:rPr>
        <w:t>实时电量参数显示（电压、电流、功率因数等）；</w:t>
      </w:r>
    </w:p>
    <w:p>
      <w:pPr>
        <w:spacing w:line="360" w:lineRule="auto"/>
        <w:ind w:firstLine="472" w:firstLineChars="225"/>
        <w:rPr>
          <w:color w:val="000000"/>
        </w:rPr>
      </w:pPr>
      <w:r>
        <w:rPr>
          <w:color w:val="000000"/>
        </w:rPr>
        <w:t>实时曲线和历史曲线（电流、电压、功率）；</w:t>
      </w:r>
    </w:p>
    <w:p>
      <w:pPr>
        <w:spacing w:line="360" w:lineRule="auto"/>
        <w:ind w:firstLine="472" w:firstLineChars="225"/>
        <w:rPr>
          <w:color w:val="000000"/>
        </w:rPr>
      </w:pPr>
      <w:r>
        <w:rPr>
          <w:color w:val="000000"/>
        </w:rPr>
        <w:t>历史事件记录（故障记录、操作记录、停机原因记录）；</w:t>
      </w:r>
    </w:p>
    <w:p>
      <w:pPr>
        <w:spacing w:line="360" w:lineRule="auto"/>
        <w:ind w:firstLine="472" w:firstLineChars="225"/>
        <w:rPr>
          <w:color w:val="000000"/>
        </w:rPr>
      </w:pPr>
      <w:r>
        <w:rPr>
          <w:color w:val="000000"/>
        </w:rPr>
        <w:t>运行数据记录；</w:t>
      </w:r>
    </w:p>
    <w:p>
      <w:pPr>
        <w:spacing w:line="360" w:lineRule="auto"/>
        <w:ind w:firstLine="472" w:firstLineChars="225"/>
        <w:rPr>
          <w:color w:val="000000"/>
        </w:rPr>
      </w:pPr>
      <w:r>
        <w:rPr>
          <w:color w:val="000000"/>
        </w:rPr>
        <w:t>故障录波；</w:t>
      </w:r>
    </w:p>
    <w:p>
      <w:pPr>
        <w:spacing w:line="360" w:lineRule="auto"/>
        <w:ind w:firstLine="472" w:firstLineChars="225"/>
        <w:rPr>
          <w:color w:val="000000"/>
        </w:rPr>
      </w:pPr>
      <w:r>
        <w:rPr>
          <w:color w:val="000000"/>
        </w:rPr>
        <w:t>无功阶跃录波；</w:t>
      </w:r>
    </w:p>
    <w:p>
      <w:pPr>
        <w:spacing w:line="360" w:lineRule="auto"/>
        <w:ind w:firstLine="472" w:firstLineChars="225"/>
        <w:rPr>
          <w:color w:val="000000"/>
        </w:rPr>
      </w:pPr>
      <w:r>
        <w:rPr>
          <w:color w:val="000000"/>
        </w:rPr>
        <w:t>电压阶跃录波；</w:t>
      </w:r>
    </w:p>
    <w:p>
      <w:pPr>
        <w:spacing w:line="360" w:lineRule="auto"/>
        <w:ind w:firstLine="472" w:firstLineChars="225"/>
        <w:rPr>
          <w:color w:val="000000"/>
        </w:rPr>
      </w:pPr>
      <w:r>
        <w:rPr>
          <w:color w:val="000000"/>
        </w:rPr>
        <w:t>在线电能监测功能；</w:t>
      </w:r>
    </w:p>
    <w:p>
      <w:pPr>
        <w:spacing w:line="360" w:lineRule="auto"/>
        <w:ind w:firstLine="472" w:firstLineChars="225"/>
        <w:rPr>
          <w:color w:val="000000"/>
        </w:rPr>
      </w:pPr>
      <w:r>
        <w:rPr>
          <w:color w:val="000000"/>
        </w:rPr>
        <w:t>链式装置单元状态监视；</w:t>
      </w:r>
    </w:p>
    <w:p>
      <w:pPr>
        <w:spacing w:line="360" w:lineRule="auto"/>
        <w:ind w:firstLine="472" w:firstLineChars="225"/>
        <w:rPr>
          <w:color w:val="000000"/>
        </w:rPr>
      </w:pPr>
      <w:r>
        <w:rPr>
          <w:color w:val="000000"/>
        </w:rPr>
        <w:t>软件版本查询；</w:t>
      </w:r>
    </w:p>
    <w:p>
      <w:pPr>
        <w:spacing w:line="360" w:lineRule="auto"/>
        <w:ind w:firstLine="472" w:firstLineChars="225"/>
        <w:rPr>
          <w:color w:val="000000"/>
        </w:rPr>
      </w:pPr>
      <w:r>
        <w:rPr>
          <w:color w:val="000000"/>
        </w:rPr>
        <w:t>HMI存储空间查询；</w:t>
      </w:r>
    </w:p>
    <w:p>
      <w:pPr>
        <w:spacing w:line="360" w:lineRule="auto"/>
        <w:ind w:firstLine="472" w:firstLineChars="225"/>
        <w:rPr>
          <w:color w:val="000000"/>
        </w:rPr>
      </w:pPr>
      <w:r>
        <w:rPr>
          <w:color w:val="000000"/>
        </w:rPr>
        <w:t>显示当前时间、保护动作时间，显示保护类型、保护动作时间等信息。</w:t>
      </w:r>
    </w:p>
    <w:p>
      <w:pPr>
        <w:spacing w:line="360" w:lineRule="auto"/>
        <w:ind w:firstLine="472" w:firstLineChars="225"/>
        <w:rPr>
          <w:color w:val="000000"/>
        </w:rPr>
      </w:pPr>
      <w:bookmarkStart w:id="387" w:name="_Toc176682158"/>
      <w:bookmarkStart w:id="388" w:name="_Toc187470219"/>
      <w:bookmarkStart w:id="389" w:name="_Toc184054135"/>
      <w:bookmarkStart w:id="390" w:name="_Toc185783326"/>
      <w:bookmarkStart w:id="391" w:name="_Toc184091850"/>
      <w:bookmarkStart w:id="392" w:name="_Toc188214761"/>
      <w:r>
        <w:rPr>
          <w:color w:val="000000"/>
        </w:rPr>
        <w:t xml:space="preserve">5） </w:t>
      </w:r>
      <w:bookmarkEnd w:id="387"/>
      <w:r>
        <w:rPr>
          <w:color w:val="000000"/>
        </w:rPr>
        <w:t>保护功能</w:t>
      </w:r>
      <w:bookmarkEnd w:id="388"/>
      <w:bookmarkEnd w:id="389"/>
      <w:bookmarkEnd w:id="390"/>
      <w:bookmarkEnd w:id="391"/>
      <w:bookmarkEnd w:id="392"/>
    </w:p>
    <w:p>
      <w:pPr>
        <w:spacing w:line="360" w:lineRule="auto"/>
        <w:ind w:firstLine="472" w:firstLineChars="225"/>
        <w:rPr>
          <w:color w:val="000000"/>
        </w:rPr>
      </w:pPr>
      <w:r>
        <w:rPr>
          <w:color w:val="000000"/>
        </w:rPr>
        <w:t>动态无功补偿装置应采用了综合保护策略，以提高装置可靠性。</w:t>
      </w:r>
    </w:p>
    <w:p>
      <w:pPr>
        <w:spacing w:line="360" w:lineRule="auto"/>
        <w:ind w:firstLine="472" w:firstLineChars="225"/>
        <w:rPr>
          <w:color w:val="000000"/>
        </w:rPr>
      </w:pPr>
      <w:r>
        <w:rPr>
          <w:color w:val="000000"/>
        </w:rPr>
        <w:t>动态装置保护类型如下：母线过压、母线欠压、过流、速断、直流过压、电力电子元件损坏检测保护、丢脉冲、触发异常、过压击穿、单元模块功率柜超温、保护输入接口、保护输出接口控制和系统电源异常等保护功能。</w:t>
      </w:r>
    </w:p>
    <w:p>
      <w:pPr>
        <w:spacing w:line="360" w:lineRule="auto"/>
        <w:ind w:firstLine="472" w:firstLineChars="225"/>
        <w:rPr>
          <w:color w:val="000000"/>
        </w:rPr>
      </w:pPr>
      <w:r>
        <w:rPr>
          <w:color w:val="000000"/>
        </w:rPr>
        <w:t>若是降压式，SVG本体含有差动保护及非电量保护功能。</w:t>
      </w:r>
    </w:p>
    <w:p>
      <w:pPr>
        <w:spacing w:line="360" w:lineRule="auto"/>
        <w:ind w:firstLine="472" w:firstLineChars="225"/>
        <w:rPr>
          <w:color w:val="000000"/>
        </w:rPr>
      </w:pPr>
      <w:r>
        <w:rPr>
          <w:color w:val="000000"/>
        </w:rPr>
        <w:t xml:space="preserve">6）闭锁功能 </w:t>
      </w:r>
    </w:p>
    <w:p>
      <w:pPr>
        <w:spacing w:line="360" w:lineRule="auto"/>
        <w:ind w:firstLine="420" w:firstLineChars="200"/>
        <w:rPr>
          <w:color w:val="000000"/>
        </w:rPr>
      </w:pPr>
      <w:r>
        <w:rPr>
          <w:color w:val="000000"/>
        </w:rPr>
        <w:t>控制器具有CT断线检测及闭锁调节功能。</w:t>
      </w:r>
    </w:p>
    <w:p>
      <w:pPr>
        <w:spacing w:line="360" w:lineRule="auto"/>
        <w:ind w:firstLine="420" w:firstLineChars="200"/>
        <w:rPr>
          <w:color w:val="000000"/>
        </w:rPr>
      </w:pPr>
      <w:r>
        <w:rPr>
          <w:color w:val="000000"/>
        </w:rPr>
        <w:t>控制器具有PT断线检测及闭锁调节功能。</w:t>
      </w:r>
    </w:p>
    <w:p>
      <w:pPr>
        <w:spacing w:line="360" w:lineRule="auto"/>
        <w:ind w:firstLine="411" w:firstLineChars="196"/>
        <w:rPr>
          <w:color w:val="000000"/>
        </w:rPr>
      </w:pPr>
      <w:r>
        <w:rPr>
          <w:color w:val="000000"/>
        </w:rPr>
        <w:t>控制器内部电路具有完善的保护功能，内部出现任何电路故障均不会有误动作输出。</w:t>
      </w:r>
    </w:p>
    <w:p>
      <w:pPr>
        <w:spacing w:line="360" w:lineRule="auto"/>
        <w:ind w:firstLine="420" w:firstLineChars="200"/>
        <w:rPr>
          <w:b/>
          <w:color w:val="000000"/>
        </w:rPr>
      </w:pPr>
      <w:r>
        <w:rPr>
          <w:color w:val="000000"/>
          <w:lang w:eastAsia="zh-TW"/>
        </w:rPr>
        <w:t>SVG</w:t>
      </w:r>
      <w:r>
        <w:rPr>
          <w:color w:val="000000"/>
        </w:rPr>
        <w:t xml:space="preserve">开关跳闸时，报警并闭锁微机控制器的无功出口。 </w:t>
      </w:r>
      <w:r>
        <w:rPr>
          <w:b/>
          <w:color w:val="000000"/>
        </w:rPr>
        <w:t xml:space="preserve"> </w:t>
      </w:r>
    </w:p>
    <w:p>
      <w:pPr>
        <w:spacing w:line="360" w:lineRule="auto"/>
        <w:ind w:firstLine="420"/>
        <w:jc w:val="left"/>
        <w:rPr>
          <w:color w:val="000000"/>
        </w:rPr>
      </w:pPr>
      <w:r>
        <w:rPr>
          <w:color w:val="000000"/>
        </w:rPr>
        <w:t>7）事件顺序记录</w:t>
      </w:r>
    </w:p>
    <w:p>
      <w:pPr>
        <w:spacing w:line="480" w:lineRule="atLeast"/>
        <w:ind w:firstLine="420" w:firstLineChars="200"/>
        <w:jc w:val="left"/>
        <w:rPr>
          <w:color w:val="000000"/>
        </w:rPr>
      </w:pPr>
      <w:r>
        <w:rPr>
          <w:color w:val="000000"/>
        </w:rPr>
        <w:t>当各类保护动作或监视的状态发生变化时，控制系统将自动记录事件发生的类型、相别及动作值，事件按顺序记录，可通过人机界面进行查询，并可以以通讯方式远传。动作次数可永久保存，即使掉电也不丢失。</w:t>
      </w:r>
    </w:p>
    <w:p>
      <w:pPr>
        <w:pStyle w:val="4"/>
        <w:spacing w:before="120" w:after="120"/>
      </w:pPr>
      <w:bookmarkStart w:id="393" w:name="_Toc505087852"/>
      <w:r>
        <w:rPr>
          <w:rFonts w:hint="eastAsia"/>
          <w:snapToGrid w:val="0"/>
        </w:rPr>
        <w:t>3.2.4</w:t>
      </w:r>
      <w:r>
        <w:t>水冷系统技术要求</w:t>
      </w:r>
      <w:bookmarkEnd w:id="393"/>
    </w:p>
    <w:p>
      <w:pPr>
        <w:pStyle w:val="8"/>
        <w:numPr>
          <w:ilvl w:val="0"/>
          <w:numId w:val="0"/>
        </w:numPr>
        <w:tabs>
          <w:tab w:val="left" w:pos="720"/>
          <w:tab w:val="left" w:pos="1152"/>
        </w:tabs>
        <w:spacing w:before="240"/>
        <w:ind w:left="340"/>
        <w:rPr>
          <w:color w:val="000000"/>
          <w:kern w:val="2"/>
        </w:rPr>
      </w:pPr>
      <w:r>
        <w:rPr>
          <w:rFonts w:hint="eastAsia"/>
          <w:snapToGrid w:val="0"/>
        </w:rPr>
        <w:t>3.2.4</w:t>
      </w:r>
      <w:r>
        <w:rPr>
          <w:rFonts w:hint="eastAsia"/>
          <w:color w:val="000000"/>
          <w:kern w:val="2"/>
        </w:rPr>
        <w:t>.1</w:t>
      </w:r>
      <w:r>
        <w:rPr>
          <w:color w:val="000000"/>
          <w:kern w:val="2"/>
        </w:rPr>
        <w:t>冷却系统基本要求</w:t>
      </w:r>
    </w:p>
    <w:p>
      <w:pPr>
        <w:adjustRightInd w:val="0"/>
        <w:snapToGrid w:val="0"/>
        <w:spacing w:line="360" w:lineRule="auto"/>
        <w:ind w:firstLine="482"/>
      </w:pPr>
      <w:r>
        <w:t>SVG冷却系统应采用高质量密闭水冷却系统，采用的是行业中目前最先进的工程方法。冷却系统的设计和制造基准是保证装置在各种额定的环境条件下适应IGBT单元阀组的各种运行工况。</w:t>
      </w:r>
    </w:p>
    <w:p>
      <w:pPr>
        <w:adjustRightInd w:val="0"/>
        <w:snapToGrid w:val="0"/>
        <w:spacing w:line="360" w:lineRule="auto"/>
        <w:ind w:firstLine="482"/>
      </w:pPr>
      <w:r>
        <w:t>冷却系统能长期稳定运行，不允许有变形、泄漏、异常振动和其他影响IGBT单元阀组正常工作的缺陷。管路系统的设计保证其沿程水阻为最小。所有机电设备和仪表的选型，均选择优质知名的可靠产品，材料的选择考虑了系统在长期高电压运行环境下产生的腐蚀、老化、损耗的可能性。冷却系统的密封方式和密封材料的选型确保冷却系统正常运行时无泄漏。</w:t>
      </w:r>
    </w:p>
    <w:p>
      <w:pPr>
        <w:adjustRightInd w:val="0"/>
        <w:snapToGrid w:val="0"/>
        <w:spacing w:line="360" w:lineRule="auto"/>
        <w:ind w:firstLine="482"/>
      </w:pPr>
      <w:r>
        <w:t>恒定压力和流速的冷却介质源源不断流经被冷却器件带走其运行中产生的热量，温升水经室外换热设备进行热交换变为低温水，换热后冷却介质回流至循环泵的进口，如此往复保证SVG阀体工作在安全温度以内。为适应大功率电力电子设备在高电压条件下的使用要求，防止在高电压环境下漏电流过大，冷却介质必须具备极低的电导率。为此在主循环冷却回路上并联了去离子处理回路。预设定流量的一部分冷却介质流经离子交换器，不断降低管路中可能析出的离子，最终与主循环回路冷却介质在高压循环泵前合流。系统中各机电单元及传感器由PLC自动监控运行，并通过操作面板的友好界面实现人机的即时交流。水冷系统的运行参数和报警信息即时传输至主控制器，并可通过SVG主控制器远程操控水冷系统，实现冷却系统与SVG控制的无缝接合。</w:t>
      </w:r>
    </w:p>
    <w:p>
      <w:pPr>
        <w:pStyle w:val="8"/>
        <w:numPr>
          <w:ilvl w:val="0"/>
          <w:numId w:val="0"/>
        </w:numPr>
        <w:tabs>
          <w:tab w:val="left" w:pos="720"/>
          <w:tab w:val="left" w:pos="1152"/>
        </w:tabs>
        <w:spacing w:before="240"/>
        <w:ind w:left="340"/>
        <w:rPr>
          <w:color w:val="000000"/>
          <w:kern w:val="2"/>
        </w:rPr>
      </w:pPr>
      <w:r>
        <w:rPr>
          <w:rFonts w:hint="eastAsia"/>
          <w:snapToGrid w:val="0"/>
        </w:rPr>
        <w:t>3.2.4</w:t>
      </w:r>
      <w:r>
        <w:rPr>
          <w:rFonts w:hint="eastAsia"/>
          <w:color w:val="000000"/>
          <w:kern w:val="2"/>
        </w:rPr>
        <w:t>.2</w:t>
      </w:r>
      <w:r>
        <w:rPr>
          <w:color w:val="000000"/>
          <w:kern w:val="2"/>
        </w:rPr>
        <w:t>主循环冷却回路技术要求</w:t>
      </w:r>
    </w:p>
    <w:p>
      <w:pPr>
        <w:adjustRightInd w:val="0"/>
        <w:snapToGrid w:val="0"/>
        <w:spacing w:line="360" w:lineRule="auto"/>
        <w:ind w:firstLine="482"/>
      </w:pPr>
      <w:r>
        <w:t>冷却介质在主循环泵动力作用下，带走水冷板中热量，热介质通过换热设备进行二次散热后，再回流主循环回路。</w:t>
      </w:r>
    </w:p>
    <w:p>
      <w:pPr>
        <w:adjustRightInd w:val="0"/>
        <w:snapToGrid w:val="0"/>
        <w:spacing w:line="360" w:lineRule="auto"/>
        <w:ind w:firstLine="482"/>
      </w:pPr>
      <w:r>
        <w:t>1.</w:t>
      </w:r>
      <w:r>
        <w:tab/>
      </w:r>
      <w:r>
        <w:t>主循环泵</w:t>
      </w:r>
    </w:p>
    <w:p>
      <w:pPr>
        <w:adjustRightInd w:val="0"/>
        <w:snapToGrid w:val="0"/>
        <w:spacing w:line="360" w:lineRule="auto"/>
        <w:ind w:firstLine="482"/>
      </w:pPr>
      <w:r>
        <w:t>设置两台主循环泵，一用一备，工作模式为轮换工作，可定时自动切换和手动切换，工作时间可通过触摸屏设置。提供密闭循环流体所需动力，主循环泵选用优质离心泵。泵体采用机械密封，接液材质为不锈钢，拥有过流和过热保护。如果运行泵故障或不能提供额定压力或流量，马上发出报警信号，并自动切换到另一台泵工作。</w:t>
      </w:r>
    </w:p>
    <w:p>
      <w:pPr>
        <w:adjustRightInd w:val="0"/>
        <w:snapToGrid w:val="0"/>
        <w:spacing w:line="360" w:lineRule="auto"/>
        <w:ind w:firstLine="482"/>
      </w:pPr>
      <w:r>
        <w:t>2.</w:t>
      </w:r>
      <w:r>
        <w:tab/>
      </w:r>
      <w:r>
        <w:t>主循环回路机械过滤器</w:t>
      </w:r>
    </w:p>
    <w:p>
      <w:pPr>
        <w:adjustRightInd w:val="0"/>
        <w:snapToGrid w:val="0"/>
        <w:spacing w:line="360" w:lineRule="auto"/>
        <w:ind w:firstLine="482"/>
      </w:pPr>
      <w:r>
        <w:t>为防止循环冷却水在快速流动中可能冲刷脱落的刚性颗粒进入阀体，在主泵出口至阀体进口管路设置精度为200μm 机械过滤器，采用网孔标准水阻小的折叠式不锈钢滤芯。过滤器设压差指示表提示滤芯污垢程度，提醒操作人员清洗。</w:t>
      </w:r>
    </w:p>
    <w:p>
      <w:pPr>
        <w:adjustRightInd w:val="0"/>
        <w:snapToGrid w:val="0"/>
        <w:spacing w:line="360" w:lineRule="auto"/>
        <w:ind w:firstLine="482"/>
      </w:pPr>
      <w:r>
        <w:t>3.</w:t>
      </w:r>
      <w:r>
        <w:tab/>
      </w:r>
      <w:r>
        <w:t>气水分离器</w:t>
      </w:r>
    </w:p>
    <w:p>
      <w:pPr>
        <w:adjustRightInd w:val="0"/>
        <w:snapToGrid w:val="0"/>
        <w:spacing w:line="360" w:lineRule="auto"/>
        <w:ind w:firstLine="482"/>
      </w:pPr>
      <w:r>
        <w:t>置于主循环冷却水回路泵进口，罐顶设自动排气装置，收集并排出冷却系统中的气体。</w:t>
      </w:r>
    </w:p>
    <w:p>
      <w:pPr>
        <w:adjustRightInd w:val="0"/>
        <w:snapToGrid w:val="0"/>
        <w:spacing w:line="360" w:lineRule="auto"/>
        <w:ind w:firstLine="482"/>
      </w:pPr>
      <w:r>
        <w:t>4.</w:t>
      </w:r>
      <w:r>
        <w:tab/>
      </w:r>
      <w:r>
        <w:t>主回路传感器</w:t>
      </w:r>
    </w:p>
    <w:p>
      <w:pPr>
        <w:adjustRightInd w:val="0"/>
        <w:snapToGrid w:val="0"/>
        <w:spacing w:line="360" w:lineRule="auto"/>
        <w:ind w:firstLine="482"/>
      </w:pPr>
      <w:r>
        <w:t>在阀组进出口位置均设置压力、温度传感器，在主循环管路上设置流量、电导率传感器。</w:t>
      </w:r>
    </w:p>
    <w:p>
      <w:pPr>
        <w:pStyle w:val="8"/>
        <w:numPr>
          <w:ilvl w:val="0"/>
          <w:numId w:val="0"/>
        </w:numPr>
        <w:tabs>
          <w:tab w:val="left" w:pos="720"/>
          <w:tab w:val="left" w:pos="1152"/>
        </w:tabs>
        <w:spacing w:before="240"/>
        <w:ind w:left="340"/>
        <w:rPr>
          <w:color w:val="000000"/>
          <w:kern w:val="2"/>
        </w:rPr>
      </w:pPr>
      <w:r>
        <w:rPr>
          <w:rFonts w:hint="eastAsia"/>
          <w:snapToGrid w:val="0"/>
        </w:rPr>
        <w:t>3.2.4.</w:t>
      </w:r>
      <w:r>
        <w:rPr>
          <w:rFonts w:hint="eastAsia"/>
          <w:color w:val="000000"/>
          <w:kern w:val="2"/>
        </w:rPr>
        <w:t>3</w:t>
      </w:r>
      <w:r>
        <w:rPr>
          <w:color w:val="000000"/>
          <w:kern w:val="2"/>
        </w:rPr>
        <w:t>去离子回路技术要求</w:t>
      </w:r>
    </w:p>
    <w:p>
      <w:pPr>
        <w:adjustRightInd w:val="0"/>
        <w:snapToGrid w:val="0"/>
        <w:spacing w:line="360" w:lineRule="auto"/>
        <w:ind w:firstLine="482"/>
      </w:pPr>
      <w:r>
        <w:t>去离子回路是并联于主循环回路的支路，主要由离子交换器及相关附件组成，对主循环回路中的部分介质进行纯化。通过对冷却水中离子的不断脱除，达到长期维持极低电导率的目的。离子交换树脂采用核级免维护长效离子交换树脂，吸附容量大，耐高温、高流速，专用于微量离子的去除。当电导率传感器检测到离子浓度偏高时，发出报警信号，提示更换离子交换树脂。</w:t>
      </w:r>
    </w:p>
    <w:p>
      <w:pPr>
        <w:adjustRightInd w:val="0"/>
        <w:snapToGrid w:val="0"/>
        <w:spacing w:line="360" w:lineRule="auto"/>
        <w:ind w:firstLine="482"/>
      </w:pPr>
      <w:r>
        <w:t>1.</w:t>
      </w:r>
      <w:r>
        <w:tab/>
      </w:r>
      <w:r>
        <w:t>离子交换器</w:t>
      </w:r>
    </w:p>
    <w:p>
      <w:pPr>
        <w:adjustRightInd w:val="0"/>
        <w:snapToGrid w:val="0"/>
        <w:spacing w:line="360" w:lineRule="auto"/>
        <w:ind w:firstLine="482"/>
      </w:pPr>
      <w:r>
        <w:t>树脂选用国内外一线优质品牌。</w:t>
      </w:r>
    </w:p>
    <w:p>
      <w:pPr>
        <w:adjustRightInd w:val="0"/>
        <w:snapToGrid w:val="0"/>
        <w:spacing w:line="360" w:lineRule="auto"/>
        <w:ind w:firstLine="482"/>
      </w:pPr>
      <w:r>
        <w:t>2.</w:t>
      </w:r>
      <w:r>
        <w:tab/>
      </w:r>
      <w:r>
        <w:t>精密过滤器</w:t>
      </w:r>
    </w:p>
    <w:p>
      <w:pPr>
        <w:adjustRightInd w:val="0"/>
        <w:snapToGrid w:val="0"/>
        <w:spacing w:line="360" w:lineRule="auto"/>
        <w:ind w:firstLine="482"/>
      </w:pPr>
      <w:r>
        <w:t>离子交换器出口处设置精密过滤器，精度为10μm，拦截可能破碎流出的树脂颗粒，采用可更换滤芯方式。</w:t>
      </w:r>
    </w:p>
    <w:p>
      <w:pPr>
        <w:adjustRightInd w:val="0"/>
        <w:snapToGrid w:val="0"/>
        <w:spacing w:line="360" w:lineRule="auto"/>
        <w:ind w:firstLine="482"/>
      </w:pPr>
      <w:r>
        <w:t>3.</w:t>
      </w:r>
      <w:r>
        <w:tab/>
      </w:r>
      <w:r>
        <w:t>去离子回路传感器</w:t>
      </w:r>
    </w:p>
    <w:p>
      <w:pPr>
        <w:adjustRightInd w:val="0"/>
        <w:snapToGrid w:val="0"/>
        <w:spacing w:line="360" w:lineRule="auto"/>
        <w:ind w:firstLine="482"/>
      </w:pPr>
      <w:r>
        <w:t>去离子回路中设置浮子式流量计，通过调节阀门调整流经去离子回路的冷却介质流量。</w:t>
      </w:r>
    </w:p>
    <w:p>
      <w:pPr>
        <w:pStyle w:val="8"/>
        <w:numPr>
          <w:ilvl w:val="0"/>
          <w:numId w:val="0"/>
        </w:numPr>
        <w:tabs>
          <w:tab w:val="left" w:pos="720"/>
          <w:tab w:val="left" w:pos="1152"/>
        </w:tabs>
        <w:spacing w:before="240"/>
        <w:ind w:left="340"/>
        <w:rPr>
          <w:color w:val="000000"/>
          <w:kern w:val="2"/>
        </w:rPr>
      </w:pPr>
      <w:r>
        <w:rPr>
          <w:rFonts w:hint="eastAsia"/>
          <w:snapToGrid w:val="0"/>
        </w:rPr>
        <w:t>3.2.4.</w:t>
      </w:r>
      <w:r>
        <w:rPr>
          <w:rFonts w:hint="eastAsia"/>
          <w:color w:val="000000"/>
          <w:kern w:val="2"/>
        </w:rPr>
        <w:t>4</w:t>
      </w:r>
      <w:r>
        <w:rPr>
          <w:color w:val="000000"/>
          <w:kern w:val="2"/>
        </w:rPr>
        <w:t>冷却介质、阀门、管道及管道附件</w:t>
      </w:r>
    </w:p>
    <w:p>
      <w:pPr>
        <w:adjustRightInd w:val="0"/>
        <w:snapToGrid w:val="0"/>
        <w:spacing w:line="360" w:lineRule="auto"/>
        <w:ind w:firstLine="482"/>
      </w:pPr>
      <w:r>
        <w:t>所有的不锈钢设备、管道焊接采用氩弧焊工艺，不锈钢表面经过严格的酸洗及钝化过程，管道系统需经过严格的试压、清洗。本系统由于在高电压条件下工作，为避免冷却介质中存在杂质离子，导致各元件之间形成漏电流，要求冷却介质为高纯水。冷却介质为含有乙二醇的防冻液，在现场室外温度低于零度以下不出现冻结。为保持介质的高纯性，循环管路、阀门均采用AISI304 不锈钢。与冷却水接触的各种材料表面不能发生腐蚀或析出离子。管道系统的最高位置应设有自动排气阀，能自动有效的实现气水分离和排气功能，。为方便检修、维护及保养，水冷系统管道的最低位置设置了排水口、紧急排放口等，并保留有足够的检修空间。管道、阀门的连接尽可能采用法兰、快接等方式，只有在非常不便的情况下才可以采用螺纹连接的方式。</w:t>
      </w:r>
    </w:p>
    <w:p>
      <w:pPr>
        <w:pStyle w:val="8"/>
        <w:numPr>
          <w:ilvl w:val="0"/>
          <w:numId w:val="0"/>
        </w:numPr>
        <w:tabs>
          <w:tab w:val="left" w:pos="720"/>
          <w:tab w:val="left" w:pos="1152"/>
        </w:tabs>
        <w:spacing w:before="240"/>
        <w:ind w:left="340"/>
        <w:rPr>
          <w:color w:val="000000"/>
          <w:kern w:val="2"/>
        </w:rPr>
      </w:pPr>
      <w:r>
        <w:rPr>
          <w:rFonts w:hint="eastAsia"/>
          <w:snapToGrid w:val="0"/>
        </w:rPr>
        <w:t>3.2.4</w:t>
      </w:r>
      <w:r>
        <w:rPr>
          <w:rFonts w:hint="eastAsia"/>
          <w:color w:val="000000"/>
          <w:kern w:val="2"/>
        </w:rPr>
        <w:t>.5</w:t>
      </w:r>
      <w:r>
        <w:rPr>
          <w:color w:val="000000"/>
          <w:kern w:val="2"/>
        </w:rPr>
        <w:t>温湿度检测</w:t>
      </w:r>
    </w:p>
    <w:p>
      <w:pPr>
        <w:adjustRightInd w:val="0"/>
        <w:snapToGrid w:val="0"/>
        <w:spacing w:line="360" w:lineRule="auto"/>
        <w:ind w:firstLine="482"/>
      </w:pPr>
      <w:r>
        <w:t>水冷系统应具有IGBT单元阀室的温湿度检测功能，并通过与水温的计算，具备结露预警和跳闸功能，并可向SVG 控制系统发出预警和跳闸信号。</w:t>
      </w:r>
    </w:p>
    <w:p>
      <w:pPr>
        <w:pStyle w:val="8"/>
        <w:numPr>
          <w:ilvl w:val="0"/>
          <w:numId w:val="0"/>
        </w:numPr>
        <w:tabs>
          <w:tab w:val="left" w:pos="720"/>
          <w:tab w:val="left" w:pos="1152"/>
        </w:tabs>
        <w:spacing w:before="240"/>
        <w:ind w:left="340"/>
        <w:rPr>
          <w:color w:val="000000"/>
          <w:kern w:val="2"/>
        </w:rPr>
      </w:pPr>
      <w:r>
        <w:rPr>
          <w:rFonts w:hint="eastAsia"/>
          <w:snapToGrid w:val="0"/>
        </w:rPr>
        <w:t>3.2.4</w:t>
      </w:r>
      <w:r>
        <w:rPr>
          <w:rFonts w:hint="eastAsia"/>
          <w:color w:val="000000"/>
          <w:kern w:val="2"/>
        </w:rPr>
        <w:t>.6</w:t>
      </w:r>
      <w:r>
        <w:rPr>
          <w:color w:val="000000"/>
          <w:kern w:val="2"/>
        </w:rPr>
        <w:t>水</w:t>
      </w:r>
      <w:r>
        <w:rPr>
          <w:rFonts w:hint="eastAsia" w:ascii="宋体" w:hAnsi="宋体" w:cs="宋体"/>
          <w:color w:val="000000"/>
          <w:kern w:val="2"/>
        </w:rPr>
        <w:t>‐</w:t>
      </w:r>
      <w:r>
        <w:rPr>
          <w:color w:val="000000"/>
          <w:kern w:val="2"/>
        </w:rPr>
        <w:t>风换热器</w:t>
      </w:r>
    </w:p>
    <w:p>
      <w:pPr>
        <w:adjustRightInd w:val="0"/>
        <w:snapToGrid w:val="0"/>
        <w:spacing w:line="360" w:lineRule="auto"/>
        <w:ind w:firstLine="482"/>
      </w:pPr>
      <w:r>
        <w:t>水</w:t>
      </w:r>
      <w:r>
        <w:rPr>
          <w:rFonts w:hint="eastAsia" w:ascii="宋体" w:hAnsi="宋体" w:cs="宋体"/>
        </w:rPr>
        <w:t>‐</w:t>
      </w:r>
      <w:r>
        <w:t>风冷却系统中户外换热设备为水风换热器。风机的起停组群由PLC 根据温度传感器发出的指令控制。其主要设备包括盘管、散热翅片和风机等。水风换热器在最低点应设有排水口，在高点应设有排气阀。</w:t>
      </w:r>
    </w:p>
    <w:p>
      <w:pPr>
        <w:pStyle w:val="8"/>
        <w:numPr>
          <w:ilvl w:val="0"/>
          <w:numId w:val="0"/>
        </w:numPr>
        <w:tabs>
          <w:tab w:val="left" w:pos="720"/>
          <w:tab w:val="left" w:pos="1152"/>
        </w:tabs>
        <w:spacing w:before="240"/>
        <w:ind w:left="340"/>
        <w:rPr>
          <w:color w:val="000000"/>
          <w:kern w:val="2"/>
        </w:rPr>
      </w:pPr>
      <w:r>
        <w:rPr>
          <w:rFonts w:hint="eastAsia"/>
          <w:snapToGrid w:val="0"/>
        </w:rPr>
        <w:t>3.2.4</w:t>
      </w:r>
      <w:r>
        <w:rPr>
          <w:rFonts w:hint="eastAsia"/>
          <w:color w:val="000000"/>
          <w:kern w:val="2"/>
        </w:rPr>
        <w:t>.7</w:t>
      </w:r>
      <w:r>
        <w:rPr>
          <w:color w:val="000000"/>
          <w:kern w:val="2"/>
        </w:rPr>
        <w:t>机架</w:t>
      </w:r>
    </w:p>
    <w:p>
      <w:pPr>
        <w:adjustRightInd w:val="0"/>
        <w:snapToGrid w:val="0"/>
        <w:spacing w:line="360" w:lineRule="auto"/>
        <w:ind w:firstLine="482"/>
      </w:pPr>
      <w:r>
        <w:t>水冷主机与水风换热器的机架均采用碳钢制作，表面涂漆，其颜色应依照买方的要求。所有外表面至少要涂一道底漆和两道面漆，面漆厚度不小于0.085mm，表层面漆应有足够弹性以耐受温度变化，耐剥落且不褪色、不粉化。</w:t>
      </w:r>
    </w:p>
    <w:p>
      <w:pPr>
        <w:pStyle w:val="8"/>
        <w:numPr>
          <w:ilvl w:val="0"/>
          <w:numId w:val="0"/>
        </w:numPr>
        <w:tabs>
          <w:tab w:val="left" w:pos="720"/>
          <w:tab w:val="left" w:pos="1152"/>
        </w:tabs>
        <w:spacing w:before="240"/>
        <w:ind w:left="340"/>
        <w:rPr>
          <w:color w:val="000000"/>
          <w:kern w:val="2"/>
        </w:rPr>
      </w:pPr>
      <w:r>
        <w:rPr>
          <w:rFonts w:hint="eastAsia"/>
          <w:snapToGrid w:val="0"/>
        </w:rPr>
        <w:t>3.2.4</w:t>
      </w:r>
      <w:r>
        <w:rPr>
          <w:rFonts w:hint="eastAsia"/>
          <w:color w:val="000000"/>
          <w:kern w:val="2"/>
        </w:rPr>
        <w:t>.8</w:t>
      </w:r>
      <w:r>
        <w:rPr>
          <w:color w:val="000000"/>
          <w:kern w:val="2"/>
        </w:rPr>
        <w:t>控制与保护</w:t>
      </w:r>
    </w:p>
    <w:p>
      <w:pPr>
        <w:adjustRightInd w:val="0"/>
        <w:snapToGrid w:val="0"/>
        <w:spacing w:line="360" w:lineRule="auto"/>
        <w:ind w:firstLine="482"/>
      </w:pPr>
      <w:r>
        <w:t>要求成套设备采用抗电磁干扰合格产品。</w:t>
      </w:r>
    </w:p>
    <w:p>
      <w:pPr>
        <w:adjustRightInd w:val="0"/>
        <w:snapToGrid w:val="0"/>
        <w:spacing w:line="360" w:lineRule="auto"/>
        <w:ind w:firstLine="482"/>
      </w:pPr>
      <w:r>
        <w:t>1.一次回路</w:t>
      </w:r>
    </w:p>
    <w:p>
      <w:pPr>
        <w:adjustRightInd w:val="0"/>
        <w:snapToGrid w:val="0"/>
        <w:spacing w:line="360" w:lineRule="auto"/>
        <w:ind w:firstLine="482"/>
      </w:pPr>
      <w:r>
        <w:t>1)</w:t>
      </w:r>
      <w:r>
        <w:tab/>
      </w:r>
      <w:r>
        <w:t>动力电源</w:t>
      </w:r>
    </w:p>
    <w:p>
      <w:pPr>
        <w:adjustRightInd w:val="0"/>
        <w:snapToGrid w:val="0"/>
        <w:spacing w:line="360" w:lineRule="auto"/>
        <w:ind w:firstLine="482"/>
      </w:pPr>
      <w:r>
        <w:t>进线电源：380V AC，三相四线制，50Hz。</w:t>
      </w:r>
    </w:p>
    <w:p>
      <w:pPr>
        <w:adjustRightInd w:val="0"/>
        <w:snapToGrid w:val="0"/>
        <w:spacing w:line="360" w:lineRule="auto"/>
        <w:ind w:firstLine="482"/>
      </w:pPr>
      <w:r>
        <w:t>水冷系统供电电源需单独由需方提供，原则上应与SVG控制电源独立配置。</w:t>
      </w:r>
    </w:p>
    <w:p>
      <w:pPr>
        <w:adjustRightInd w:val="0"/>
        <w:snapToGrid w:val="0"/>
        <w:spacing w:line="360" w:lineRule="auto"/>
        <w:ind w:firstLine="482"/>
      </w:pPr>
      <w:r>
        <w:t>2)</w:t>
      </w:r>
      <w:r>
        <w:tab/>
      </w:r>
      <w:r>
        <w:t>电源的监视和保护</w:t>
      </w:r>
    </w:p>
    <w:p>
      <w:pPr>
        <w:adjustRightInd w:val="0"/>
        <w:snapToGrid w:val="0"/>
        <w:spacing w:line="360" w:lineRule="auto"/>
        <w:ind w:firstLine="482"/>
      </w:pPr>
      <w:r>
        <w:t>对进线电源状况进行实时监控。电源故障，缺相，相序错，欠压，过流，过压，短路等信息上传至监控系统。</w:t>
      </w:r>
    </w:p>
    <w:p>
      <w:pPr>
        <w:adjustRightInd w:val="0"/>
        <w:snapToGrid w:val="0"/>
        <w:spacing w:line="360" w:lineRule="auto"/>
        <w:ind w:firstLine="482"/>
      </w:pPr>
      <w:r>
        <w:t>3)</w:t>
      </w:r>
      <w:r>
        <w:tab/>
      </w:r>
      <w:r>
        <w:t>接地</w:t>
      </w:r>
    </w:p>
    <w:p>
      <w:pPr>
        <w:adjustRightInd w:val="0"/>
        <w:snapToGrid w:val="0"/>
        <w:spacing w:line="360" w:lineRule="auto"/>
        <w:ind w:firstLine="482"/>
      </w:pPr>
      <w:r>
        <w:t>现场提供可靠接地，确保设备运行的稳定和安全。</w:t>
      </w:r>
    </w:p>
    <w:p>
      <w:pPr>
        <w:adjustRightInd w:val="0"/>
        <w:snapToGrid w:val="0"/>
        <w:spacing w:line="360" w:lineRule="auto"/>
        <w:ind w:firstLine="482"/>
      </w:pPr>
      <w:r>
        <w:t>4)</w:t>
      </w:r>
      <w:r>
        <w:tab/>
      </w:r>
      <w:r>
        <w:t>一次元件的选型</w:t>
      </w:r>
    </w:p>
    <w:p>
      <w:pPr>
        <w:adjustRightInd w:val="0"/>
        <w:snapToGrid w:val="0"/>
        <w:spacing w:line="360" w:lineRule="auto"/>
        <w:ind w:firstLine="482"/>
      </w:pPr>
      <w:r>
        <w:t>断路器、接触器以及热保护单元等主要元器件采用西门子等高性能产品。电气材料的包装等级符合EN60529 标准。</w:t>
      </w:r>
    </w:p>
    <w:p>
      <w:pPr>
        <w:adjustRightInd w:val="0"/>
        <w:snapToGrid w:val="0"/>
        <w:spacing w:line="360" w:lineRule="auto"/>
        <w:ind w:firstLine="482"/>
      </w:pPr>
      <w:r>
        <w:t>5)</w:t>
      </w:r>
      <w:r>
        <w:tab/>
      </w:r>
      <w:r>
        <w:t>对主设备的保护</w:t>
      </w:r>
    </w:p>
    <w:p>
      <w:pPr>
        <w:adjustRightInd w:val="0"/>
        <w:snapToGrid w:val="0"/>
        <w:spacing w:line="360" w:lineRule="auto"/>
        <w:ind w:firstLine="482"/>
      </w:pPr>
      <w:r>
        <w:t>提供对泵的短路、过流、过压缺相和掉相保护。故障状态信息上传至PLC，实现自动报警和保护。</w:t>
      </w:r>
    </w:p>
    <w:p>
      <w:pPr>
        <w:adjustRightInd w:val="0"/>
        <w:snapToGrid w:val="0"/>
        <w:spacing w:line="360" w:lineRule="auto"/>
        <w:ind w:firstLine="482"/>
      </w:pPr>
      <w:r>
        <w:t>2.二次回路</w:t>
      </w:r>
    </w:p>
    <w:p>
      <w:pPr>
        <w:adjustRightInd w:val="0"/>
        <w:snapToGrid w:val="0"/>
        <w:spacing w:line="360" w:lineRule="auto"/>
        <w:ind w:firstLine="482"/>
      </w:pPr>
      <w:r>
        <w:t>控制回路采用控制器（PLC）的控制保护系统。从而实现：</w:t>
      </w:r>
    </w:p>
    <w:p>
      <w:pPr>
        <w:adjustRightInd w:val="0"/>
        <w:snapToGrid w:val="0"/>
        <w:spacing w:line="360" w:lineRule="auto"/>
        <w:ind w:firstLine="482"/>
      </w:pPr>
      <w:r>
        <w:t>1)</w:t>
      </w:r>
      <w:r>
        <w:tab/>
      </w:r>
      <w:r>
        <w:t>对水冷系统的监控与保护；</w:t>
      </w:r>
    </w:p>
    <w:p>
      <w:pPr>
        <w:adjustRightInd w:val="0"/>
        <w:snapToGrid w:val="0"/>
        <w:spacing w:line="360" w:lineRule="auto"/>
        <w:ind w:firstLine="482"/>
      </w:pPr>
      <w:r>
        <w:t>2)</w:t>
      </w:r>
      <w:r>
        <w:tab/>
      </w:r>
      <w:r>
        <w:t>将水冷系统的工作状况上传给主控制器。</w:t>
      </w:r>
    </w:p>
    <w:p>
      <w:pPr>
        <w:adjustRightInd w:val="0"/>
        <w:snapToGrid w:val="0"/>
        <w:spacing w:line="360" w:lineRule="auto"/>
        <w:ind w:firstLine="482"/>
      </w:pPr>
      <w:r>
        <w:t>3)</w:t>
      </w:r>
      <w:r>
        <w:tab/>
      </w:r>
      <w:r>
        <w:t>对水冷系统的远程控制。</w:t>
      </w:r>
    </w:p>
    <w:p>
      <w:pPr>
        <w:adjustRightInd w:val="0"/>
        <w:snapToGrid w:val="0"/>
        <w:spacing w:line="360" w:lineRule="auto"/>
        <w:ind w:firstLine="482"/>
      </w:pPr>
      <w:r>
        <w:t>3.控制系统</w:t>
      </w:r>
    </w:p>
    <w:p>
      <w:pPr>
        <w:adjustRightInd w:val="0"/>
        <w:snapToGrid w:val="0"/>
        <w:spacing w:line="360" w:lineRule="auto"/>
        <w:ind w:firstLine="482"/>
      </w:pPr>
      <w:r>
        <w:t>1)</w:t>
      </w:r>
      <w:r>
        <w:tab/>
      </w:r>
      <w:r>
        <w:t>采样系统</w:t>
      </w:r>
    </w:p>
    <w:p>
      <w:pPr>
        <w:adjustRightInd w:val="0"/>
        <w:snapToGrid w:val="0"/>
        <w:spacing w:line="360" w:lineRule="auto"/>
        <w:ind w:firstLine="482"/>
      </w:pPr>
      <w:r>
        <w:t>为确保系统安全稳定工作，仪表均采用知名品牌，防止由于水冷系统仪表故障导致IGBT单元阀停运，对水冷系统冷却介质进出阀温度、压力、冷却介质电导率，缓冲罐/高位水箱液位，系统流量等重要参数在线监测。</w:t>
      </w:r>
    </w:p>
    <w:p>
      <w:pPr>
        <w:adjustRightInd w:val="0"/>
        <w:snapToGrid w:val="0"/>
        <w:spacing w:line="360" w:lineRule="auto"/>
        <w:ind w:firstLine="482"/>
      </w:pPr>
      <w:r>
        <w:t>水冷系统仪表分为3 类：现场指示、开关量信号、4～20mA 线性模拟信号。通过PLC 连接和反馈，实现监视、控制、报警及保护功能。</w:t>
      </w:r>
    </w:p>
    <w:p>
      <w:pPr>
        <w:adjustRightInd w:val="0"/>
        <w:snapToGrid w:val="0"/>
        <w:spacing w:line="360" w:lineRule="auto"/>
        <w:ind w:firstLine="482"/>
      </w:pPr>
      <w:r>
        <w:t>a.</w:t>
      </w:r>
      <w:r>
        <w:tab/>
      </w:r>
      <w:r>
        <w:t>PLC接收并直接处理现场开关量信号。</w:t>
      </w:r>
    </w:p>
    <w:p>
      <w:pPr>
        <w:adjustRightInd w:val="0"/>
        <w:snapToGrid w:val="0"/>
        <w:spacing w:line="360" w:lineRule="auto"/>
        <w:ind w:firstLine="482"/>
      </w:pPr>
      <w:r>
        <w:t>b.</w:t>
      </w:r>
      <w:r>
        <w:tab/>
      </w:r>
      <w:r>
        <w:t>PLC接收传感器4～20mA 信号并显示其参数在线值。如PLC接收到传感器的超量程读数时，将发出“传感器故障”报警信号。水冷系统整定值在系统停机或断电后，不能丢失。</w:t>
      </w:r>
    </w:p>
    <w:p>
      <w:pPr>
        <w:adjustRightInd w:val="0"/>
        <w:snapToGrid w:val="0"/>
        <w:spacing w:line="360" w:lineRule="auto"/>
        <w:ind w:firstLine="482"/>
      </w:pPr>
      <w:r>
        <w:t>2)</w:t>
      </w:r>
      <w:r>
        <w:tab/>
      </w:r>
      <w:r>
        <w:t>工作模式</w:t>
      </w:r>
    </w:p>
    <w:p>
      <w:pPr>
        <w:adjustRightInd w:val="0"/>
        <w:snapToGrid w:val="0"/>
        <w:spacing w:line="360" w:lineRule="auto"/>
        <w:ind w:firstLine="482"/>
      </w:pPr>
      <w:r>
        <w:t></w:t>
      </w:r>
      <w:r>
        <w:tab/>
      </w:r>
      <w:r>
        <w:t>手动模式</w:t>
      </w:r>
    </w:p>
    <w:p>
      <w:pPr>
        <w:adjustRightInd w:val="0"/>
        <w:snapToGrid w:val="0"/>
        <w:spacing w:line="360" w:lineRule="auto"/>
        <w:ind w:firstLine="482"/>
      </w:pPr>
      <w:r>
        <w:t>旋钮置于手动位时，水冷系统处于手动操作模式。</w:t>
      </w:r>
    </w:p>
    <w:p>
      <w:pPr>
        <w:adjustRightInd w:val="0"/>
        <w:snapToGrid w:val="0"/>
        <w:spacing w:line="360" w:lineRule="auto"/>
        <w:ind w:firstLine="482"/>
      </w:pPr>
      <w:r>
        <w:t>主循环泵、补水泵能通过控制柜面板旋钮进行手动操作。电磁阀能在操作面板上操作。手动模式运行时水冷系统不由PLC 自动控制，此模式一般在系统检修维护及调试时采用。</w:t>
      </w:r>
    </w:p>
    <w:p>
      <w:pPr>
        <w:adjustRightInd w:val="0"/>
        <w:snapToGrid w:val="0"/>
        <w:spacing w:line="360" w:lineRule="auto"/>
        <w:ind w:firstLine="482"/>
      </w:pPr>
      <w:r>
        <w:t></w:t>
      </w:r>
      <w:r>
        <w:tab/>
      </w:r>
      <w:r>
        <w:t>停止模式</w:t>
      </w:r>
    </w:p>
    <w:p>
      <w:pPr>
        <w:adjustRightInd w:val="0"/>
        <w:snapToGrid w:val="0"/>
        <w:spacing w:line="360" w:lineRule="auto"/>
        <w:ind w:firstLine="482"/>
      </w:pPr>
      <w:r>
        <w:t>旋钮置于停止位时，水冷系统处于停止操作模式。</w:t>
      </w:r>
    </w:p>
    <w:p>
      <w:pPr>
        <w:adjustRightInd w:val="0"/>
        <w:snapToGrid w:val="0"/>
        <w:spacing w:line="360" w:lineRule="auto"/>
        <w:ind w:firstLine="482"/>
      </w:pPr>
      <w:r>
        <w:t>在控制柜面板按钮及操作面板上不能进行任何操作。</w:t>
      </w:r>
    </w:p>
    <w:p>
      <w:pPr>
        <w:adjustRightInd w:val="0"/>
        <w:snapToGrid w:val="0"/>
        <w:spacing w:line="360" w:lineRule="auto"/>
        <w:ind w:firstLine="482"/>
      </w:pPr>
      <w:r>
        <w:t></w:t>
      </w:r>
      <w:r>
        <w:tab/>
      </w:r>
      <w:r>
        <w:t>自动模式</w:t>
      </w:r>
    </w:p>
    <w:p>
      <w:pPr>
        <w:adjustRightInd w:val="0"/>
        <w:snapToGrid w:val="0"/>
        <w:spacing w:line="360" w:lineRule="auto"/>
        <w:ind w:firstLine="482"/>
      </w:pPr>
      <w:r>
        <w:t>旋钮置于自动位时，水冷系统处于自动操作模式。</w:t>
      </w:r>
    </w:p>
    <w:p>
      <w:pPr>
        <w:adjustRightInd w:val="0"/>
        <w:snapToGrid w:val="0"/>
        <w:spacing w:line="360" w:lineRule="auto"/>
        <w:ind w:firstLine="482"/>
      </w:pPr>
      <w:r>
        <w:t>自动启动后，水冷控制系统根据整定参数监控水冷系统的运行状况和检测系统故障。PLC 自动控制冷却水温度，对水冷系统参数的超标及时的发出预警，当参数严重超标有可能影响被冷却器件运行安全时自动发出跳闸信号。</w:t>
      </w:r>
    </w:p>
    <w:p>
      <w:pPr>
        <w:adjustRightInd w:val="0"/>
        <w:snapToGrid w:val="0"/>
        <w:spacing w:line="360" w:lineRule="auto"/>
        <w:ind w:firstLine="482"/>
      </w:pPr>
      <w:r>
        <w:t>自动运行模式下，主循环泵、自动补水泵等由PLC 根据实际工作条件进行自动控制。此时各设备控制柜面板按钮手动操作无效。</w:t>
      </w:r>
    </w:p>
    <w:p>
      <w:pPr>
        <w:adjustRightInd w:val="0"/>
        <w:snapToGrid w:val="0"/>
        <w:spacing w:line="360" w:lineRule="auto"/>
        <w:ind w:firstLine="482"/>
      </w:pPr>
      <w:r>
        <w:t></w:t>
      </w:r>
      <w:r>
        <w:tab/>
      </w:r>
      <w:r>
        <w:t>远程启动</w:t>
      </w:r>
    </w:p>
    <w:p>
      <w:pPr>
        <w:adjustRightInd w:val="0"/>
        <w:snapToGrid w:val="0"/>
        <w:spacing w:line="360" w:lineRule="auto"/>
        <w:ind w:firstLine="482"/>
      </w:pPr>
      <w:r>
        <w:t>远程启动水冷命令应为延时闭合接点,停止水冷命令应为一延时断开接点。延时时间为2 秒。远程启动水冷命令和停止水冷命令同时有效时，冷却系统不会停机。</w:t>
      </w:r>
    </w:p>
    <w:p>
      <w:pPr>
        <w:adjustRightInd w:val="0"/>
        <w:snapToGrid w:val="0"/>
        <w:spacing w:line="360" w:lineRule="auto"/>
        <w:ind w:firstLine="482"/>
      </w:pPr>
      <w:r>
        <w:t>3)</w:t>
      </w:r>
      <w:r>
        <w:tab/>
      </w:r>
      <w:r>
        <w:t>人机界面</w:t>
      </w:r>
    </w:p>
    <w:p>
      <w:pPr>
        <w:adjustRightInd w:val="0"/>
        <w:snapToGrid w:val="0"/>
        <w:spacing w:line="360" w:lineRule="auto"/>
        <w:ind w:firstLine="482"/>
      </w:pPr>
      <w:r>
        <w:t></w:t>
      </w:r>
      <w:r>
        <w:tab/>
      </w:r>
      <w:r>
        <w:t>控制柜面板按钮</w:t>
      </w:r>
    </w:p>
    <w:p>
      <w:pPr>
        <w:adjustRightInd w:val="0"/>
        <w:snapToGrid w:val="0"/>
        <w:spacing w:line="360" w:lineRule="auto"/>
        <w:ind w:firstLine="482"/>
      </w:pPr>
      <w:r>
        <w:t>旋钮开关：主循环泵启停、补水泵启停、电磁阀启停；</w:t>
      </w:r>
    </w:p>
    <w:p>
      <w:pPr>
        <w:adjustRightInd w:val="0"/>
        <w:snapToGrid w:val="0"/>
        <w:spacing w:line="360" w:lineRule="auto"/>
        <w:ind w:firstLine="482"/>
      </w:pPr>
      <w:r>
        <w:t>人机界面显示的报警信息，最少包括：系统运行、系统停止、系统故障、跳闸。</w:t>
      </w:r>
    </w:p>
    <w:p>
      <w:pPr>
        <w:adjustRightInd w:val="0"/>
        <w:snapToGrid w:val="0"/>
        <w:spacing w:line="360" w:lineRule="auto"/>
        <w:ind w:firstLine="482"/>
      </w:pPr>
      <w:r>
        <w:t></w:t>
      </w:r>
      <w:r>
        <w:tab/>
      </w:r>
      <w:r>
        <w:t>操作面板</w:t>
      </w:r>
    </w:p>
    <w:p>
      <w:pPr>
        <w:adjustRightInd w:val="0"/>
        <w:snapToGrid w:val="0"/>
        <w:spacing w:line="360" w:lineRule="auto"/>
        <w:ind w:firstLine="482"/>
      </w:pPr>
      <w:r>
        <w:t>选用</w:t>
      </w:r>
      <w:r>
        <w:rPr>
          <w:rFonts w:hint="eastAsia"/>
        </w:rPr>
        <w:t>品牌</w:t>
      </w:r>
      <w:r>
        <w:t>的触摸式控制屏作为现场水冷系统的操作界面。</w:t>
      </w:r>
    </w:p>
    <w:p>
      <w:pPr>
        <w:adjustRightInd w:val="0"/>
        <w:snapToGrid w:val="0"/>
        <w:spacing w:line="360" w:lineRule="auto"/>
        <w:ind w:firstLine="482"/>
      </w:pPr>
      <w:r>
        <w:rPr>
          <w:rFonts w:hint="eastAsia"/>
        </w:rPr>
        <w:t>品牌</w:t>
      </w:r>
      <w:r>
        <w:t>的PLC 可编程逻辑控制器与触摸式控制屏组成人机对话的操作面板，经过编程可具有以下功能。</w:t>
      </w:r>
    </w:p>
    <w:p>
      <w:pPr>
        <w:adjustRightInd w:val="0"/>
        <w:snapToGrid w:val="0"/>
        <w:spacing w:line="360" w:lineRule="auto"/>
        <w:ind w:firstLine="482"/>
      </w:pPr>
      <w:r>
        <w:t></w:t>
      </w:r>
      <w:r>
        <w:tab/>
      </w:r>
      <w:r>
        <w:t>显示水冷系统工艺流程图及各机电设备工作状态；</w:t>
      </w:r>
    </w:p>
    <w:p>
      <w:pPr>
        <w:adjustRightInd w:val="0"/>
        <w:snapToGrid w:val="0"/>
        <w:spacing w:line="360" w:lineRule="auto"/>
        <w:ind w:firstLine="482"/>
      </w:pPr>
      <w:r>
        <w:t></w:t>
      </w:r>
      <w:r>
        <w:tab/>
      </w:r>
      <w:r>
        <w:t>压力、流量、温度、水位和电导率等参数在线显示；</w:t>
      </w:r>
    </w:p>
    <w:p>
      <w:pPr>
        <w:adjustRightInd w:val="0"/>
        <w:snapToGrid w:val="0"/>
        <w:spacing w:line="360" w:lineRule="auto"/>
        <w:ind w:firstLine="482"/>
      </w:pPr>
      <w:r>
        <w:t></w:t>
      </w:r>
      <w:r>
        <w:tab/>
      </w:r>
      <w:r>
        <w:t>报警时显示当前报警信息条，如水温过高等，同时保存故障历史记录；</w:t>
      </w:r>
    </w:p>
    <w:p>
      <w:pPr>
        <w:adjustRightInd w:val="0"/>
        <w:snapToGrid w:val="0"/>
        <w:spacing w:line="360" w:lineRule="auto"/>
        <w:ind w:firstLine="482"/>
      </w:pPr>
      <w:r>
        <w:t></w:t>
      </w:r>
      <w:r>
        <w:tab/>
      </w:r>
      <w:r>
        <w:t>主泵通过操作面板按键可手动切换；</w:t>
      </w:r>
    </w:p>
    <w:p>
      <w:pPr>
        <w:adjustRightInd w:val="0"/>
        <w:snapToGrid w:val="0"/>
        <w:spacing w:line="360" w:lineRule="auto"/>
        <w:ind w:firstLine="482"/>
      </w:pPr>
      <w:r>
        <w:t></w:t>
      </w:r>
      <w:r>
        <w:tab/>
      </w:r>
      <w:r>
        <w:t>水冷系统自动的启动/停止；</w:t>
      </w:r>
    </w:p>
    <w:p>
      <w:pPr>
        <w:adjustRightInd w:val="0"/>
        <w:snapToGrid w:val="0"/>
        <w:spacing w:line="360" w:lineRule="auto"/>
        <w:ind w:firstLine="482"/>
      </w:pPr>
      <w:r>
        <w:t></w:t>
      </w:r>
      <w:r>
        <w:tab/>
      </w:r>
      <w:r>
        <w:t>水冷系统停止时可手动调试电磁阀；</w:t>
      </w:r>
    </w:p>
    <w:p>
      <w:pPr>
        <w:adjustRightInd w:val="0"/>
        <w:snapToGrid w:val="0"/>
        <w:spacing w:line="360" w:lineRule="auto"/>
        <w:ind w:firstLine="482"/>
      </w:pPr>
      <w:r>
        <w:t></w:t>
      </w:r>
      <w:r>
        <w:tab/>
      </w:r>
      <w:r>
        <w:t>参数设定及密码保护。</w:t>
      </w:r>
    </w:p>
    <w:p>
      <w:pPr>
        <w:adjustRightInd w:val="0"/>
        <w:snapToGrid w:val="0"/>
        <w:spacing w:line="360" w:lineRule="auto"/>
        <w:ind w:firstLine="482"/>
      </w:pPr>
      <w:r>
        <w:t></w:t>
      </w:r>
      <w:r>
        <w:tab/>
      </w:r>
      <w:r>
        <w:t>帮助画面</w:t>
      </w:r>
    </w:p>
    <w:p>
      <w:pPr>
        <w:adjustRightInd w:val="0"/>
        <w:snapToGrid w:val="0"/>
        <w:spacing w:line="360" w:lineRule="auto"/>
        <w:ind w:firstLine="482"/>
      </w:pPr>
      <w:r>
        <w:t>4)</w:t>
      </w:r>
      <w:r>
        <w:tab/>
      </w:r>
      <w:r>
        <w:t>控制逻辑</w:t>
      </w:r>
    </w:p>
    <w:p>
      <w:pPr>
        <w:adjustRightInd w:val="0"/>
        <w:snapToGrid w:val="0"/>
        <w:spacing w:line="360" w:lineRule="auto"/>
        <w:ind w:firstLine="482"/>
      </w:pPr>
      <w:r>
        <w:t></w:t>
      </w:r>
      <w:r>
        <w:tab/>
      </w:r>
      <w:r>
        <w:t>主循环泵正常工作时，其流量是恒定不变的。</w:t>
      </w:r>
    </w:p>
    <w:p>
      <w:pPr>
        <w:adjustRightInd w:val="0"/>
        <w:snapToGrid w:val="0"/>
        <w:spacing w:line="360" w:lineRule="auto"/>
        <w:ind w:firstLine="482"/>
      </w:pPr>
      <w:r>
        <w:t></w:t>
      </w:r>
      <w:r>
        <w:tab/>
      </w:r>
      <w:r>
        <w:t>通常情况下，即使阀体退出运行，主泵也不切除，水冷系统保持运行。</w:t>
      </w:r>
    </w:p>
    <w:p>
      <w:pPr>
        <w:adjustRightInd w:val="0"/>
        <w:snapToGrid w:val="0"/>
        <w:spacing w:line="360" w:lineRule="auto"/>
        <w:ind w:firstLine="482"/>
      </w:pPr>
      <w:r>
        <w:t></w:t>
      </w:r>
      <w:r>
        <w:tab/>
      </w:r>
      <w:r>
        <w:t>当系统检测到工作泵故障时，报警。</w:t>
      </w:r>
    </w:p>
    <w:p>
      <w:pPr>
        <w:adjustRightInd w:val="0"/>
        <w:snapToGrid w:val="0"/>
        <w:spacing w:line="360" w:lineRule="auto"/>
        <w:ind w:firstLine="482"/>
      </w:pPr>
      <w:r>
        <w:t></w:t>
      </w:r>
      <w:r>
        <w:tab/>
      </w:r>
      <w:r>
        <w:t>当系统检测到两台工作泵均故障时，跳闸。</w:t>
      </w:r>
    </w:p>
    <w:p>
      <w:pPr>
        <w:adjustRightInd w:val="0"/>
        <w:snapToGrid w:val="0"/>
        <w:spacing w:line="360" w:lineRule="auto"/>
        <w:ind w:firstLine="482"/>
      </w:pPr>
      <w:r>
        <w:t></w:t>
      </w:r>
      <w:r>
        <w:tab/>
      </w:r>
      <w:r>
        <w:t>自动补水方式：水冷系统自动运行中补水泵能根据缓冲罐/高位水箱液位自动向系统补水。缓冲罐/高位水箱液位低于设定值时补水泵启动，一直到缓冲罐/高位水箱液位到达停泵液位时停运。</w:t>
      </w:r>
    </w:p>
    <w:p>
      <w:pPr>
        <w:adjustRightInd w:val="0"/>
        <w:snapToGrid w:val="0"/>
        <w:spacing w:line="360" w:lineRule="auto"/>
        <w:ind w:firstLine="482"/>
      </w:pPr>
      <w:r>
        <w:t></w:t>
      </w:r>
      <w:r>
        <w:tab/>
      </w:r>
      <w:r>
        <w:t>当系统检测到补水箱液位下降至低报警液位时，发出补水箱液位低报警信号，提示操作人员及时向补水箱内补水。</w:t>
      </w:r>
    </w:p>
    <w:p>
      <w:pPr>
        <w:adjustRightInd w:val="0"/>
        <w:snapToGrid w:val="0"/>
        <w:spacing w:line="360" w:lineRule="auto"/>
        <w:ind w:firstLine="482"/>
      </w:pPr>
      <w:r>
        <w:t></w:t>
      </w:r>
      <w:r>
        <w:tab/>
      </w:r>
      <w:r>
        <w:t>仪表故障逻辑说明：变送器异常，发出报警信号，〈某仪表故障,请检查〉。故障仪表恢复正常后，相关控制功能恢复正常。</w:t>
      </w:r>
    </w:p>
    <w:p>
      <w:pPr>
        <w:adjustRightInd w:val="0"/>
        <w:snapToGrid w:val="0"/>
        <w:spacing w:line="360" w:lineRule="auto"/>
        <w:ind w:firstLine="482"/>
      </w:pPr>
      <w:r>
        <w:t></w:t>
      </w:r>
      <w:r>
        <w:tab/>
      </w:r>
      <w:r>
        <w:t>水冷装置进出阀温度变送器均故障时操作面板上显示“两台温度变送器均故障”报警信息并上传，同时发出跳闸信号。当进出温度相差超出设定值或出阀温度低于进阀温度时发送温度变送器故障信号。</w:t>
      </w:r>
    </w:p>
    <w:p>
      <w:pPr>
        <w:adjustRightInd w:val="0"/>
        <w:snapToGrid w:val="0"/>
        <w:spacing w:line="360" w:lineRule="auto"/>
        <w:ind w:firstLine="482"/>
      </w:pPr>
      <w:r>
        <w:t></w:t>
      </w:r>
      <w:r>
        <w:tab/>
      </w:r>
      <w:r>
        <w:t>任何传感器故障时，操作面板上均显示“某仪表故障,请检查”报警信息并上传，同时发出预警信号。</w:t>
      </w:r>
    </w:p>
    <w:p>
      <w:pPr>
        <w:adjustRightInd w:val="0"/>
        <w:snapToGrid w:val="0"/>
        <w:spacing w:line="360" w:lineRule="auto"/>
        <w:ind w:firstLine="482"/>
      </w:pPr>
      <w:r>
        <w:t></w:t>
      </w:r>
      <w:r>
        <w:tab/>
      </w:r>
      <w:r>
        <w:t>交流动力电源掉电时，发出跳闸信号。</w:t>
      </w:r>
    </w:p>
    <w:p>
      <w:pPr>
        <w:adjustRightInd w:val="0"/>
        <w:snapToGrid w:val="0"/>
        <w:spacing w:line="360" w:lineRule="auto"/>
        <w:ind w:firstLine="482"/>
      </w:pPr>
      <w:r>
        <w:t></w:t>
      </w:r>
      <w:r>
        <w:tab/>
      </w:r>
      <w:r>
        <w:t>直流控制电源掉电，发出水冷控制系统故障报警信号。</w:t>
      </w:r>
    </w:p>
    <w:p>
      <w:pPr>
        <w:adjustRightInd w:val="0"/>
        <w:snapToGrid w:val="0"/>
        <w:spacing w:line="360" w:lineRule="auto"/>
        <w:ind w:firstLine="482"/>
      </w:pPr>
      <w:r>
        <w:t></w:t>
      </w:r>
      <w:r>
        <w:tab/>
      </w:r>
      <w:r>
        <w:t>PLC 接收到膨胀罐压力开关信号，并根据膨胀罐压力高低限值，自动开关气路电磁阀，从而使膨胀罐的压力稳定在一定范围内，并保证整个水冷系统维持一定的静压。</w:t>
      </w:r>
    </w:p>
    <w:p>
      <w:pPr>
        <w:adjustRightInd w:val="0"/>
        <w:snapToGrid w:val="0"/>
        <w:spacing w:line="360" w:lineRule="auto"/>
        <w:ind w:firstLine="482"/>
      </w:pPr>
      <w:r>
        <w:t></w:t>
      </w:r>
      <w:r>
        <w:tab/>
      </w:r>
      <w:r>
        <w:t>PLC 接收处理温度变送器信号并根据设定的温度上下限，输出低温预警、高温预警和超低、超高温跳闸信号；</w:t>
      </w:r>
    </w:p>
    <w:p>
      <w:pPr>
        <w:adjustRightInd w:val="0"/>
        <w:snapToGrid w:val="0"/>
        <w:spacing w:line="360" w:lineRule="auto"/>
        <w:ind w:firstLine="482"/>
      </w:pPr>
      <w:r>
        <w:t></w:t>
      </w:r>
      <w:r>
        <w:tab/>
      </w:r>
      <w:r>
        <w:t>PLC 接收并处理有关其他变送器信号，并根据设定限值输出预警及跳闸信号；</w:t>
      </w:r>
    </w:p>
    <w:p>
      <w:pPr>
        <w:adjustRightInd w:val="0"/>
        <w:snapToGrid w:val="0"/>
        <w:spacing w:line="360" w:lineRule="auto"/>
        <w:ind w:firstLine="482"/>
      </w:pPr>
      <w:r>
        <w:t></w:t>
      </w:r>
      <w:r>
        <w:tab/>
      </w:r>
      <w:r>
        <w:t>水冷系统泄漏时发出报警信息。膨胀罐液位下降速率超过定值时，发出报警信号。</w:t>
      </w:r>
    </w:p>
    <w:p>
      <w:pPr>
        <w:adjustRightInd w:val="0"/>
        <w:snapToGrid w:val="0"/>
        <w:spacing w:line="360" w:lineRule="auto"/>
        <w:ind w:firstLine="482"/>
      </w:pPr>
      <w:r>
        <w:t>5)</w:t>
      </w:r>
      <w:r>
        <w:tab/>
      </w:r>
      <w:r>
        <w:t>温度控制</w:t>
      </w:r>
    </w:p>
    <w:p>
      <w:pPr>
        <w:adjustRightInd w:val="0"/>
        <w:snapToGrid w:val="0"/>
        <w:spacing w:line="360" w:lineRule="auto"/>
        <w:ind w:firstLine="482"/>
      </w:pPr>
      <w:r>
        <w:t>IGBT单元阀组通过改变导通角来连续调节系统容量。IGBT单元阀的导通角不同，流过IGBT单元阀的电流有效值不同，IGBT单元阀的发热量也不同。而IGBT单元使用时要求冷却水进阀温度基本稳定，严禁冷却水进阀温度骤升骤降，因此要求水冷装置改变水冷散热量来跟踪IGBT单元阀热负荷变化，使冷却水进阀温度稳定在设定范围内。本系统根据阀体温度的变化调节电磁阀开关大小，从而形成一个温度闭环调节系统，是阀体工作在相对稳定的温度环境内，从而提高阀体地寿命和使用效率。</w:t>
      </w:r>
    </w:p>
    <w:p>
      <w:pPr>
        <w:adjustRightInd w:val="0"/>
        <w:snapToGrid w:val="0"/>
        <w:spacing w:line="360" w:lineRule="auto"/>
        <w:ind w:firstLine="482"/>
      </w:pPr>
      <w:r>
        <w:t>6)</w:t>
      </w:r>
      <w:r>
        <w:tab/>
      </w:r>
      <w:r>
        <w:t>抗电磁干扰设计</w:t>
      </w:r>
    </w:p>
    <w:p>
      <w:pPr>
        <w:adjustRightInd w:val="0"/>
        <w:snapToGrid w:val="0"/>
        <w:spacing w:line="360" w:lineRule="auto"/>
        <w:ind w:firstLine="482"/>
      </w:pPr>
      <w:r>
        <w:t>水冷系统在大功率电力电子设备环境中连续运行，控制系统的抗电磁干扰性是关系到冷却系统甚至整个换流系统能否正常稳定运行的关键。</w:t>
      </w:r>
    </w:p>
    <w:p>
      <w:pPr>
        <w:adjustRightInd w:val="0"/>
        <w:snapToGrid w:val="0"/>
        <w:spacing w:line="360" w:lineRule="auto"/>
        <w:ind w:firstLine="482"/>
      </w:pPr>
      <w:r>
        <w:t>供电电源回路、采集回路和控制回路能承受快速瞬变干扰严酷等级为3 级。</w:t>
      </w:r>
    </w:p>
    <w:p>
      <w:pPr>
        <w:adjustRightInd w:val="0"/>
        <w:snapToGrid w:val="0"/>
        <w:spacing w:line="360" w:lineRule="auto"/>
        <w:ind w:firstLine="482"/>
      </w:pPr>
      <w:r>
        <w:t>基本EMC措施：回路设计、接地设计、滤波设计、电气箱排线、电缆选择。</w:t>
      </w:r>
    </w:p>
    <w:p>
      <w:pPr>
        <w:adjustRightInd w:val="0"/>
        <w:snapToGrid w:val="0"/>
        <w:spacing w:line="360" w:lineRule="auto"/>
        <w:ind w:firstLine="482"/>
      </w:pPr>
      <w:r>
        <w:t>7)</w:t>
      </w:r>
      <w:r>
        <w:tab/>
      </w:r>
      <w:r>
        <w:t>远程传输（通讯）</w:t>
      </w:r>
    </w:p>
    <w:p>
      <w:pPr>
        <w:adjustRightInd w:val="0"/>
        <w:snapToGrid w:val="0"/>
        <w:spacing w:line="360" w:lineRule="auto"/>
        <w:ind w:firstLine="482"/>
      </w:pPr>
      <w:r>
        <w:t>对实时性要求较高的远程控制信号和水冷系统报警信号，水冷系统通过开关量接点与IGBT单元阀组监控系统(以下简称上位机)进行通讯；对信息量较大的在线参数、设备状态监测及水冷系统报警信息，水冷系统通过MODBUS 协议RS485 总线与IGBT单元阀监控系统进行通讯，上传的关键信息能在SVG主控屏上在线显示。</w:t>
      </w:r>
    </w:p>
    <w:p>
      <w:pPr>
        <w:adjustRightInd w:val="0"/>
        <w:snapToGrid w:val="0"/>
        <w:spacing w:line="360" w:lineRule="auto"/>
        <w:ind w:firstLine="482"/>
      </w:pPr>
      <w:r>
        <w:t>8)</w:t>
      </w:r>
      <w:r>
        <w:tab/>
      </w:r>
      <w:r>
        <w:t>开关量输出节点</w:t>
      </w:r>
    </w:p>
    <w:p>
      <w:pPr>
        <w:adjustRightInd w:val="0"/>
        <w:snapToGrid w:val="0"/>
        <w:spacing w:line="360" w:lineRule="auto"/>
        <w:ind w:firstLine="482"/>
      </w:pPr>
      <w:r>
        <w:t></w:t>
      </w:r>
      <w:r>
        <w:tab/>
      </w:r>
      <w:r>
        <w:t>延时跳闸（正常时继电器触点闭合，跳闸时继电器触点断开，断电时继电器触点断开）；</w:t>
      </w:r>
    </w:p>
    <w:p>
      <w:pPr>
        <w:adjustRightInd w:val="0"/>
        <w:snapToGrid w:val="0"/>
        <w:spacing w:line="360" w:lineRule="auto"/>
        <w:ind w:firstLine="482"/>
      </w:pPr>
      <w:r>
        <w:t></w:t>
      </w:r>
      <w:r>
        <w:tab/>
      </w:r>
      <w:r>
        <w:t>水冷系统启/停（两泵全停,上位机接收到此信号应立即停运IGBT单元阀组，水冷系统正常工作才允许合闸。水冷系统启动时继电器触点闭合，停止时继电器触点断开）；</w:t>
      </w:r>
    </w:p>
    <w:p>
      <w:pPr>
        <w:adjustRightInd w:val="0"/>
        <w:snapToGrid w:val="0"/>
        <w:spacing w:line="360" w:lineRule="auto"/>
        <w:ind w:firstLine="482"/>
      </w:pPr>
      <w:r>
        <w:t></w:t>
      </w:r>
      <w:r>
        <w:tab/>
      </w:r>
      <w:r>
        <w:t>水冷控制系统综合故障（包含PLC 故障及控制电源掉电,包括水冷的所有报警故障，跳闸信号在内。上位机接收到此信号应立即检修水冷系统，正常时继电器触点闭合，故障时继电器触点断开）；</w:t>
      </w:r>
    </w:p>
    <w:p>
      <w:pPr>
        <w:adjustRightInd w:val="0"/>
        <w:snapToGrid w:val="0"/>
        <w:spacing w:line="360" w:lineRule="auto"/>
        <w:ind w:firstLine="482"/>
      </w:pPr>
      <w:r>
        <w:t></w:t>
      </w:r>
      <w:r>
        <w:tab/>
      </w:r>
      <w:r>
        <w:t>直流控制电源掉电（正常时继电器触点闭合，故障时继电器触点断开）；</w:t>
      </w:r>
    </w:p>
    <w:p>
      <w:pPr>
        <w:adjustRightInd w:val="0"/>
        <w:snapToGrid w:val="0"/>
        <w:spacing w:line="360" w:lineRule="auto"/>
        <w:ind w:firstLine="482"/>
      </w:pPr>
      <w:r>
        <w:t></w:t>
      </w:r>
      <w:r>
        <w:tab/>
      </w:r>
      <w:r>
        <w:t>备用。</w:t>
      </w:r>
    </w:p>
    <w:p>
      <w:pPr>
        <w:adjustRightInd w:val="0"/>
        <w:snapToGrid w:val="0"/>
        <w:spacing w:line="360" w:lineRule="auto"/>
        <w:ind w:firstLine="482"/>
      </w:pPr>
      <w:r>
        <w:t>9)</w:t>
      </w:r>
      <w:r>
        <w:tab/>
      </w:r>
      <w:r>
        <w:t>在线参数上传</w:t>
      </w:r>
    </w:p>
    <w:p>
      <w:pPr>
        <w:adjustRightInd w:val="0"/>
        <w:snapToGrid w:val="0"/>
        <w:spacing w:line="360" w:lineRule="auto"/>
        <w:ind w:firstLine="482"/>
      </w:pPr>
      <w:r>
        <w:t></w:t>
      </w:r>
      <w:r>
        <w:tab/>
      </w:r>
      <w:r>
        <w:t>冷却水总流量；</w:t>
      </w:r>
    </w:p>
    <w:p>
      <w:pPr>
        <w:adjustRightInd w:val="0"/>
        <w:snapToGrid w:val="0"/>
        <w:spacing w:line="360" w:lineRule="auto"/>
        <w:ind w:firstLine="482"/>
      </w:pPr>
      <w:r>
        <w:t></w:t>
      </w:r>
      <w:r>
        <w:tab/>
      </w:r>
      <w:r>
        <w:t>主泵出口压力；</w:t>
      </w:r>
    </w:p>
    <w:p>
      <w:pPr>
        <w:adjustRightInd w:val="0"/>
        <w:snapToGrid w:val="0"/>
        <w:spacing w:line="360" w:lineRule="auto"/>
        <w:ind w:firstLine="482"/>
      </w:pPr>
      <w:r>
        <w:t></w:t>
      </w:r>
      <w:r>
        <w:tab/>
      </w:r>
      <w:r>
        <w:t>阀组进口温度；</w:t>
      </w:r>
    </w:p>
    <w:p>
      <w:pPr>
        <w:adjustRightInd w:val="0"/>
        <w:snapToGrid w:val="0"/>
        <w:spacing w:line="360" w:lineRule="auto"/>
        <w:ind w:firstLine="482"/>
      </w:pPr>
      <w:r>
        <w:t></w:t>
      </w:r>
      <w:r>
        <w:tab/>
      </w:r>
      <w:r>
        <w:t>阀组出口温度；</w:t>
      </w:r>
    </w:p>
    <w:p>
      <w:pPr>
        <w:adjustRightInd w:val="0"/>
        <w:snapToGrid w:val="0"/>
        <w:spacing w:line="360" w:lineRule="auto"/>
        <w:ind w:firstLine="482"/>
      </w:pPr>
      <w:r>
        <w:t></w:t>
      </w:r>
      <w:r>
        <w:tab/>
      </w:r>
      <w:r>
        <w:t>冷却水电导率；</w:t>
      </w:r>
    </w:p>
    <w:p>
      <w:pPr>
        <w:adjustRightInd w:val="0"/>
        <w:snapToGrid w:val="0"/>
        <w:spacing w:line="360" w:lineRule="auto"/>
        <w:ind w:firstLine="482"/>
      </w:pPr>
      <w:r>
        <w:t></w:t>
      </w:r>
      <w:r>
        <w:tab/>
      </w:r>
      <w:r>
        <w:t>外循环水流量；</w:t>
      </w:r>
    </w:p>
    <w:p>
      <w:pPr>
        <w:adjustRightInd w:val="0"/>
        <w:snapToGrid w:val="0"/>
        <w:spacing w:line="360" w:lineRule="auto"/>
        <w:ind w:firstLine="482"/>
      </w:pPr>
      <w:r>
        <w:t></w:t>
      </w:r>
      <w:r>
        <w:tab/>
      </w:r>
      <w:r>
        <w:t>报警信息上传（详见报警信息及参数设定一览表）；</w:t>
      </w:r>
    </w:p>
    <w:p>
      <w:pPr>
        <w:adjustRightInd w:val="0"/>
        <w:snapToGrid w:val="0"/>
        <w:spacing w:line="360" w:lineRule="auto"/>
        <w:ind w:firstLine="482"/>
      </w:pPr>
      <w:r>
        <w:t></w:t>
      </w:r>
      <w:r>
        <w:tab/>
      </w:r>
      <w:r>
        <w:t>主循环泵状态；</w:t>
      </w:r>
    </w:p>
    <w:p>
      <w:pPr>
        <w:adjustRightInd w:val="0"/>
        <w:snapToGrid w:val="0"/>
        <w:spacing w:line="360" w:lineRule="auto"/>
        <w:ind w:firstLine="482"/>
      </w:pPr>
      <w:r>
        <w:t></w:t>
      </w:r>
      <w:r>
        <w:tab/>
      </w:r>
      <w:r>
        <w:t>补水泵状态；</w:t>
      </w:r>
    </w:p>
    <w:p>
      <w:pPr>
        <w:adjustRightInd w:val="0"/>
        <w:snapToGrid w:val="0"/>
        <w:spacing w:line="360" w:lineRule="auto"/>
        <w:ind w:firstLine="482"/>
      </w:pPr>
      <w:r>
        <w:t></w:t>
      </w:r>
      <w:r>
        <w:tab/>
      </w:r>
      <w:r>
        <w:t>水冷系统已自动运行；</w:t>
      </w:r>
    </w:p>
    <w:p>
      <w:pPr>
        <w:adjustRightInd w:val="0"/>
        <w:snapToGrid w:val="0"/>
        <w:spacing w:line="360" w:lineRule="auto"/>
        <w:ind w:firstLine="482"/>
      </w:pPr>
      <w:r>
        <w:t>设备状态上传各主要机电单元状态均应在上位机水冷流程图上显示。</w:t>
      </w:r>
    </w:p>
    <w:p>
      <w:pPr>
        <w:adjustRightInd w:val="0"/>
        <w:snapToGrid w:val="0"/>
        <w:spacing w:line="360" w:lineRule="auto"/>
        <w:ind w:firstLine="482"/>
      </w:pPr>
      <w:r>
        <w:t>1)</w:t>
      </w:r>
      <w:r>
        <w:tab/>
      </w:r>
      <w:r>
        <w:t>控制电源</w:t>
      </w:r>
    </w:p>
    <w:p>
      <w:pPr>
        <w:adjustRightInd w:val="0"/>
        <w:snapToGrid w:val="0"/>
        <w:spacing w:line="360" w:lineRule="auto"/>
        <w:ind w:firstLine="482"/>
      </w:pPr>
      <w:r>
        <w:t>控制保护系统的工作电源为380VAC 。水冷系统二次部分应配置UPS电源模块，保证控制系统断电时，水冷控制系统能将重要信息保存并上传。</w:t>
      </w:r>
    </w:p>
    <w:p>
      <w:pPr>
        <w:adjustRightInd w:val="0"/>
        <w:snapToGrid w:val="0"/>
        <w:spacing w:line="360" w:lineRule="auto"/>
        <w:ind w:firstLine="482"/>
      </w:pPr>
      <w:r>
        <w:t>2)</w:t>
      </w:r>
      <w:r>
        <w:tab/>
      </w:r>
      <w:r>
        <w:t>控制电源的监视和保护</w:t>
      </w:r>
    </w:p>
    <w:p>
      <w:pPr>
        <w:adjustRightInd w:val="0"/>
        <w:snapToGrid w:val="0"/>
        <w:spacing w:line="360" w:lineRule="auto"/>
        <w:ind w:firstLine="482"/>
      </w:pPr>
      <w:r>
        <w:t>对控制直流电源状况进行实时监控，电源故障实时上传。掉电故障输出硬接点开关信号。</w:t>
      </w:r>
    </w:p>
    <w:p>
      <w:pPr>
        <w:adjustRightInd w:val="0"/>
        <w:snapToGrid w:val="0"/>
        <w:spacing w:line="360" w:lineRule="auto"/>
        <w:ind w:firstLine="482"/>
      </w:pPr>
      <w:r>
        <w:t xml:space="preserve">3) </w:t>
      </w:r>
      <w:r>
        <w:tab/>
      </w:r>
      <w:r>
        <w:t>控制电源的抗干扰设计</w:t>
      </w:r>
    </w:p>
    <w:p>
      <w:pPr>
        <w:adjustRightInd w:val="0"/>
        <w:snapToGrid w:val="0"/>
        <w:spacing w:line="360" w:lineRule="auto"/>
        <w:ind w:firstLine="482"/>
      </w:pPr>
      <w:r>
        <w:t>在进线电源回路设置EMI 滤波元件，抑制电源输入中的杂波，保证控制和保护系统在干净的电源条件下安全可靠地工作。信号线采用屏蔽线缆，全部可靠接地，强电弱电分开排布，采用软线压端子保证连接可靠。</w:t>
      </w:r>
    </w:p>
    <w:p>
      <w:pPr>
        <w:pStyle w:val="5"/>
        <w:numPr>
          <w:ilvl w:val="0"/>
          <w:numId w:val="0"/>
        </w:numPr>
        <w:spacing w:beforeLines="0"/>
      </w:pPr>
      <w:r>
        <w:rPr>
          <w:rFonts w:hint="eastAsia"/>
          <w:snapToGrid w:val="0"/>
        </w:rPr>
        <w:t>3.2.4</w:t>
      </w:r>
      <w:r>
        <w:rPr>
          <w:rFonts w:hint="eastAsia"/>
          <w:color w:val="000000"/>
        </w:rPr>
        <w:t>.9</w:t>
      </w:r>
      <w:r>
        <w:t>试验内容</w:t>
      </w:r>
    </w:p>
    <w:p>
      <w:pPr>
        <w:spacing w:line="360" w:lineRule="auto"/>
        <w:rPr>
          <w:color w:val="000000"/>
        </w:rPr>
      </w:pPr>
      <w:r>
        <w:rPr>
          <w:color w:val="000000"/>
        </w:rPr>
        <w:t>（1） 型式试验</w:t>
      </w:r>
    </w:p>
    <w:p>
      <w:pPr>
        <w:spacing w:line="360" w:lineRule="auto"/>
        <w:ind w:firstLine="420" w:firstLineChars="200"/>
        <w:rPr>
          <w:color w:val="000000"/>
        </w:rPr>
      </w:pPr>
      <w:r>
        <w:rPr>
          <w:color w:val="000000"/>
        </w:rPr>
        <w:t>型式试验应符合相关国家标准及IEC、IEEE标准规定。</w:t>
      </w:r>
    </w:p>
    <w:p>
      <w:pPr>
        <w:spacing w:line="360" w:lineRule="auto"/>
        <w:ind w:firstLine="420" w:firstLineChars="200"/>
        <w:rPr>
          <w:color w:val="000000"/>
        </w:rPr>
      </w:pPr>
      <w:r>
        <w:rPr>
          <w:color w:val="000000"/>
        </w:rPr>
        <w:t>SVG试验必须具备全载实验中心，对SVG控制系统及功率部分进行出厂全电压、满电流的高压全载试验。</w:t>
      </w:r>
    </w:p>
    <w:p>
      <w:pPr>
        <w:spacing w:line="360" w:lineRule="auto"/>
        <w:rPr>
          <w:color w:val="000000"/>
        </w:rPr>
      </w:pPr>
      <w:r>
        <w:rPr>
          <w:color w:val="000000"/>
        </w:rPr>
        <w:t>（2） 现场验收试验</w:t>
      </w:r>
    </w:p>
    <w:p>
      <w:pPr>
        <w:spacing w:line="360" w:lineRule="auto"/>
        <w:ind w:firstLine="480"/>
        <w:rPr>
          <w:color w:val="000000"/>
        </w:rPr>
      </w:pPr>
      <w:r>
        <w:rPr>
          <w:color w:val="000000"/>
        </w:rPr>
        <w:t>成套装置到达现场后，由安装单位按照相关规定进行现场验收试验。试验结果与产品型式试验和出厂试验结果或其规定值相符,否则由乙方负责。主要试验内容如下（但不局限于下表所列试验）：</w:t>
      </w:r>
    </w:p>
    <w:tbl>
      <w:tblPr>
        <w:tblStyle w:val="21"/>
        <w:tblW w:w="6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103"/>
        <w:gridCol w:w="3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49" w:type="dxa"/>
            <w:vAlign w:val="center"/>
          </w:tcPr>
          <w:p>
            <w:pPr>
              <w:spacing w:line="360" w:lineRule="auto"/>
              <w:jc w:val="center"/>
              <w:rPr>
                <w:color w:val="000000"/>
              </w:rPr>
            </w:pPr>
            <w:r>
              <w:rPr>
                <w:color w:val="000000"/>
              </w:rPr>
              <w:t>序号</w:t>
            </w:r>
          </w:p>
        </w:tc>
        <w:tc>
          <w:tcPr>
            <w:tcW w:w="2103" w:type="dxa"/>
            <w:vAlign w:val="center"/>
          </w:tcPr>
          <w:p>
            <w:pPr>
              <w:spacing w:line="360" w:lineRule="auto"/>
              <w:jc w:val="center"/>
              <w:rPr>
                <w:color w:val="000000"/>
              </w:rPr>
            </w:pPr>
            <w:r>
              <w:rPr>
                <w:color w:val="000000"/>
              </w:rPr>
              <w:t>试验对象</w:t>
            </w:r>
          </w:p>
        </w:tc>
        <w:tc>
          <w:tcPr>
            <w:tcW w:w="3549" w:type="dxa"/>
            <w:vAlign w:val="center"/>
          </w:tcPr>
          <w:p>
            <w:pPr>
              <w:spacing w:line="360" w:lineRule="auto"/>
              <w:jc w:val="center"/>
              <w:rPr>
                <w:color w:val="000000"/>
              </w:rPr>
            </w:pPr>
            <w:r>
              <w:rPr>
                <w:color w:val="000000"/>
              </w:rPr>
              <w:t>试验名称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49" w:type="dxa"/>
            <w:vMerge w:val="restart"/>
            <w:vAlign w:val="center"/>
          </w:tcPr>
          <w:p>
            <w:pPr>
              <w:spacing w:line="360" w:lineRule="auto"/>
              <w:jc w:val="center"/>
              <w:rPr>
                <w:color w:val="000000"/>
              </w:rPr>
            </w:pPr>
            <w:r>
              <w:rPr>
                <w:color w:val="000000"/>
              </w:rPr>
              <w:t>1</w:t>
            </w:r>
          </w:p>
        </w:tc>
        <w:tc>
          <w:tcPr>
            <w:tcW w:w="2103" w:type="dxa"/>
            <w:vMerge w:val="restart"/>
            <w:vAlign w:val="center"/>
          </w:tcPr>
          <w:p>
            <w:pPr>
              <w:spacing w:line="360" w:lineRule="auto"/>
              <w:jc w:val="center"/>
              <w:rPr>
                <w:color w:val="000000"/>
              </w:rPr>
            </w:pPr>
            <w:r>
              <w:rPr>
                <w:color w:val="000000"/>
              </w:rPr>
              <w:t>控制系统</w:t>
            </w:r>
          </w:p>
        </w:tc>
        <w:tc>
          <w:tcPr>
            <w:tcW w:w="3549" w:type="dxa"/>
            <w:vAlign w:val="center"/>
          </w:tcPr>
          <w:p>
            <w:pPr>
              <w:spacing w:line="360" w:lineRule="auto"/>
              <w:jc w:val="center"/>
              <w:rPr>
                <w:color w:val="000000"/>
              </w:rPr>
            </w:pPr>
            <w:r>
              <w:rPr>
                <w:color w:val="000000"/>
              </w:rPr>
              <w:t>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49" w:type="dxa"/>
            <w:vMerge w:val="continue"/>
            <w:vAlign w:val="center"/>
          </w:tcPr>
          <w:p>
            <w:pPr>
              <w:spacing w:line="360" w:lineRule="auto"/>
              <w:jc w:val="center"/>
              <w:rPr>
                <w:color w:val="000000"/>
              </w:rPr>
            </w:pPr>
          </w:p>
        </w:tc>
        <w:tc>
          <w:tcPr>
            <w:tcW w:w="2103" w:type="dxa"/>
            <w:vMerge w:val="continue"/>
            <w:vAlign w:val="center"/>
          </w:tcPr>
          <w:p>
            <w:pPr>
              <w:spacing w:line="360" w:lineRule="auto"/>
              <w:jc w:val="center"/>
              <w:rPr>
                <w:color w:val="000000"/>
              </w:rPr>
            </w:pPr>
          </w:p>
        </w:tc>
        <w:tc>
          <w:tcPr>
            <w:tcW w:w="3549" w:type="dxa"/>
            <w:vAlign w:val="center"/>
          </w:tcPr>
          <w:p>
            <w:pPr>
              <w:spacing w:line="360" w:lineRule="auto"/>
              <w:jc w:val="center"/>
              <w:rPr>
                <w:color w:val="000000"/>
              </w:rPr>
            </w:pPr>
            <w:r>
              <w:rPr>
                <w:color w:val="000000"/>
              </w:rPr>
              <w:t>元器件外观检查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49" w:type="dxa"/>
            <w:vMerge w:val="continue"/>
            <w:vAlign w:val="center"/>
          </w:tcPr>
          <w:p>
            <w:pPr>
              <w:spacing w:line="360" w:lineRule="auto"/>
              <w:jc w:val="center"/>
              <w:rPr>
                <w:color w:val="000000"/>
              </w:rPr>
            </w:pPr>
          </w:p>
        </w:tc>
        <w:tc>
          <w:tcPr>
            <w:tcW w:w="2103" w:type="dxa"/>
            <w:vMerge w:val="continue"/>
            <w:vAlign w:val="center"/>
          </w:tcPr>
          <w:p>
            <w:pPr>
              <w:spacing w:line="360" w:lineRule="auto"/>
              <w:jc w:val="center"/>
              <w:rPr>
                <w:color w:val="000000"/>
              </w:rPr>
            </w:pPr>
          </w:p>
        </w:tc>
        <w:tc>
          <w:tcPr>
            <w:tcW w:w="3549" w:type="dxa"/>
            <w:vAlign w:val="center"/>
          </w:tcPr>
          <w:p>
            <w:pPr>
              <w:spacing w:line="360" w:lineRule="auto"/>
              <w:jc w:val="center"/>
              <w:rPr>
                <w:color w:val="000000"/>
              </w:rPr>
            </w:pPr>
            <w:r>
              <w:rPr>
                <w:color w:val="000000"/>
              </w:rPr>
              <w:t>通电试验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49" w:type="dxa"/>
            <w:vMerge w:val="restart"/>
            <w:vAlign w:val="center"/>
          </w:tcPr>
          <w:p>
            <w:pPr>
              <w:spacing w:line="360" w:lineRule="auto"/>
              <w:jc w:val="center"/>
              <w:rPr>
                <w:color w:val="000000"/>
              </w:rPr>
            </w:pPr>
            <w:r>
              <w:rPr>
                <w:color w:val="000000"/>
              </w:rPr>
              <w:t>2</w:t>
            </w:r>
          </w:p>
        </w:tc>
        <w:tc>
          <w:tcPr>
            <w:tcW w:w="2103" w:type="dxa"/>
            <w:vMerge w:val="restart"/>
            <w:vAlign w:val="center"/>
          </w:tcPr>
          <w:p>
            <w:pPr>
              <w:spacing w:line="360" w:lineRule="auto"/>
              <w:jc w:val="center"/>
              <w:rPr>
                <w:color w:val="000000"/>
              </w:rPr>
            </w:pPr>
            <w:r>
              <w:rPr>
                <w:color w:val="000000"/>
              </w:rPr>
              <w:t>功率单元</w:t>
            </w:r>
          </w:p>
        </w:tc>
        <w:tc>
          <w:tcPr>
            <w:tcW w:w="3549" w:type="dxa"/>
            <w:vAlign w:val="center"/>
          </w:tcPr>
          <w:p>
            <w:pPr>
              <w:spacing w:line="360" w:lineRule="auto"/>
              <w:jc w:val="center"/>
              <w:rPr>
                <w:color w:val="000000"/>
              </w:rPr>
            </w:pPr>
            <w:r>
              <w:rPr>
                <w:color w:val="000000"/>
              </w:rPr>
              <w:t>光纤试验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 w:type="dxa"/>
            <w:vMerge w:val="continue"/>
            <w:vAlign w:val="center"/>
          </w:tcPr>
          <w:p>
            <w:pPr>
              <w:spacing w:line="360" w:lineRule="auto"/>
              <w:jc w:val="center"/>
              <w:rPr>
                <w:color w:val="000000"/>
              </w:rPr>
            </w:pPr>
          </w:p>
        </w:tc>
        <w:tc>
          <w:tcPr>
            <w:tcW w:w="2103" w:type="dxa"/>
            <w:vMerge w:val="continue"/>
            <w:vAlign w:val="center"/>
          </w:tcPr>
          <w:p>
            <w:pPr>
              <w:spacing w:line="360" w:lineRule="auto"/>
              <w:jc w:val="center"/>
              <w:rPr>
                <w:color w:val="000000"/>
              </w:rPr>
            </w:pPr>
          </w:p>
        </w:tc>
        <w:tc>
          <w:tcPr>
            <w:tcW w:w="3549" w:type="dxa"/>
            <w:vAlign w:val="center"/>
          </w:tcPr>
          <w:p>
            <w:pPr>
              <w:spacing w:line="360" w:lineRule="auto"/>
              <w:jc w:val="center"/>
              <w:rPr>
                <w:color w:val="000000"/>
              </w:rPr>
            </w:pPr>
            <w:r>
              <w:rPr>
                <w:color w:val="000000"/>
              </w:rPr>
              <w:t>冷却系统试验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 w:type="dxa"/>
            <w:vMerge w:val="continue"/>
            <w:vAlign w:val="center"/>
          </w:tcPr>
          <w:p>
            <w:pPr>
              <w:spacing w:line="360" w:lineRule="auto"/>
              <w:jc w:val="center"/>
              <w:rPr>
                <w:color w:val="000000"/>
              </w:rPr>
            </w:pPr>
          </w:p>
        </w:tc>
        <w:tc>
          <w:tcPr>
            <w:tcW w:w="2103" w:type="dxa"/>
            <w:vMerge w:val="continue"/>
            <w:vAlign w:val="center"/>
          </w:tcPr>
          <w:p>
            <w:pPr>
              <w:spacing w:line="360" w:lineRule="auto"/>
              <w:jc w:val="center"/>
              <w:rPr>
                <w:color w:val="000000"/>
              </w:rPr>
            </w:pPr>
          </w:p>
        </w:tc>
        <w:tc>
          <w:tcPr>
            <w:tcW w:w="3549" w:type="dxa"/>
            <w:vAlign w:val="center"/>
          </w:tcPr>
          <w:p>
            <w:pPr>
              <w:spacing w:line="360" w:lineRule="auto"/>
              <w:jc w:val="center"/>
              <w:rPr>
                <w:color w:val="000000"/>
              </w:rPr>
            </w:pPr>
            <w:r>
              <w:rPr>
                <w:color w:val="000000"/>
              </w:rPr>
              <w:t>安装检验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 w:type="dxa"/>
            <w:vMerge w:val="continue"/>
            <w:vAlign w:val="center"/>
          </w:tcPr>
          <w:p>
            <w:pPr>
              <w:spacing w:line="360" w:lineRule="auto"/>
              <w:jc w:val="center"/>
              <w:rPr>
                <w:color w:val="000000"/>
              </w:rPr>
            </w:pPr>
          </w:p>
        </w:tc>
        <w:tc>
          <w:tcPr>
            <w:tcW w:w="2103" w:type="dxa"/>
            <w:vMerge w:val="continue"/>
            <w:vAlign w:val="center"/>
          </w:tcPr>
          <w:p>
            <w:pPr>
              <w:spacing w:line="360" w:lineRule="auto"/>
              <w:jc w:val="center"/>
              <w:rPr>
                <w:color w:val="000000"/>
              </w:rPr>
            </w:pPr>
          </w:p>
        </w:tc>
        <w:tc>
          <w:tcPr>
            <w:tcW w:w="3549" w:type="dxa"/>
            <w:vAlign w:val="center"/>
          </w:tcPr>
          <w:p>
            <w:pPr>
              <w:spacing w:line="360" w:lineRule="auto"/>
              <w:jc w:val="center"/>
              <w:rPr>
                <w:color w:val="000000"/>
              </w:rPr>
            </w:pPr>
            <w:r>
              <w:rPr>
                <w:color w:val="000000"/>
              </w:rPr>
              <w:t>接地检查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49" w:type="dxa"/>
            <w:vMerge w:val="continue"/>
            <w:vAlign w:val="center"/>
          </w:tcPr>
          <w:p>
            <w:pPr>
              <w:spacing w:line="360" w:lineRule="auto"/>
              <w:jc w:val="center"/>
              <w:rPr>
                <w:color w:val="000000"/>
              </w:rPr>
            </w:pPr>
          </w:p>
        </w:tc>
        <w:tc>
          <w:tcPr>
            <w:tcW w:w="2103" w:type="dxa"/>
            <w:vMerge w:val="continue"/>
            <w:vAlign w:val="center"/>
          </w:tcPr>
          <w:p>
            <w:pPr>
              <w:spacing w:line="360" w:lineRule="auto"/>
              <w:jc w:val="center"/>
              <w:rPr>
                <w:color w:val="000000"/>
              </w:rPr>
            </w:pPr>
          </w:p>
        </w:tc>
        <w:tc>
          <w:tcPr>
            <w:tcW w:w="3549" w:type="dxa"/>
            <w:vAlign w:val="center"/>
          </w:tcPr>
          <w:p>
            <w:pPr>
              <w:spacing w:line="360" w:lineRule="auto"/>
              <w:jc w:val="center"/>
              <w:rPr>
                <w:color w:val="000000"/>
              </w:rPr>
            </w:pPr>
            <w:r>
              <w:rPr>
                <w:color w:val="000000"/>
              </w:rPr>
              <w:t>通电试验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49" w:type="dxa"/>
            <w:vMerge w:val="restart"/>
            <w:vAlign w:val="center"/>
          </w:tcPr>
          <w:p>
            <w:pPr>
              <w:spacing w:line="360" w:lineRule="auto"/>
              <w:jc w:val="center"/>
              <w:rPr>
                <w:color w:val="000000"/>
              </w:rPr>
            </w:pPr>
            <w:r>
              <w:rPr>
                <w:color w:val="000000"/>
              </w:rPr>
              <w:t>3</w:t>
            </w:r>
          </w:p>
        </w:tc>
        <w:tc>
          <w:tcPr>
            <w:tcW w:w="2103" w:type="dxa"/>
            <w:vMerge w:val="restart"/>
            <w:vAlign w:val="center"/>
          </w:tcPr>
          <w:p>
            <w:pPr>
              <w:spacing w:line="360" w:lineRule="auto"/>
              <w:jc w:val="center"/>
              <w:rPr>
                <w:color w:val="000000"/>
              </w:rPr>
            </w:pPr>
            <w:r>
              <w:rPr>
                <w:color w:val="000000"/>
              </w:rPr>
              <w:t>电力电缆</w:t>
            </w:r>
          </w:p>
        </w:tc>
        <w:tc>
          <w:tcPr>
            <w:tcW w:w="3549" w:type="dxa"/>
            <w:vAlign w:val="center"/>
          </w:tcPr>
          <w:p>
            <w:pPr>
              <w:spacing w:line="360" w:lineRule="auto"/>
              <w:jc w:val="center"/>
              <w:rPr>
                <w:color w:val="000000"/>
              </w:rPr>
            </w:pPr>
            <w:r>
              <w:rPr>
                <w:color w:val="000000"/>
              </w:rPr>
              <w:t>测量绝缘电阻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49" w:type="dxa"/>
            <w:vMerge w:val="continue"/>
            <w:vAlign w:val="center"/>
          </w:tcPr>
          <w:p>
            <w:pPr>
              <w:spacing w:line="360" w:lineRule="auto"/>
              <w:jc w:val="center"/>
              <w:rPr>
                <w:color w:val="000000"/>
              </w:rPr>
            </w:pPr>
          </w:p>
        </w:tc>
        <w:tc>
          <w:tcPr>
            <w:tcW w:w="2103" w:type="dxa"/>
            <w:vMerge w:val="continue"/>
            <w:vAlign w:val="center"/>
          </w:tcPr>
          <w:p>
            <w:pPr>
              <w:spacing w:line="360" w:lineRule="auto"/>
              <w:jc w:val="center"/>
              <w:rPr>
                <w:color w:val="000000"/>
              </w:rPr>
            </w:pPr>
          </w:p>
        </w:tc>
        <w:tc>
          <w:tcPr>
            <w:tcW w:w="3549" w:type="dxa"/>
            <w:vAlign w:val="center"/>
          </w:tcPr>
          <w:p>
            <w:pPr>
              <w:spacing w:line="360" w:lineRule="auto"/>
              <w:jc w:val="center"/>
              <w:rPr>
                <w:color w:val="000000"/>
              </w:rPr>
            </w:pPr>
            <w:r>
              <w:rPr>
                <w:color w:val="000000"/>
              </w:rPr>
              <w:t>直流耐压试验及泄漏电流测量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49" w:type="dxa"/>
            <w:vMerge w:val="continue"/>
            <w:vAlign w:val="center"/>
          </w:tcPr>
          <w:p>
            <w:pPr>
              <w:spacing w:line="360" w:lineRule="auto"/>
              <w:jc w:val="center"/>
              <w:rPr>
                <w:color w:val="000000"/>
              </w:rPr>
            </w:pPr>
          </w:p>
        </w:tc>
        <w:tc>
          <w:tcPr>
            <w:tcW w:w="2103" w:type="dxa"/>
            <w:vMerge w:val="continue"/>
            <w:vAlign w:val="center"/>
          </w:tcPr>
          <w:p>
            <w:pPr>
              <w:spacing w:line="360" w:lineRule="auto"/>
              <w:jc w:val="center"/>
              <w:rPr>
                <w:color w:val="000000"/>
              </w:rPr>
            </w:pPr>
          </w:p>
        </w:tc>
        <w:tc>
          <w:tcPr>
            <w:tcW w:w="3549" w:type="dxa"/>
            <w:vAlign w:val="center"/>
          </w:tcPr>
          <w:p>
            <w:pPr>
              <w:spacing w:line="360" w:lineRule="auto"/>
              <w:jc w:val="center"/>
              <w:rPr>
                <w:color w:val="000000"/>
              </w:rPr>
            </w:pPr>
            <w:r>
              <w:rPr>
                <w:color w:val="000000"/>
              </w:rPr>
              <w:t>检查电缆线路的相位</w:t>
            </w:r>
          </w:p>
        </w:tc>
      </w:tr>
    </w:tbl>
    <w:p>
      <w:pPr>
        <w:spacing w:line="360" w:lineRule="auto"/>
        <w:rPr>
          <w:color w:val="000000"/>
        </w:rPr>
      </w:pPr>
      <w:r>
        <w:rPr>
          <w:color w:val="000000"/>
        </w:rPr>
        <w:t>（3）现场验收试验</w:t>
      </w:r>
    </w:p>
    <w:p>
      <w:pPr>
        <w:spacing w:line="360" w:lineRule="auto"/>
        <w:ind w:firstLine="480"/>
        <w:rPr>
          <w:rFonts w:hint="eastAsia" w:ascii="宋体" w:hAnsi="宋体"/>
        </w:rPr>
      </w:pPr>
      <w:r>
        <w:rPr>
          <w:color w:val="000000"/>
        </w:rPr>
        <w:t>该设备正常运行后，甲方与乙方共同进行验收，并出具双方代表签字的验收报告（或安装调试单）。</w:t>
      </w:r>
    </w:p>
    <w:p>
      <w:pPr>
        <w:pStyle w:val="4"/>
        <w:spacing w:before="120" w:after="120"/>
        <w:rPr>
          <w:rFonts w:hint="eastAsia"/>
          <w:b/>
        </w:rPr>
      </w:pPr>
      <w:bookmarkStart w:id="394" w:name="_Toc317757056"/>
      <w:bookmarkStart w:id="395" w:name="_Toc32330"/>
      <w:r>
        <w:rPr>
          <w:rFonts w:hint="eastAsia"/>
        </w:rPr>
        <w:t>3.2.4连接电抗器</w:t>
      </w:r>
      <w:r>
        <w:t>技术</w:t>
      </w:r>
      <w:r>
        <w:rPr>
          <w:rFonts w:hint="eastAsia"/>
        </w:rPr>
        <w:t>要求</w:t>
      </w:r>
      <w:bookmarkEnd w:id="394"/>
      <w:bookmarkEnd w:id="395"/>
    </w:p>
    <w:p>
      <w:pPr>
        <w:widowControl/>
        <w:numPr>
          <w:ilvl w:val="0"/>
          <w:numId w:val="9"/>
        </w:numPr>
        <w:spacing w:line="400" w:lineRule="exact"/>
        <w:rPr>
          <w:rFonts w:hint="eastAsia" w:ascii="宋体" w:hAnsi="宋体"/>
          <w:color w:val="000000"/>
        </w:rPr>
      </w:pPr>
      <w:r>
        <w:rPr>
          <w:rFonts w:ascii="宋体" w:hAnsi="宋体"/>
          <w:color w:val="000000"/>
        </w:rPr>
        <w:t>电抗器采用非导磁螺母及垫圈</w:t>
      </w:r>
      <w:r>
        <w:rPr>
          <w:rFonts w:hint="eastAsia" w:ascii="宋体" w:hAnsi="宋体"/>
          <w:color w:val="000000"/>
        </w:rPr>
        <w:t>；</w:t>
      </w:r>
    </w:p>
    <w:p>
      <w:pPr>
        <w:widowControl/>
        <w:numPr>
          <w:ilvl w:val="0"/>
          <w:numId w:val="9"/>
        </w:numPr>
        <w:spacing w:line="400" w:lineRule="exact"/>
        <w:rPr>
          <w:rFonts w:hint="eastAsia" w:ascii="宋体" w:hAnsi="宋体"/>
          <w:color w:val="000000"/>
        </w:rPr>
      </w:pPr>
      <w:r>
        <w:rPr>
          <w:rFonts w:ascii="宋体" w:hAnsi="宋体"/>
          <w:color w:val="000000"/>
        </w:rPr>
        <w:t>每（台）相电抗器的形式：干式</w:t>
      </w:r>
      <w:r>
        <w:rPr>
          <w:rFonts w:hint="eastAsia" w:ascii="宋体" w:hAnsi="宋体"/>
          <w:color w:val="000000"/>
        </w:rPr>
        <w:t>、</w:t>
      </w:r>
      <w:r>
        <w:rPr>
          <w:rFonts w:ascii="宋体" w:hAnsi="宋体"/>
          <w:color w:val="000000"/>
        </w:rPr>
        <w:t>空芯，线圈外部由环氧树脂浸透的玻璃纤维包封，有防止紫外线涂层</w:t>
      </w:r>
      <w:r>
        <w:rPr>
          <w:rFonts w:hint="eastAsia" w:ascii="宋体" w:hAnsi="宋体"/>
          <w:color w:val="000000"/>
        </w:rPr>
        <w:t>；</w:t>
      </w:r>
    </w:p>
    <w:p>
      <w:pPr>
        <w:widowControl/>
        <w:numPr>
          <w:ilvl w:val="0"/>
          <w:numId w:val="9"/>
        </w:numPr>
        <w:spacing w:line="400" w:lineRule="exact"/>
        <w:rPr>
          <w:rFonts w:hint="eastAsia" w:ascii="宋体" w:hAnsi="宋体"/>
          <w:color w:val="000000"/>
        </w:rPr>
      </w:pPr>
      <w:r>
        <w:rPr>
          <w:rFonts w:hint="eastAsia" w:ascii="宋体" w:hAnsi="宋体"/>
          <w:color w:val="000000"/>
        </w:rPr>
        <w:t>调节范围</w:t>
      </w:r>
    </w:p>
    <w:p>
      <w:pPr>
        <w:widowControl/>
        <w:numPr>
          <w:ilvl w:val="0"/>
          <w:numId w:val="9"/>
        </w:numPr>
        <w:spacing w:line="400" w:lineRule="exact"/>
        <w:rPr>
          <w:rFonts w:hint="eastAsia" w:ascii="宋体" w:hAnsi="宋体"/>
          <w:color w:val="000000"/>
        </w:rPr>
      </w:pPr>
      <w:r>
        <w:rPr>
          <w:rFonts w:hint="eastAsia" w:ascii="宋体" w:hAnsi="宋体"/>
          <w:color w:val="000000"/>
        </w:rPr>
        <w:t>绝缘耐热等级：B级；</w:t>
      </w:r>
    </w:p>
    <w:p>
      <w:pPr>
        <w:widowControl/>
        <w:numPr>
          <w:ilvl w:val="0"/>
          <w:numId w:val="9"/>
        </w:numPr>
        <w:spacing w:line="400" w:lineRule="exact"/>
        <w:rPr>
          <w:rFonts w:hint="eastAsia" w:ascii="宋体" w:hAnsi="宋体"/>
          <w:color w:val="000000"/>
        </w:rPr>
      </w:pPr>
      <w:r>
        <w:rPr>
          <w:rFonts w:hint="eastAsia" w:ascii="宋体" w:hAnsi="宋体"/>
          <w:color w:val="000000"/>
        </w:rPr>
        <w:t>冷却方式：自然冷却；</w:t>
      </w:r>
    </w:p>
    <w:p>
      <w:pPr>
        <w:widowControl/>
        <w:numPr>
          <w:ilvl w:val="0"/>
          <w:numId w:val="9"/>
        </w:numPr>
        <w:spacing w:line="400" w:lineRule="exact"/>
        <w:rPr>
          <w:rFonts w:hint="eastAsia" w:ascii="宋体" w:hAnsi="宋体"/>
          <w:color w:val="000000"/>
        </w:rPr>
      </w:pPr>
      <w:r>
        <w:rPr>
          <w:rFonts w:hint="eastAsia" w:ascii="宋体" w:hAnsi="宋体"/>
          <w:color w:val="000000"/>
        </w:rPr>
        <w:t>标准：IEC现行标准，</w:t>
      </w:r>
      <w:r>
        <w:rPr>
          <w:rFonts w:ascii="宋体" w:hAnsi="宋体"/>
          <w:color w:val="000000"/>
        </w:rPr>
        <w:t>DL/T 653</w:t>
      </w:r>
      <w:r>
        <w:rPr>
          <w:rFonts w:hint="eastAsia" w:ascii="宋体" w:hAnsi="宋体"/>
          <w:color w:val="000000"/>
        </w:rPr>
        <w:t>《高压并联电容器用放电线圈使用技术条件》，</w:t>
      </w:r>
      <w:r>
        <w:rPr>
          <w:rFonts w:ascii="宋体" w:hAnsi="宋体"/>
          <w:color w:val="000000"/>
        </w:rPr>
        <w:t>JB/T 8970</w:t>
      </w:r>
      <w:r>
        <w:rPr>
          <w:rFonts w:hint="eastAsia" w:ascii="宋体" w:hAnsi="宋体"/>
          <w:color w:val="000000"/>
        </w:rPr>
        <w:t>《高压并联电容器用放电线圈》；</w:t>
      </w:r>
    </w:p>
    <w:p>
      <w:pPr>
        <w:widowControl/>
        <w:numPr>
          <w:ilvl w:val="0"/>
          <w:numId w:val="9"/>
        </w:numPr>
        <w:spacing w:line="400" w:lineRule="exact"/>
        <w:rPr>
          <w:rFonts w:hint="eastAsia" w:ascii="宋体" w:hAnsi="宋体"/>
          <w:color w:val="000000"/>
        </w:rPr>
      </w:pPr>
      <w:r>
        <w:rPr>
          <w:rFonts w:hint="eastAsia" w:ascii="宋体" w:hAnsi="宋体"/>
          <w:color w:val="000000"/>
        </w:rPr>
        <w:t>试验项目（型式试验可提供同型产品试验报告）</w:t>
      </w:r>
    </w:p>
    <w:p>
      <w:pPr>
        <w:widowControl/>
        <w:numPr>
          <w:ilvl w:val="0"/>
          <w:numId w:val="8"/>
        </w:numPr>
        <w:tabs>
          <w:tab w:val="left" w:pos="960"/>
          <w:tab w:val="clear" w:pos="432"/>
        </w:tabs>
        <w:spacing w:line="400" w:lineRule="exact"/>
        <w:ind w:left="960" w:firstLine="40"/>
        <w:rPr>
          <w:rFonts w:hint="eastAsia" w:ascii="宋体" w:hAnsi="宋体"/>
          <w:color w:val="000000"/>
        </w:rPr>
      </w:pPr>
      <w:r>
        <w:rPr>
          <w:rFonts w:hint="eastAsia" w:ascii="宋体" w:hAnsi="宋体"/>
          <w:color w:val="000000"/>
        </w:rPr>
        <w:t>动稳定试验（型式试验）</w:t>
      </w:r>
    </w:p>
    <w:p>
      <w:pPr>
        <w:widowControl/>
        <w:numPr>
          <w:ilvl w:val="0"/>
          <w:numId w:val="8"/>
        </w:numPr>
        <w:tabs>
          <w:tab w:val="left" w:pos="960"/>
          <w:tab w:val="clear" w:pos="432"/>
        </w:tabs>
        <w:spacing w:line="400" w:lineRule="exact"/>
        <w:ind w:left="960" w:firstLine="40"/>
        <w:rPr>
          <w:rFonts w:hint="eastAsia" w:ascii="宋体" w:hAnsi="宋体"/>
          <w:color w:val="000000"/>
        </w:rPr>
      </w:pPr>
      <w:r>
        <w:rPr>
          <w:rFonts w:hint="eastAsia" w:ascii="宋体" w:hAnsi="宋体"/>
          <w:color w:val="000000"/>
        </w:rPr>
        <w:t>直流电阻及工程电感测量</w:t>
      </w:r>
    </w:p>
    <w:p>
      <w:pPr>
        <w:widowControl/>
        <w:numPr>
          <w:ilvl w:val="0"/>
          <w:numId w:val="8"/>
        </w:numPr>
        <w:tabs>
          <w:tab w:val="left" w:pos="960"/>
          <w:tab w:val="clear" w:pos="432"/>
        </w:tabs>
        <w:spacing w:line="400" w:lineRule="exact"/>
        <w:ind w:left="960" w:firstLine="40"/>
        <w:rPr>
          <w:rFonts w:hint="eastAsia" w:ascii="宋体" w:hAnsi="宋体"/>
          <w:color w:val="000000"/>
        </w:rPr>
      </w:pPr>
      <w:r>
        <w:rPr>
          <w:rFonts w:hint="eastAsia" w:ascii="宋体" w:hAnsi="宋体"/>
          <w:color w:val="000000"/>
        </w:rPr>
        <w:t>品质因数测量</w:t>
      </w:r>
    </w:p>
    <w:p>
      <w:pPr>
        <w:widowControl/>
        <w:numPr>
          <w:ilvl w:val="0"/>
          <w:numId w:val="8"/>
        </w:numPr>
        <w:tabs>
          <w:tab w:val="left" w:pos="960"/>
          <w:tab w:val="clear" w:pos="432"/>
        </w:tabs>
        <w:spacing w:line="400" w:lineRule="exact"/>
        <w:ind w:left="960" w:firstLine="40"/>
        <w:rPr>
          <w:rFonts w:hint="eastAsia" w:ascii="宋体" w:hAnsi="宋体"/>
          <w:color w:val="000000"/>
        </w:rPr>
      </w:pPr>
      <w:r>
        <w:rPr>
          <w:rFonts w:hint="eastAsia" w:ascii="宋体" w:hAnsi="宋体"/>
          <w:color w:val="000000"/>
        </w:rPr>
        <w:t>工频耐压试验</w:t>
      </w:r>
    </w:p>
    <w:p>
      <w:pPr>
        <w:widowControl/>
        <w:numPr>
          <w:ilvl w:val="0"/>
          <w:numId w:val="8"/>
        </w:numPr>
        <w:tabs>
          <w:tab w:val="left" w:pos="960"/>
          <w:tab w:val="clear" w:pos="432"/>
        </w:tabs>
        <w:spacing w:line="400" w:lineRule="exact"/>
        <w:ind w:left="960" w:firstLine="40"/>
        <w:rPr>
          <w:rFonts w:hint="eastAsia" w:ascii="宋体" w:hAnsi="宋体"/>
          <w:color w:val="000000"/>
        </w:rPr>
      </w:pPr>
      <w:r>
        <w:rPr>
          <w:rFonts w:hint="eastAsia" w:ascii="宋体" w:hAnsi="宋体"/>
          <w:color w:val="000000"/>
        </w:rPr>
        <w:t>冲击耐压试验（型式试验）</w:t>
      </w:r>
    </w:p>
    <w:p>
      <w:pPr>
        <w:widowControl/>
        <w:numPr>
          <w:ilvl w:val="0"/>
          <w:numId w:val="8"/>
        </w:numPr>
        <w:tabs>
          <w:tab w:val="left" w:pos="960"/>
          <w:tab w:val="clear" w:pos="432"/>
        </w:tabs>
        <w:spacing w:line="400" w:lineRule="exact"/>
        <w:ind w:left="960" w:firstLine="40"/>
        <w:rPr>
          <w:rFonts w:hint="eastAsia" w:ascii="宋体" w:hAnsi="宋体"/>
          <w:color w:val="000000"/>
        </w:rPr>
      </w:pPr>
      <w:r>
        <w:rPr>
          <w:rFonts w:hint="eastAsia" w:ascii="宋体" w:hAnsi="宋体"/>
          <w:color w:val="000000"/>
        </w:rPr>
        <w:t>温升试验（型式试验）</w:t>
      </w:r>
    </w:p>
    <w:p>
      <w:pPr>
        <w:widowControl/>
        <w:numPr>
          <w:ilvl w:val="0"/>
          <w:numId w:val="8"/>
        </w:numPr>
        <w:tabs>
          <w:tab w:val="left" w:pos="960"/>
          <w:tab w:val="clear" w:pos="432"/>
        </w:tabs>
        <w:spacing w:line="360" w:lineRule="auto"/>
        <w:ind w:left="960" w:firstLine="40"/>
        <w:rPr>
          <w:rFonts w:hint="eastAsia" w:ascii="宋体" w:hAnsi="宋体"/>
          <w:color w:val="000000"/>
        </w:rPr>
      </w:pPr>
      <w:r>
        <w:rPr>
          <w:rFonts w:hint="eastAsia" w:ascii="宋体" w:hAnsi="宋体"/>
          <w:color w:val="000000"/>
        </w:rPr>
        <w:t>工程损耗测量</w:t>
      </w:r>
    </w:p>
    <w:p>
      <w:pPr>
        <w:pStyle w:val="3"/>
        <w:keepNext/>
        <w:keepLines/>
        <w:numPr>
          <w:ilvl w:val="0"/>
          <w:numId w:val="0"/>
        </w:numPr>
        <w:spacing w:beforeLines="0" w:afterLines="0" w:line="360" w:lineRule="auto"/>
        <w:rPr>
          <w:rFonts w:ascii="宋体" w:hAnsi="宋体"/>
          <w:color w:val="auto"/>
          <w:sz w:val="24"/>
          <w:szCs w:val="20"/>
        </w:rPr>
      </w:pPr>
      <w:bookmarkStart w:id="396" w:name="_Toc10721"/>
      <w:bookmarkStart w:id="397" w:name="_Toc27127617"/>
      <w:r>
        <w:rPr>
          <w:rFonts w:hint="eastAsia" w:ascii="宋体" w:hAnsi="宋体"/>
          <w:color w:val="auto"/>
          <w:sz w:val="24"/>
          <w:szCs w:val="20"/>
        </w:rPr>
        <w:t>3.3 电容器成套装置技术规范参数（FC方案）</w:t>
      </w:r>
      <w:bookmarkEnd w:id="396"/>
      <w:bookmarkEnd w:id="397"/>
    </w:p>
    <w:p>
      <w:pPr>
        <w:pStyle w:val="4"/>
        <w:spacing w:before="120" w:after="120"/>
      </w:pPr>
      <w:r>
        <w:rPr>
          <w:rFonts w:hint="eastAsia"/>
        </w:rPr>
        <w:t>3.3.1  电容器成套装置技术要求</w:t>
      </w:r>
    </w:p>
    <w:p>
      <w:pPr>
        <w:spacing w:line="360" w:lineRule="auto"/>
        <w:rPr>
          <w:rFonts w:ascii="宋体" w:hAnsi="宋体"/>
        </w:rPr>
      </w:pPr>
      <w:r>
        <w:rPr>
          <w:rFonts w:hint="eastAsia" w:ascii="宋体" w:hAnsi="宋体"/>
        </w:rPr>
        <w:t>1） 成套电容器装置用于中性点不接地系统。电容器框架用35kV支柱绝缘子支撑，其爬电距离应满足规范要求。每组电容器组均设置围栏网门，并满足相应的标准要求。</w:t>
      </w:r>
    </w:p>
    <w:p>
      <w:pPr>
        <w:spacing w:line="360" w:lineRule="auto"/>
        <w:rPr>
          <w:rFonts w:ascii="宋体" w:hAnsi="宋体"/>
        </w:rPr>
      </w:pPr>
      <w:r>
        <w:rPr>
          <w:rFonts w:hint="eastAsia" w:ascii="宋体" w:hAnsi="宋体"/>
        </w:rPr>
        <w:t>2） 成套电容器装置应能在规定的使用环境条件下，在额定工况下安全运行。</w:t>
      </w:r>
    </w:p>
    <w:p>
      <w:pPr>
        <w:spacing w:line="360" w:lineRule="auto"/>
        <w:rPr>
          <w:rFonts w:ascii="宋体" w:hAnsi="宋体"/>
        </w:rPr>
      </w:pPr>
      <w:r>
        <w:rPr>
          <w:rFonts w:hint="eastAsia" w:ascii="宋体" w:hAnsi="宋体"/>
        </w:rPr>
        <w:t>3） 成套电容器装置应能耐其雷电冲击和操作冲击耐受电压的过电压。</w:t>
      </w:r>
    </w:p>
    <w:p>
      <w:pPr>
        <w:spacing w:line="360" w:lineRule="auto"/>
        <w:rPr>
          <w:rFonts w:ascii="宋体" w:hAnsi="宋体"/>
        </w:rPr>
      </w:pPr>
      <w:r>
        <w:rPr>
          <w:rFonts w:hint="eastAsia" w:ascii="宋体" w:hAnsi="宋体"/>
        </w:rPr>
        <w:t>4） 并联电容器成套装置采用单星接线，电抗器置于电源侧。</w:t>
      </w:r>
    </w:p>
    <w:p>
      <w:pPr>
        <w:spacing w:line="360" w:lineRule="auto"/>
        <w:rPr>
          <w:rFonts w:ascii="宋体" w:hAnsi="宋体"/>
        </w:rPr>
      </w:pPr>
      <w:r>
        <w:rPr>
          <w:rFonts w:hint="eastAsia" w:ascii="宋体" w:hAnsi="宋体"/>
        </w:rPr>
        <w:t>5） 电气距离</w:t>
      </w:r>
    </w:p>
    <w:p>
      <w:pPr>
        <w:spacing w:line="360" w:lineRule="auto"/>
        <w:ind w:firstLine="420" w:firstLineChars="200"/>
        <w:rPr>
          <w:rFonts w:ascii="宋体" w:hAnsi="宋体"/>
        </w:rPr>
      </w:pPr>
      <w:r>
        <w:rPr>
          <w:rFonts w:hint="eastAsia" w:ascii="宋体" w:hAnsi="宋体"/>
        </w:rPr>
        <w:t xml:space="preserve">设备带电部分相间最小净距：0.45m </w:t>
      </w:r>
    </w:p>
    <w:p>
      <w:pPr>
        <w:spacing w:line="360" w:lineRule="auto"/>
        <w:ind w:firstLine="420" w:firstLineChars="200"/>
        <w:rPr>
          <w:rFonts w:ascii="宋体" w:hAnsi="宋体"/>
        </w:rPr>
      </w:pPr>
      <w:r>
        <w:rPr>
          <w:rFonts w:hint="eastAsia" w:ascii="宋体" w:hAnsi="宋体"/>
        </w:rPr>
        <w:t>带电部分与相邻接地体最小净距：0.45m</w:t>
      </w:r>
    </w:p>
    <w:p>
      <w:pPr>
        <w:spacing w:line="360" w:lineRule="auto"/>
        <w:rPr>
          <w:rFonts w:ascii="宋体" w:hAnsi="宋体"/>
        </w:rPr>
      </w:pPr>
      <w:r>
        <w:rPr>
          <w:rFonts w:hint="eastAsia" w:ascii="宋体" w:hAnsi="宋体"/>
        </w:rPr>
        <w:t>6） 电压</w:t>
      </w:r>
    </w:p>
    <w:p>
      <w:pPr>
        <w:spacing w:line="360" w:lineRule="auto"/>
        <w:ind w:firstLine="420" w:firstLineChars="200"/>
        <w:rPr>
          <w:rFonts w:ascii="宋体" w:hAnsi="宋体"/>
        </w:rPr>
      </w:pPr>
      <w:r>
        <w:rPr>
          <w:rFonts w:hint="eastAsia" w:ascii="宋体" w:hAnsi="宋体"/>
        </w:rPr>
        <w:t>额定电压：35kV</w:t>
      </w:r>
    </w:p>
    <w:p>
      <w:pPr>
        <w:spacing w:line="360" w:lineRule="auto"/>
        <w:ind w:firstLine="420" w:firstLineChars="200"/>
        <w:rPr>
          <w:rFonts w:ascii="宋体" w:hAnsi="宋体"/>
        </w:rPr>
      </w:pPr>
      <w:r>
        <w:rPr>
          <w:rFonts w:hint="eastAsia" w:ascii="宋体" w:hAnsi="宋体"/>
        </w:rPr>
        <w:t>最高工作电压：40.5kV</w:t>
      </w:r>
    </w:p>
    <w:p>
      <w:pPr>
        <w:spacing w:line="360" w:lineRule="auto"/>
        <w:rPr>
          <w:rFonts w:ascii="宋体" w:hAnsi="宋体"/>
        </w:rPr>
      </w:pPr>
      <w:r>
        <w:rPr>
          <w:rFonts w:hint="eastAsia" w:ascii="宋体" w:hAnsi="宋体"/>
        </w:rPr>
        <w:t>7） 额定频率；50Hz</w:t>
      </w:r>
    </w:p>
    <w:p>
      <w:pPr>
        <w:spacing w:line="360" w:lineRule="auto"/>
        <w:rPr>
          <w:rFonts w:ascii="宋体" w:hAnsi="宋体"/>
        </w:rPr>
      </w:pPr>
      <w:r>
        <w:rPr>
          <w:rFonts w:hint="eastAsia" w:ascii="宋体" w:hAnsi="宋体"/>
        </w:rPr>
        <w:t>8） 35kV系统短路电流31.5kA：（有效值）</w:t>
      </w:r>
    </w:p>
    <w:p>
      <w:pPr>
        <w:spacing w:line="360" w:lineRule="auto"/>
        <w:rPr>
          <w:rFonts w:ascii="宋体" w:hAnsi="宋体"/>
        </w:rPr>
      </w:pPr>
      <w:r>
        <w:rPr>
          <w:rFonts w:hint="eastAsia" w:ascii="宋体" w:hAnsi="宋体"/>
        </w:rPr>
        <w:t>9） 绝缘水平</w:t>
      </w:r>
    </w:p>
    <w:p>
      <w:pPr>
        <w:spacing w:line="360" w:lineRule="auto"/>
        <w:textAlignment w:val="baseline"/>
        <w:rPr>
          <w:rFonts w:ascii="宋体" w:hAnsi="宋体"/>
        </w:rPr>
      </w:pPr>
      <w:r>
        <w:rPr>
          <w:rFonts w:hint="eastAsia" w:ascii="宋体" w:hAnsi="宋体"/>
        </w:rPr>
        <w:t>10） 支柱绝缘子的爬电比距&gt;</w:t>
      </w:r>
      <w:r>
        <w:rPr>
          <w:rFonts w:hint="eastAsia" w:ascii="宋体" w:hAnsi="宋体"/>
          <w:color w:val="0000FF"/>
        </w:rPr>
        <w:t>3.1cm/kV</w:t>
      </w:r>
      <w:r>
        <w:rPr>
          <w:rFonts w:hint="eastAsia" w:ascii="宋体" w:hAnsi="宋体"/>
        </w:rPr>
        <w:t>。（最高运行电压条件下）</w:t>
      </w:r>
    </w:p>
    <w:p>
      <w:pPr>
        <w:spacing w:line="360" w:lineRule="auto"/>
        <w:rPr>
          <w:rFonts w:ascii="宋体" w:hAnsi="宋体"/>
        </w:rPr>
      </w:pPr>
      <w:r>
        <w:rPr>
          <w:rFonts w:hint="eastAsia" w:ascii="宋体" w:hAnsi="宋体"/>
        </w:rPr>
        <w:t>11） 单台电容器容量：</w:t>
      </w:r>
      <w:r>
        <w:rPr>
          <w:rFonts w:hint="eastAsia" w:ascii="宋体" w:hAnsi="宋体"/>
          <w:u w:val="single"/>
        </w:rPr>
        <w:t xml:space="preserve">       </w:t>
      </w:r>
      <w:r>
        <w:rPr>
          <w:rFonts w:hint="eastAsia" w:ascii="宋体" w:hAnsi="宋体"/>
        </w:rPr>
        <w:t xml:space="preserve">  kvar</w:t>
      </w:r>
    </w:p>
    <w:p>
      <w:pPr>
        <w:spacing w:line="360" w:lineRule="auto"/>
        <w:rPr>
          <w:rFonts w:ascii="宋体" w:hAnsi="宋体"/>
        </w:rPr>
      </w:pPr>
      <w:r>
        <w:rPr>
          <w:rFonts w:hint="eastAsia" w:ascii="宋体" w:hAnsi="宋体"/>
        </w:rPr>
        <w:t>12） 电容器类型：全膜</w:t>
      </w:r>
    </w:p>
    <w:p>
      <w:pPr>
        <w:spacing w:line="360" w:lineRule="auto"/>
        <w:rPr>
          <w:rFonts w:ascii="宋体" w:hAnsi="宋体"/>
        </w:rPr>
      </w:pPr>
      <w:r>
        <w:rPr>
          <w:rFonts w:hint="eastAsia" w:ascii="宋体" w:hAnsi="宋体"/>
        </w:rPr>
        <w:t>13） 一次接线及保护方式：单星型、电压差动保护、单台电容器配内熔丝。</w:t>
      </w:r>
    </w:p>
    <w:p>
      <w:pPr>
        <w:spacing w:line="360" w:lineRule="auto"/>
        <w:rPr>
          <w:rFonts w:ascii="宋体" w:hAnsi="宋体"/>
        </w:rPr>
      </w:pPr>
      <w:r>
        <w:rPr>
          <w:rFonts w:hint="eastAsia" w:ascii="宋体" w:hAnsi="宋体"/>
        </w:rPr>
        <w:t>14） 每组电容器成套装置应包括：电容器、干式空芯电抗器、氧化锌避雷器、放电线圈（附差压保护线圈）、接地开关、支柱绝缘子、母线、引线、钢构架、围栏等组成元件。</w:t>
      </w:r>
    </w:p>
    <w:p>
      <w:pPr>
        <w:spacing w:line="360" w:lineRule="auto"/>
        <w:rPr>
          <w:rFonts w:ascii="宋体" w:hAnsi="宋体"/>
        </w:rPr>
      </w:pPr>
      <w:r>
        <w:rPr>
          <w:rFonts w:hint="eastAsia" w:ascii="宋体" w:hAnsi="宋体"/>
        </w:rPr>
        <w:t>15） 装置实测电容值与其额定值之偏差在0％～＋10％范围内，各串联段的最大与最小电容之比≤1.02，任何两线路端子之间电容的最大值与最小值之比≤1.02。</w:t>
      </w:r>
    </w:p>
    <w:p>
      <w:pPr>
        <w:spacing w:line="360" w:lineRule="auto"/>
        <w:rPr>
          <w:rFonts w:ascii="宋体" w:hAnsi="宋体"/>
        </w:rPr>
      </w:pPr>
      <w:r>
        <w:rPr>
          <w:rFonts w:hint="eastAsia" w:ascii="宋体" w:hAnsi="宋体"/>
        </w:rPr>
        <w:t>16） 过负荷能力：整套装置应能在有效值1.43倍额定电流下连续运行；应能在1.1倍额定电压下长期运行。</w:t>
      </w:r>
    </w:p>
    <w:p>
      <w:pPr>
        <w:spacing w:line="360" w:lineRule="auto"/>
        <w:rPr>
          <w:rFonts w:ascii="宋体" w:hAnsi="宋体"/>
        </w:rPr>
      </w:pPr>
      <w:r>
        <w:rPr>
          <w:rFonts w:hint="eastAsia" w:ascii="宋体" w:hAnsi="宋体"/>
        </w:rPr>
        <w:t>3.3.2  电容器成套装置机械要求</w:t>
      </w:r>
    </w:p>
    <w:p>
      <w:pPr>
        <w:spacing w:line="360" w:lineRule="auto"/>
        <w:rPr>
          <w:rFonts w:ascii="宋体" w:hAnsi="宋体"/>
        </w:rPr>
      </w:pPr>
      <w:r>
        <w:rPr>
          <w:rFonts w:hint="eastAsia" w:ascii="宋体" w:hAnsi="宋体"/>
        </w:rPr>
        <w:t>1） 成套电容器装置的电容器组应为户外三相式，它们由三个单相组成。</w:t>
      </w:r>
    </w:p>
    <w:p>
      <w:pPr>
        <w:spacing w:line="360" w:lineRule="auto"/>
        <w:rPr>
          <w:rFonts w:ascii="宋体" w:hAnsi="宋体"/>
        </w:rPr>
      </w:pPr>
      <w:r>
        <w:rPr>
          <w:rFonts w:hint="eastAsia" w:ascii="宋体" w:hAnsi="宋体"/>
        </w:rPr>
        <w:t>2） 投标方应提供用于安装每组成套电容器装置的热镀锌钢支架、喷塑围栏（网门高由设计院确认）及配套的达克罗的螺栓、螺母和垫圈。成套装置应能牢固地安装在混凝土基础上，与之配套的支柱绝缘子亦应满足相应的机械要求。</w:t>
      </w:r>
    </w:p>
    <w:p>
      <w:pPr>
        <w:spacing w:line="360" w:lineRule="auto"/>
        <w:rPr>
          <w:rFonts w:ascii="宋体" w:hAnsi="宋体"/>
        </w:rPr>
      </w:pPr>
      <w:r>
        <w:rPr>
          <w:rFonts w:hint="eastAsia" w:ascii="宋体" w:hAnsi="宋体"/>
        </w:rPr>
        <w:t>3） 主接线端子板的允许的静态机械荷载不得小于下列要求值，其安全系数不应小于2.75。</w:t>
      </w:r>
    </w:p>
    <w:p>
      <w:pPr>
        <w:spacing w:line="360" w:lineRule="auto"/>
        <w:rPr>
          <w:rFonts w:ascii="宋体" w:hAnsi="宋体"/>
        </w:rPr>
      </w:pPr>
      <w:r>
        <w:rPr>
          <w:rFonts w:hint="eastAsia" w:ascii="宋体" w:hAnsi="宋体"/>
        </w:rPr>
        <w:t xml:space="preserve">    纵向水平：  1500N</w:t>
      </w:r>
    </w:p>
    <w:p>
      <w:pPr>
        <w:spacing w:line="360" w:lineRule="auto"/>
        <w:rPr>
          <w:rFonts w:ascii="宋体" w:hAnsi="宋体"/>
        </w:rPr>
      </w:pPr>
      <w:r>
        <w:rPr>
          <w:rFonts w:hint="eastAsia" w:ascii="宋体" w:hAnsi="宋体"/>
        </w:rPr>
        <w:t xml:space="preserve">    垂直方向：  1000N</w:t>
      </w:r>
    </w:p>
    <w:p>
      <w:pPr>
        <w:spacing w:line="360" w:lineRule="auto"/>
        <w:rPr>
          <w:rFonts w:ascii="宋体" w:hAnsi="宋体"/>
        </w:rPr>
      </w:pPr>
      <w:r>
        <w:rPr>
          <w:rFonts w:hint="eastAsia" w:ascii="宋体" w:hAnsi="宋体"/>
        </w:rPr>
        <w:t xml:space="preserve">    水平横向：  1000N</w:t>
      </w:r>
    </w:p>
    <w:p>
      <w:pPr>
        <w:spacing w:line="360" w:lineRule="auto"/>
        <w:rPr>
          <w:rFonts w:ascii="宋体" w:hAnsi="宋体"/>
        </w:rPr>
      </w:pPr>
      <w:r>
        <w:rPr>
          <w:rFonts w:hint="eastAsia" w:ascii="宋体" w:hAnsi="宋体"/>
        </w:rPr>
        <w:t xml:space="preserve">    投标方应提供主接线端子板的机械强度试验报告。</w:t>
      </w:r>
    </w:p>
    <w:p>
      <w:pPr>
        <w:spacing w:line="360" w:lineRule="auto"/>
        <w:rPr>
          <w:rFonts w:ascii="宋体" w:hAnsi="宋体"/>
        </w:rPr>
      </w:pPr>
      <w:r>
        <w:rPr>
          <w:rFonts w:hint="eastAsia" w:ascii="宋体" w:hAnsi="宋体"/>
        </w:rPr>
        <w:t>4） 组装好的成套装置应能耐受下列持续组合荷载和短时组合荷载。组合荷载是各荷载分量的向量和。</w:t>
      </w:r>
    </w:p>
    <w:p>
      <w:pPr>
        <w:spacing w:line="360" w:lineRule="auto"/>
        <w:rPr>
          <w:rFonts w:ascii="宋体" w:hAnsi="宋体"/>
        </w:rPr>
      </w:pPr>
      <w:r>
        <w:rPr>
          <w:rFonts w:hint="eastAsia" w:ascii="宋体" w:hAnsi="宋体"/>
        </w:rPr>
        <w:t>5） 同时作用的持续组合荷载包括：</w:t>
      </w:r>
    </w:p>
    <w:p>
      <w:pPr>
        <w:spacing w:line="360" w:lineRule="auto"/>
        <w:rPr>
          <w:rFonts w:ascii="宋体"/>
        </w:rPr>
      </w:pPr>
      <w:r>
        <w:rPr>
          <w:rFonts w:hint="eastAsia" w:ascii="宋体"/>
        </w:rPr>
        <w:t xml:space="preserve">    纵向水平：  1500N</w:t>
      </w:r>
    </w:p>
    <w:p>
      <w:pPr>
        <w:spacing w:line="360" w:lineRule="auto"/>
        <w:rPr>
          <w:rFonts w:ascii="宋体"/>
        </w:rPr>
      </w:pPr>
      <w:r>
        <w:rPr>
          <w:rFonts w:hint="eastAsia" w:ascii="宋体"/>
        </w:rPr>
        <w:t xml:space="preserve">    垂直方向：  1000N</w:t>
      </w:r>
    </w:p>
    <w:p>
      <w:pPr>
        <w:spacing w:line="360" w:lineRule="auto"/>
        <w:rPr>
          <w:rFonts w:ascii="宋体" w:hAnsi="宋体"/>
        </w:rPr>
      </w:pPr>
      <w:r>
        <w:rPr>
          <w:rFonts w:hint="eastAsia" w:ascii="宋体"/>
        </w:rPr>
        <w:t xml:space="preserve">    水平横向：  1000N</w:t>
      </w:r>
    </w:p>
    <w:p>
      <w:pPr>
        <w:spacing w:line="360" w:lineRule="auto"/>
        <w:rPr>
          <w:rFonts w:ascii="宋体" w:hAnsi="宋体"/>
        </w:rPr>
      </w:pPr>
      <w:r>
        <w:rPr>
          <w:rFonts w:hint="eastAsia" w:ascii="宋体" w:hAnsi="宋体"/>
        </w:rPr>
        <w:t xml:space="preserve">    承受持续组合荷载的安全系数应不小于2.5</w:t>
      </w:r>
    </w:p>
    <w:p>
      <w:pPr>
        <w:spacing w:line="360" w:lineRule="auto"/>
        <w:rPr>
          <w:rFonts w:ascii="宋体" w:hAnsi="宋体"/>
        </w:rPr>
      </w:pPr>
      <w:r>
        <w:rPr>
          <w:rFonts w:hint="eastAsia" w:ascii="宋体" w:hAnsi="宋体"/>
        </w:rPr>
        <w:t>6） 同时作用的短时组合荷载包括：</w:t>
      </w:r>
    </w:p>
    <w:p>
      <w:pPr>
        <w:spacing w:line="360" w:lineRule="auto"/>
        <w:rPr>
          <w:rFonts w:ascii="宋体" w:hAnsi="宋体"/>
        </w:rPr>
      </w:pPr>
      <w:r>
        <w:rPr>
          <w:rFonts w:hint="eastAsia" w:ascii="宋体" w:hAnsi="宋体"/>
        </w:rPr>
        <w:t xml:space="preserve">    主接线端子板的轴向水平荷载；</w:t>
      </w:r>
    </w:p>
    <w:p>
      <w:pPr>
        <w:spacing w:line="360" w:lineRule="auto"/>
        <w:rPr>
          <w:rFonts w:ascii="宋体" w:hAnsi="宋体"/>
        </w:rPr>
      </w:pPr>
      <w:r>
        <w:rPr>
          <w:rFonts w:hint="eastAsia" w:ascii="宋体" w:hAnsi="宋体"/>
        </w:rPr>
        <w:t xml:space="preserve">    地震引起的设备动态受力；</w:t>
      </w:r>
    </w:p>
    <w:p>
      <w:pPr>
        <w:spacing w:line="360" w:lineRule="auto"/>
        <w:rPr>
          <w:rFonts w:ascii="宋体" w:hAnsi="宋体"/>
        </w:rPr>
      </w:pPr>
      <w:r>
        <w:rPr>
          <w:rFonts w:hint="eastAsia" w:ascii="宋体" w:hAnsi="宋体"/>
        </w:rPr>
        <w:t xml:space="preserve">    设备25％最大风荷载及2.5.3条规定的主接线端子板的25％横向水平荷载；</w:t>
      </w:r>
    </w:p>
    <w:p>
      <w:pPr>
        <w:spacing w:line="360" w:lineRule="auto"/>
        <w:rPr>
          <w:rFonts w:ascii="宋体" w:hAnsi="宋体"/>
        </w:rPr>
      </w:pPr>
      <w:r>
        <w:rPr>
          <w:rFonts w:hint="eastAsia" w:ascii="宋体" w:hAnsi="宋体"/>
        </w:rPr>
        <w:t xml:space="preserve">    承受短时组合荷载时的安全系数应不小于1.67。</w:t>
      </w:r>
    </w:p>
    <w:p>
      <w:pPr>
        <w:spacing w:line="360" w:lineRule="auto"/>
        <w:rPr>
          <w:rFonts w:ascii="宋体" w:hAnsi="宋体"/>
        </w:rPr>
      </w:pPr>
      <w:r>
        <w:rPr>
          <w:rFonts w:hint="eastAsia" w:ascii="宋体" w:hAnsi="宋体"/>
        </w:rPr>
        <w:t>3.3.3  电容器主要技术参数</w:t>
      </w:r>
    </w:p>
    <w:p>
      <w:pPr>
        <w:spacing w:line="360" w:lineRule="auto"/>
        <w:rPr>
          <w:rFonts w:ascii="宋体" w:hAnsi="宋体"/>
        </w:rPr>
      </w:pPr>
      <w:r>
        <w:rPr>
          <w:rFonts w:hint="eastAsia" w:ascii="宋体" w:hAnsi="宋体"/>
        </w:rPr>
        <w:t>1) 安装地点：户外</w:t>
      </w:r>
    </w:p>
    <w:p>
      <w:pPr>
        <w:spacing w:line="360" w:lineRule="auto"/>
        <w:rPr>
          <w:rFonts w:ascii="宋体" w:hAnsi="宋体"/>
        </w:rPr>
      </w:pPr>
      <w:r>
        <w:rPr>
          <w:rFonts w:hint="eastAsia" w:ascii="宋体" w:hAnsi="宋体"/>
        </w:rPr>
        <w:t>2) 系统额定电压: 35kV</w:t>
      </w:r>
    </w:p>
    <w:p>
      <w:pPr>
        <w:spacing w:line="360" w:lineRule="auto"/>
        <w:rPr>
          <w:rFonts w:ascii="宋体" w:hAnsi="宋体"/>
        </w:rPr>
      </w:pPr>
      <w:r>
        <w:rPr>
          <w:rFonts w:hint="eastAsia" w:ascii="宋体" w:hAnsi="宋体"/>
        </w:rPr>
        <w:t>3) 额定频率: 50Hz</w:t>
      </w:r>
    </w:p>
    <w:p>
      <w:pPr>
        <w:spacing w:line="360" w:lineRule="auto"/>
        <w:rPr>
          <w:rFonts w:ascii="宋体" w:hAnsi="宋体"/>
        </w:rPr>
      </w:pPr>
      <w:r>
        <w:rPr>
          <w:rFonts w:hint="eastAsia" w:ascii="宋体" w:hAnsi="宋体"/>
        </w:rPr>
        <w:t>4) 接线方式：单星形</w:t>
      </w:r>
    </w:p>
    <w:p>
      <w:pPr>
        <w:spacing w:line="360" w:lineRule="auto"/>
        <w:rPr>
          <w:rFonts w:ascii="宋体" w:hAnsi="宋体"/>
        </w:rPr>
      </w:pPr>
      <w:r>
        <w:rPr>
          <w:rFonts w:hint="eastAsia" w:ascii="宋体" w:hAnsi="宋体"/>
        </w:rPr>
        <w:t>5) 电容器组额定相电压: 24kV</w:t>
      </w:r>
    </w:p>
    <w:p>
      <w:pPr>
        <w:spacing w:line="360" w:lineRule="auto"/>
        <w:rPr>
          <w:rFonts w:ascii="宋体" w:hAnsi="宋体"/>
        </w:rPr>
      </w:pPr>
      <w:r>
        <w:rPr>
          <w:rFonts w:hint="eastAsia" w:ascii="宋体" w:hAnsi="宋体"/>
        </w:rPr>
        <w:t>6) 电容器的总容量：</w:t>
      </w:r>
      <w:r>
        <w:rPr>
          <w:rFonts w:hint="eastAsia" w:ascii="宋体" w:hAnsi="宋体"/>
          <w:u w:val="single"/>
        </w:rPr>
        <w:t xml:space="preserve">        </w:t>
      </w:r>
      <w:r>
        <w:rPr>
          <w:rFonts w:hint="eastAsia"/>
        </w:rPr>
        <w:t>k</w:t>
      </w:r>
      <w:r>
        <w:rPr>
          <w:rFonts w:hint="eastAsia" w:ascii="宋体" w:hAnsi="宋体"/>
        </w:rPr>
        <w:t>Var</w:t>
      </w:r>
    </w:p>
    <w:p>
      <w:pPr>
        <w:spacing w:line="360" w:lineRule="auto"/>
        <w:rPr>
          <w:rFonts w:ascii="宋体" w:hAnsi="宋体"/>
        </w:rPr>
      </w:pPr>
      <w:r>
        <w:rPr>
          <w:rFonts w:hint="eastAsia" w:ascii="宋体" w:hAnsi="宋体"/>
        </w:rPr>
        <w:t>7) 电容器单台额定容量：</w:t>
      </w:r>
      <w:r>
        <w:rPr>
          <w:rFonts w:hint="eastAsia" w:ascii="宋体" w:hAnsi="宋体"/>
          <w:u w:val="single"/>
        </w:rPr>
        <w:t xml:space="preserve">      </w:t>
      </w:r>
      <w:r>
        <w:rPr>
          <w:rFonts w:hint="eastAsia" w:ascii="宋体" w:hAnsi="宋体"/>
        </w:rPr>
        <w:t>kVar</w:t>
      </w:r>
    </w:p>
    <w:p>
      <w:pPr>
        <w:spacing w:line="360" w:lineRule="auto"/>
        <w:rPr>
          <w:rFonts w:ascii="宋体" w:hAnsi="宋体"/>
        </w:rPr>
      </w:pPr>
      <w:r>
        <w:rPr>
          <w:rFonts w:hint="eastAsia" w:ascii="宋体" w:hAnsi="宋体"/>
        </w:rPr>
        <w:t>8) 电容偏差：电容器允许的电容偏差为装置额定电容的0～＋5％，</w:t>
      </w:r>
      <w:r>
        <w:rPr>
          <w:rFonts w:hint="eastAsia" w:hAnsi="宋体"/>
        </w:rPr>
        <w:t>每相之间误差不大于</w:t>
      </w:r>
      <w:r>
        <w:rPr>
          <w:rFonts w:hint="eastAsia"/>
        </w:rPr>
        <w:t>1%</w:t>
      </w:r>
      <w:r>
        <w:rPr>
          <w:rFonts w:hint="eastAsia" w:hAnsi="宋体"/>
        </w:rPr>
        <w:t>。</w:t>
      </w:r>
    </w:p>
    <w:p>
      <w:pPr>
        <w:spacing w:line="360" w:lineRule="auto"/>
        <w:rPr>
          <w:rFonts w:ascii="宋体" w:hAnsi="宋体"/>
        </w:rPr>
      </w:pPr>
      <w:r>
        <w:rPr>
          <w:rFonts w:hint="eastAsia" w:ascii="宋体" w:hAnsi="宋体"/>
        </w:rPr>
        <w:t>9) 电容器内置熔丝、内置放电电阻。</w:t>
      </w:r>
    </w:p>
    <w:p>
      <w:pPr>
        <w:spacing w:line="360" w:lineRule="auto"/>
        <w:rPr>
          <w:rFonts w:ascii="宋体" w:hAnsi="宋体"/>
        </w:rPr>
      </w:pPr>
      <w:r>
        <w:rPr>
          <w:rFonts w:hint="eastAsia" w:ascii="宋体" w:hAnsi="宋体"/>
        </w:rPr>
        <w:t>10) 工频稳态过电压能力</w:t>
      </w:r>
    </w:p>
    <w:tbl>
      <w:tblPr>
        <w:tblStyle w:val="21"/>
        <w:tblW w:w="7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780" w:type="dxa"/>
            <w:vAlign w:val="center"/>
          </w:tcPr>
          <w:p>
            <w:pPr>
              <w:spacing w:line="360" w:lineRule="auto"/>
              <w:rPr>
                <w:rFonts w:ascii="宋体" w:hAnsi="宋体"/>
              </w:rPr>
            </w:pPr>
            <w:r>
              <w:rPr>
                <w:rFonts w:hint="eastAsia" w:ascii="宋体" w:hAnsi="宋体"/>
              </w:rPr>
              <w:t>工频过电压</w:t>
            </w:r>
          </w:p>
        </w:tc>
        <w:tc>
          <w:tcPr>
            <w:tcW w:w="3600" w:type="dxa"/>
            <w:vAlign w:val="center"/>
          </w:tcPr>
          <w:p>
            <w:pPr>
              <w:spacing w:line="360" w:lineRule="auto"/>
              <w:rPr>
                <w:rFonts w:ascii="宋体" w:hAnsi="宋体"/>
              </w:rPr>
            </w:pPr>
            <w:r>
              <w:rPr>
                <w:rFonts w:hint="eastAsia" w:ascii="宋体" w:hAnsi="宋体"/>
              </w:rPr>
              <w:t>最大持续运行时间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780" w:type="dxa"/>
            <w:vAlign w:val="center"/>
          </w:tcPr>
          <w:p>
            <w:pPr>
              <w:spacing w:line="360" w:lineRule="auto"/>
              <w:rPr>
                <w:rFonts w:ascii="宋体" w:hAnsi="宋体"/>
              </w:rPr>
            </w:pPr>
            <w:r>
              <w:rPr>
                <w:rFonts w:hint="eastAsia" w:ascii="宋体" w:hAnsi="宋体"/>
              </w:rPr>
              <w:t>1.1Un</w:t>
            </w:r>
          </w:p>
        </w:tc>
        <w:tc>
          <w:tcPr>
            <w:tcW w:w="3600" w:type="dxa"/>
            <w:vAlign w:val="center"/>
          </w:tcPr>
          <w:p>
            <w:pPr>
              <w:spacing w:line="360" w:lineRule="auto"/>
              <w:rPr>
                <w:rFonts w:ascii="宋体" w:hAnsi="宋体"/>
              </w:rPr>
            </w:pPr>
            <w:r>
              <w:rPr>
                <w:rFonts w:hint="eastAsia" w:ascii="宋体" w:hAnsi="宋体"/>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780" w:type="dxa"/>
            <w:vAlign w:val="center"/>
          </w:tcPr>
          <w:p>
            <w:pPr>
              <w:spacing w:line="360" w:lineRule="auto"/>
              <w:rPr>
                <w:rFonts w:ascii="宋体" w:hAnsi="宋体"/>
              </w:rPr>
            </w:pPr>
            <w:r>
              <w:rPr>
                <w:rFonts w:hint="eastAsia" w:ascii="宋体" w:hAnsi="宋体"/>
              </w:rPr>
              <w:t>1.15Un</w:t>
            </w:r>
          </w:p>
        </w:tc>
        <w:tc>
          <w:tcPr>
            <w:tcW w:w="3600" w:type="dxa"/>
            <w:vAlign w:val="center"/>
          </w:tcPr>
          <w:p>
            <w:pPr>
              <w:spacing w:line="360" w:lineRule="auto"/>
              <w:rPr>
                <w:rFonts w:ascii="宋体" w:hAnsi="宋体"/>
              </w:rPr>
            </w:pPr>
            <w:r>
              <w:rPr>
                <w:rFonts w:hint="eastAsia" w:ascii="宋体" w:hAnsi="宋体"/>
              </w:rPr>
              <w:t>每24h中有30min连续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780" w:type="dxa"/>
            <w:vAlign w:val="center"/>
          </w:tcPr>
          <w:p>
            <w:pPr>
              <w:spacing w:line="360" w:lineRule="auto"/>
              <w:rPr>
                <w:rFonts w:ascii="宋体" w:hAnsi="宋体"/>
              </w:rPr>
            </w:pPr>
            <w:r>
              <w:rPr>
                <w:rFonts w:hint="eastAsia" w:ascii="宋体" w:hAnsi="宋体"/>
              </w:rPr>
              <w:t>1.2Un</w:t>
            </w:r>
          </w:p>
        </w:tc>
        <w:tc>
          <w:tcPr>
            <w:tcW w:w="3600" w:type="dxa"/>
            <w:vAlign w:val="center"/>
          </w:tcPr>
          <w:p>
            <w:pPr>
              <w:spacing w:line="360" w:lineRule="auto"/>
              <w:rPr>
                <w:rFonts w:ascii="宋体" w:hAnsi="宋体"/>
              </w:rPr>
            </w:pPr>
            <w:r>
              <w:rPr>
                <w:rFonts w:hint="eastAsia" w:ascii="宋体" w:hAnsi="宋体"/>
              </w:rPr>
              <w:t>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780" w:type="dxa"/>
            <w:vAlign w:val="center"/>
          </w:tcPr>
          <w:p>
            <w:pPr>
              <w:spacing w:line="360" w:lineRule="auto"/>
              <w:rPr>
                <w:rFonts w:ascii="宋体" w:hAnsi="宋体"/>
              </w:rPr>
            </w:pPr>
            <w:r>
              <w:rPr>
                <w:rFonts w:hint="eastAsia" w:ascii="宋体" w:hAnsi="宋体"/>
              </w:rPr>
              <w:t>1.30Un</w:t>
            </w:r>
          </w:p>
        </w:tc>
        <w:tc>
          <w:tcPr>
            <w:tcW w:w="3600" w:type="dxa"/>
            <w:vAlign w:val="center"/>
          </w:tcPr>
          <w:p>
            <w:pPr>
              <w:spacing w:line="360" w:lineRule="auto"/>
              <w:rPr>
                <w:rFonts w:ascii="宋体" w:hAnsi="宋体"/>
              </w:rPr>
            </w:pPr>
            <w:r>
              <w:rPr>
                <w:rFonts w:hint="eastAsia" w:ascii="宋体" w:hAnsi="宋体"/>
              </w:rPr>
              <w:t>1min</w:t>
            </w:r>
          </w:p>
        </w:tc>
      </w:tr>
    </w:tbl>
    <w:p>
      <w:pPr>
        <w:spacing w:line="360" w:lineRule="auto"/>
        <w:rPr>
          <w:rFonts w:ascii="宋体" w:hAnsi="宋体"/>
        </w:rPr>
      </w:pPr>
      <w:r>
        <w:rPr>
          <w:rFonts w:hint="eastAsia" w:ascii="宋体" w:hAnsi="宋体"/>
        </w:rPr>
        <w:t>11) 稳态过电流能力</w:t>
      </w:r>
    </w:p>
    <w:p>
      <w:pPr>
        <w:spacing w:line="360" w:lineRule="auto"/>
        <w:rPr>
          <w:rFonts w:ascii="宋体" w:hAnsi="宋体"/>
        </w:rPr>
      </w:pPr>
      <w:r>
        <w:rPr>
          <w:rFonts w:hint="eastAsia" w:ascii="宋体" w:hAnsi="宋体"/>
        </w:rPr>
        <w:t>电容器组成套装置应能在方均根值不超过1.1×1.30IN的电流下连续运行。该电流系由1.1UN、电容值偏差及高次谐波综合作用的结果。</w:t>
      </w:r>
    </w:p>
    <w:p>
      <w:pPr>
        <w:spacing w:line="360" w:lineRule="auto"/>
        <w:rPr>
          <w:rFonts w:ascii="宋体" w:hAnsi="宋体"/>
        </w:rPr>
      </w:pPr>
      <w:r>
        <w:rPr>
          <w:rFonts w:hint="eastAsia" w:ascii="宋体" w:hAnsi="宋体"/>
        </w:rPr>
        <w:t>14) 介质损耗角正切值（tgδ）</w:t>
      </w:r>
    </w:p>
    <w:p>
      <w:pPr>
        <w:spacing w:line="360" w:lineRule="auto"/>
        <w:rPr>
          <w:rFonts w:ascii="宋体" w:hAnsi="宋体"/>
        </w:rPr>
      </w:pPr>
      <w:r>
        <w:rPr>
          <w:rFonts w:hint="eastAsia" w:ascii="宋体" w:hAnsi="宋体"/>
        </w:rPr>
        <w:t xml:space="preserve">    电容器在0.9～1.1倍工频交流额定电压下，20℃时介质损耗角正切值全膜产品应不大于0.0002。</w:t>
      </w:r>
    </w:p>
    <w:p>
      <w:pPr>
        <w:spacing w:line="360" w:lineRule="auto"/>
        <w:rPr>
          <w:rFonts w:ascii="宋体" w:hAnsi="宋体"/>
        </w:rPr>
      </w:pPr>
      <w:r>
        <w:rPr>
          <w:rFonts w:hint="eastAsia" w:ascii="宋体" w:hAnsi="宋体"/>
        </w:rPr>
        <w:t>15) 电介质的电气强度</w:t>
      </w:r>
    </w:p>
    <w:p>
      <w:pPr>
        <w:spacing w:line="360" w:lineRule="auto"/>
        <w:rPr>
          <w:rFonts w:ascii="宋体" w:hAnsi="宋体"/>
        </w:rPr>
      </w:pPr>
      <w:r>
        <w:rPr>
          <w:rFonts w:hint="eastAsia" w:ascii="宋体" w:hAnsi="宋体"/>
        </w:rPr>
        <w:t xml:space="preserve">    电容器端子间的电介质必须能承受下列两种实验电压之一，历时10s：</w:t>
      </w:r>
    </w:p>
    <w:p>
      <w:pPr>
        <w:spacing w:line="360" w:lineRule="auto"/>
        <w:rPr>
          <w:rFonts w:ascii="宋体" w:hAnsi="宋体"/>
        </w:rPr>
      </w:pPr>
      <w:r>
        <w:rPr>
          <w:rFonts w:hint="eastAsia" w:ascii="宋体" w:hAnsi="宋体"/>
        </w:rPr>
        <w:t xml:space="preserve">    工频交流电压：2.15Un。</w:t>
      </w:r>
    </w:p>
    <w:p>
      <w:pPr>
        <w:spacing w:line="360" w:lineRule="auto"/>
        <w:rPr>
          <w:rFonts w:ascii="宋体" w:hAnsi="宋体"/>
        </w:rPr>
      </w:pPr>
      <w:r>
        <w:rPr>
          <w:rFonts w:hint="eastAsia" w:ascii="宋体" w:hAnsi="宋体"/>
        </w:rPr>
        <w:t xml:space="preserve">    直流电压：4.3Un。 </w:t>
      </w:r>
    </w:p>
    <w:p>
      <w:pPr>
        <w:spacing w:line="360" w:lineRule="auto"/>
        <w:rPr>
          <w:rFonts w:ascii="宋体" w:hAnsi="宋体"/>
        </w:rPr>
      </w:pPr>
      <w:r>
        <w:rPr>
          <w:rFonts w:hint="eastAsia" w:ascii="宋体" w:hAnsi="宋体"/>
        </w:rPr>
        <w:t>16) 绝缘水平</w:t>
      </w:r>
    </w:p>
    <w:p>
      <w:pPr>
        <w:spacing w:line="360" w:lineRule="auto"/>
        <w:rPr>
          <w:rFonts w:ascii="宋体" w:hAnsi="宋体"/>
        </w:rPr>
      </w:pPr>
      <w:r>
        <w:rPr>
          <w:rFonts w:hint="eastAsia" w:ascii="宋体" w:hAnsi="宋体"/>
        </w:rPr>
        <w:t xml:space="preserve">    电容器端子与外壳间的绝缘水平，应能承受下列耐受电压值：</w:t>
      </w:r>
    </w:p>
    <w:p>
      <w:pPr>
        <w:spacing w:line="360" w:lineRule="auto"/>
        <w:rPr>
          <w:rFonts w:ascii="宋体" w:hAnsi="宋体"/>
        </w:rPr>
      </w:pPr>
      <w:r>
        <w:rPr>
          <w:rFonts w:hint="eastAsia" w:ascii="宋体" w:hAnsi="宋体"/>
        </w:rPr>
        <w:t xml:space="preserve">    短时工频耐受电压（1min）80/95kV（在淋雨状态测试）</w:t>
      </w:r>
    </w:p>
    <w:p>
      <w:pPr>
        <w:spacing w:line="360" w:lineRule="auto"/>
        <w:rPr>
          <w:rFonts w:ascii="宋体" w:hAnsi="宋体"/>
        </w:rPr>
      </w:pPr>
      <w:r>
        <w:rPr>
          <w:rFonts w:hint="eastAsia" w:ascii="宋体" w:hAnsi="宋体"/>
        </w:rPr>
        <w:t xml:space="preserve">    雷电冲击耐受电压（1.2/50μs峰值）185kV</w:t>
      </w:r>
    </w:p>
    <w:p>
      <w:pPr>
        <w:spacing w:line="360" w:lineRule="auto"/>
        <w:rPr>
          <w:rFonts w:ascii="宋体" w:hAnsi="宋体"/>
        </w:rPr>
      </w:pPr>
      <w:r>
        <w:rPr>
          <w:rFonts w:hint="eastAsia" w:ascii="宋体" w:hAnsi="宋体"/>
        </w:rPr>
        <w:t>17) 耐受短路放电能力</w:t>
      </w:r>
    </w:p>
    <w:p>
      <w:pPr>
        <w:spacing w:line="360" w:lineRule="auto"/>
        <w:rPr>
          <w:rFonts w:ascii="宋体" w:hAnsi="宋体"/>
        </w:rPr>
      </w:pPr>
      <w:r>
        <w:rPr>
          <w:rFonts w:hint="eastAsia" w:ascii="宋体" w:hAnsi="宋体"/>
        </w:rPr>
        <w:t xml:space="preserve">    主回路中的电气设备、连接线及机械结构应能耐受短路电流和电容器内部相间短路放电电流的作用而不产生热的和机械的损伤及明显的变形。</w:t>
      </w:r>
    </w:p>
    <w:p>
      <w:pPr>
        <w:spacing w:line="360" w:lineRule="auto"/>
        <w:rPr>
          <w:rFonts w:ascii="宋体" w:hAnsi="宋体"/>
        </w:rPr>
      </w:pPr>
      <w:r>
        <w:rPr>
          <w:rFonts w:hint="eastAsia" w:ascii="宋体" w:hAnsi="宋体"/>
        </w:rPr>
        <w:t>18) 局部放电性能：</w:t>
      </w:r>
    </w:p>
    <w:p>
      <w:pPr>
        <w:spacing w:line="360" w:lineRule="auto"/>
        <w:rPr>
          <w:rFonts w:ascii="宋体" w:hAnsi="宋体"/>
        </w:rPr>
      </w:pPr>
      <w:r>
        <w:rPr>
          <w:rFonts w:hint="eastAsia" w:ascii="宋体" w:hAnsi="宋体"/>
        </w:rPr>
        <w:t xml:space="preserve">    电容器的局部放电性能，应能达到下列试验要求。</w:t>
      </w:r>
    </w:p>
    <w:p>
      <w:pPr>
        <w:spacing w:line="360" w:lineRule="auto"/>
        <w:rPr>
          <w:rFonts w:ascii="宋体" w:hAnsi="宋体"/>
        </w:rPr>
      </w:pPr>
      <w:r>
        <w:rPr>
          <w:rFonts w:hint="eastAsia" w:ascii="宋体" w:hAnsi="宋体"/>
        </w:rPr>
        <w:t xml:space="preserve">    在常温下加压至局部放电后历时1s，降压至1.35倍额定电压保持10min，然后升压至1.6倍额定电压保持10min，此时，应无明显局部放电。对于严寒地区应根据温度类别下限值，电容器在温度下限时局部放电熄灭电压应不低于1.2倍额定电压。极对壳局部放电熄灭电压，应不低于1.2倍最高运行线电压。</w:t>
      </w:r>
    </w:p>
    <w:p>
      <w:pPr>
        <w:spacing w:line="360" w:lineRule="auto"/>
        <w:rPr>
          <w:rFonts w:ascii="宋体" w:hAnsi="宋体"/>
        </w:rPr>
      </w:pPr>
      <w:r>
        <w:rPr>
          <w:rFonts w:hint="eastAsia" w:ascii="宋体" w:hAnsi="宋体"/>
        </w:rPr>
        <w:t>19) 芯子最热点温度的要求</w:t>
      </w:r>
    </w:p>
    <w:p>
      <w:pPr>
        <w:spacing w:line="360" w:lineRule="auto"/>
        <w:rPr>
          <w:rFonts w:ascii="宋体" w:hAnsi="宋体"/>
        </w:rPr>
      </w:pPr>
      <w:r>
        <w:rPr>
          <w:rFonts w:hint="eastAsia" w:ascii="宋体" w:hAnsi="宋体"/>
        </w:rPr>
        <w:t xml:space="preserve">    电容器芯子最热点的温度不高于60℃</w:t>
      </w:r>
    </w:p>
    <w:p>
      <w:pPr>
        <w:spacing w:line="360" w:lineRule="auto"/>
        <w:rPr>
          <w:rFonts w:ascii="宋体" w:hAnsi="宋体"/>
        </w:rPr>
      </w:pPr>
      <w:r>
        <w:rPr>
          <w:rFonts w:hint="eastAsia" w:ascii="宋体" w:hAnsi="宋体"/>
        </w:rPr>
        <w:t>20) 耐受爆破能量</w:t>
      </w:r>
    </w:p>
    <w:p>
      <w:pPr>
        <w:spacing w:line="360" w:lineRule="auto"/>
        <w:rPr>
          <w:rFonts w:ascii="宋体" w:hAnsi="宋体"/>
        </w:rPr>
      </w:pPr>
      <w:r>
        <w:rPr>
          <w:rFonts w:hint="eastAsia" w:ascii="宋体" w:hAnsi="宋体"/>
        </w:rPr>
        <w:t xml:space="preserve">    电容器外壳应能承受大于15kJ的爆破能量。</w:t>
      </w:r>
    </w:p>
    <w:p>
      <w:pPr>
        <w:spacing w:line="360" w:lineRule="auto"/>
        <w:rPr>
          <w:rFonts w:ascii="宋体" w:hAnsi="宋体"/>
        </w:rPr>
      </w:pPr>
      <w:r>
        <w:rPr>
          <w:rFonts w:hint="eastAsia" w:ascii="宋体" w:hAnsi="宋体"/>
        </w:rPr>
        <w:t>21) 密封性能</w:t>
      </w:r>
    </w:p>
    <w:p>
      <w:pPr>
        <w:spacing w:line="360" w:lineRule="auto"/>
        <w:rPr>
          <w:rFonts w:ascii="宋体" w:hAnsi="宋体"/>
        </w:rPr>
      </w:pPr>
      <w:r>
        <w:rPr>
          <w:rFonts w:hint="eastAsia" w:ascii="宋体" w:hAnsi="宋体"/>
        </w:rPr>
        <w:t xml:space="preserve">    电容器的密封性能，应足以保证在其各个部分均达到电介质允许的最高运行温度后，至少经历48h而不出现渗漏。</w:t>
      </w:r>
    </w:p>
    <w:p>
      <w:pPr>
        <w:spacing w:line="360" w:lineRule="auto"/>
        <w:rPr>
          <w:rFonts w:ascii="宋体" w:hAnsi="宋体"/>
        </w:rPr>
      </w:pPr>
      <w:r>
        <w:rPr>
          <w:rFonts w:hint="eastAsia" w:ascii="宋体" w:hAnsi="宋体"/>
        </w:rPr>
        <w:t>22) 引出端子及套管的要求</w:t>
      </w:r>
    </w:p>
    <w:p>
      <w:pPr>
        <w:spacing w:line="360" w:lineRule="auto"/>
        <w:rPr>
          <w:rFonts w:ascii="宋体" w:hAnsi="宋体"/>
        </w:rPr>
      </w:pPr>
      <w:r>
        <w:rPr>
          <w:rFonts w:hint="eastAsia" w:ascii="宋体" w:hAnsi="宋体"/>
        </w:rPr>
        <w:t xml:space="preserve">    电容器引出端子及套管应能承受900N的水平张力。</w:t>
      </w:r>
    </w:p>
    <w:p>
      <w:pPr>
        <w:spacing w:line="360" w:lineRule="auto"/>
        <w:rPr>
          <w:rFonts w:ascii="宋体" w:hAnsi="宋体"/>
        </w:rPr>
      </w:pPr>
      <w:r>
        <w:rPr>
          <w:rFonts w:hint="eastAsia" w:ascii="宋体" w:hAnsi="宋体"/>
        </w:rPr>
        <w:t xml:space="preserve">23) 最大允许容量：在计入稳态过电压、稳态过电流和电容正偏差等各因素的作用下，电容器总的容量应不超过l.35倍电容器组额定容量。 </w:t>
      </w:r>
    </w:p>
    <w:p>
      <w:pPr>
        <w:spacing w:line="360" w:lineRule="auto"/>
        <w:rPr>
          <w:rFonts w:ascii="宋体" w:hAnsi="宋体"/>
        </w:rPr>
      </w:pPr>
      <w:r>
        <w:rPr>
          <w:rFonts w:hint="eastAsia" w:ascii="宋体" w:hAnsi="宋体"/>
        </w:rPr>
        <w:t>24) 环境保护要求</w:t>
      </w:r>
    </w:p>
    <w:p>
      <w:pPr>
        <w:spacing w:line="360" w:lineRule="auto"/>
        <w:rPr>
          <w:rFonts w:ascii="宋体" w:hAnsi="宋体"/>
        </w:rPr>
      </w:pPr>
      <w:r>
        <w:rPr>
          <w:rFonts w:hint="eastAsia" w:ascii="宋体" w:hAnsi="宋体"/>
        </w:rPr>
        <w:t xml:space="preserve">    电容器的浸入渍剂符合国家环保部门的有关规定与要求。</w:t>
      </w:r>
    </w:p>
    <w:p>
      <w:pPr>
        <w:spacing w:line="360" w:lineRule="auto"/>
        <w:rPr>
          <w:rFonts w:ascii="宋体" w:hAnsi="宋体"/>
          <w:b/>
        </w:rPr>
      </w:pPr>
      <w:r>
        <w:rPr>
          <w:rFonts w:hint="eastAsia" w:ascii="宋体" w:hAnsi="宋体"/>
        </w:rPr>
        <w:t>25) 电容器外壳应具有良好的防腐、防锈外层。</w:t>
      </w:r>
    </w:p>
    <w:p>
      <w:pPr>
        <w:pStyle w:val="4"/>
        <w:spacing w:before="120" w:after="120"/>
      </w:pPr>
      <w:bookmarkStart w:id="398" w:name="_Toc253650917"/>
      <w:bookmarkStart w:id="399" w:name="_Toc19656"/>
      <w:r>
        <w:rPr>
          <w:rFonts w:hint="eastAsia"/>
        </w:rPr>
        <w:t>3.3.2 干式串联空心电抗器技术规范参数</w:t>
      </w:r>
      <w:bookmarkEnd w:id="398"/>
      <w:r>
        <w:rPr>
          <w:rFonts w:hint="eastAsia"/>
        </w:rPr>
        <w:t>（FC方案）</w:t>
      </w:r>
      <w:bookmarkEnd w:id="399"/>
    </w:p>
    <w:p>
      <w:pPr>
        <w:spacing w:line="360" w:lineRule="auto"/>
        <w:ind w:firstLine="420" w:firstLineChars="200"/>
        <w:textAlignment w:val="baseline"/>
        <w:rPr>
          <w:rFonts w:ascii="宋体" w:hAnsi="宋体"/>
        </w:rPr>
      </w:pPr>
      <w:r>
        <w:rPr>
          <w:rFonts w:hint="eastAsia" w:ascii="宋体" w:hAnsi="宋体"/>
        </w:rPr>
        <w:t xml:space="preserve">设备型号： </w:t>
      </w:r>
      <w:r>
        <w:rPr>
          <w:rFonts w:hint="eastAsia" w:ascii="宋体" w:hAnsi="宋体"/>
          <w:u w:val="single"/>
        </w:rPr>
        <w:t xml:space="preserve">           </w:t>
      </w:r>
    </w:p>
    <w:p>
      <w:pPr>
        <w:spacing w:line="360" w:lineRule="auto"/>
        <w:ind w:firstLine="420" w:firstLineChars="200"/>
        <w:textAlignment w:val="baseline"/>
        <w:rPr>
          <w:rFonts w:ascii="宋体" w:hAnsi="宋体"/>
        </w:rPr>
      </w:pPr>
      <w:r>
        <w:rPr>
          <w:rFonts w:hint="eastAsia" w:ascii="宋体" w:hAnsi="宋体"/>
        </w:rPr>
        <w:t>系统额定电压: 35kV</w:t>
      </w:r>
    </w:p>
    <w:p>
      <w:pPr>
        <w:spacing w:line="360" w:lineRule="auto"/>
        <w:ind w:firstLine="420" w:firstLineChars="200"/>
        <w:textAlignment w:val="baseline"/>
        <w:rPr>
          <w:rFonts w:ascii="宋体" w:hAnsi="宋体"/>
        </w:rPr>
      </w:pPr>
      <w:r>
        <w:rPr>
          <w:rFonts w:hint="eastAsia" w:ascii="宋体" w:hAnsi="宋体"/>
        </w:rPr>
        <w:t>电抗器额定电压: 24kV</w:t>
      </w:r>
    </w:p>
    <w:p>
      <w:pPr>
        <w:spacing w:line="360" w:lineRule="auto"/>
        <w:ind w:firstLine="420" w:firstLineChars="200"/>
        <w:textAlignment w:val="baseline"/>
        <w:rPr>
          <w:rFonts w:hint="eastAsia"/>
        </w:rPr>
      </w:pPr>
      <w:r>
        <w:rPr>
          <w:rFonts w:hint="eastAsia" w:ascii="宋体" w:hAnsi="宋体"/>
        </w:rPr>
        <w:t>电抗率：电容器分支</w:t>
      </w:r>
      <w:r>
        <w:rPr>
          <w:rFonts w:hint="eastAsia"/>
          <w:u w:val="single"/>
        </w:rPr>
        <w:t xml:space="preserve">      </w:t>
      </w:r>
      <w:r>
        <w:rPr>
          <w:rFonts w:hint="eastAsia"/>
        </w:rPr>
        <w:t>（</w:t>
      </w:r>
      <w:r>
        <w:rPr>
          <w:rFonts w:hint="eastAsia"/>
          <w:u w:val="single"/>
        </w:rPr>
        <w:t xml:space="preserve"> 3</w:t>
      </w:r>
      <w:r>
        <w:rPr>
          <w:rFonts w:hint="eastAsia"/>
        </w:rPr>
        <w:t>次及以上谐波）；</w:t>
      </w:r>
    </w:p>
    <w:p>
      <w:pPr>
        <w:spacing w:line="360" w:lineRule="auto"/>
        <w:ind w:firstLine="420" w:firstLineChars="200"/>
        <w:textAlignment w:val="baseline"/>
        <w:rPr>
          <w:rFonts w:ascii="宋体" w:hAnsi="宋体"/>
        </w:rPr>
      </w:pPr>
      <w:r>
        <w:rPr>
          <w:rFonts w:hint="eastAsia" w:ascii="宋体" w:hAnsi="宋体"/>
        </w:rPr>
        <w:t>额定频率：50Hz</w:t>
      </w:r>
    </w:p>
    <w:p>
      <w:pPr>
        <w:spacing w:line="360" w:lineRule="auto"/>
        <w:ind w:firstLine="420" w:firstLineChars="200"/>
        <w:textAlignment w:val="baseline"/>
        <w:rPr>
          <w:rFonts w:ascii="宋体" w:hAnsi="宋体"/>
        </w:rPr>
      </w:pPr>
      <w:r>
        <w:rPr>
          <w:rFonts w:hint="eastAsia" w:ascii="宋体" w:hAnsi="宋体"/>
        </w:rPr>
        <w:t>配套电容器组相电压：24kV</w:t>
      </w:r>
    </w:p>
    <w:p>
      <w:pPr>
        <w:spacing w:line="360" w:lineRule="auto"/>
        <w:ind w:firstLine="420" w:firstLineChars="200"/>
        <w:textAlignment w:val="baseline"/>
        <w:rPr>
          <w:rFonts w:ascii="宋体" w:hAnsi="宋体"/>
        </w:rPr>
      </w:pPr>
      <w:r>
        <w:rPr>
          <w:rFonts w:hint="eastAsia" w:ascii="宋体" w:hAnsi="宋体"/>
        </w:rPr>
        <w:t>电容器容量：</w:t>
      </w:r>
      <w:r>
        <w:rPr>
          <w:rFonts w:hint="eastAsia"/>
          <w:u w:val="single"/>
        </w:rPr>
        <w:t xml:space="preserve">        </w:t>
      </w:r>
      <w:r>
        <w:rPr>
          <w:rFonts w:hint="eastAsia" w:ascii="宋体" w:hAnsi="宋体"/>
        </w:rPr>
        <w:t>kVar</w:t>
      </w:r>
    </w:p>
    <w:p>
      <w:pPr>
        <w:spacing w:line="360" w:lineRule="auto"/>
        <w:ind w:firstLine="420" w:firstLineChars="200"/>
        <w:textAlignment w:val="baseline"/>
        <w:rPr>
          <w:rFonts w:ascii="宋体" w:hAnsi="宋体"/>
        </w:rPr>
      </w:pPr>
      <w:r>
        <w:rPr>
          <w:rFonts w:hint="eastAsia" w:ascii="宋体" w:hAnsi="宋体"/>
        </w:rPr>
        <w:t>爬电比距：≥</w:t>
      </w:r>
      <w:r>
        <w:rPr>
          <w:rFonts w:hint="eastAsia" w:ascii="宋体" w:hAnsi="宋体"/>
          <w:color w:val="0000FF"/>
        </w:rPr>
        <w:t>31mm/kV</w:t>
      </w:r>
    </w:p>
    <w:p>
      <w:pPr>
        <w:spacing w:line="360" w:lineRule="auto"/>
        <w:ind w:firstLine="420" w:firstLineChars="200"/>
        <w:textAlignment w:val="baseline"/>
        <w:rPr>
          <w:rFonts w:ascii="宋体" w:hAnsi="宋体"/>
        </w:rPr>
      </w:pPr>
      <w:r>
        <w:rPr>
          <w:rFonts w:hint="eastAsia" w:ascii="宋体" w:hAnsi="宋体"/>
        </w:rPr>
        <w:t>电抗偏差：偏差不超过0～5%</w:t>
      </w:r>
    </w:p>
    <w:p>
      <w:pPr>
        <w:spacing w:line="360" w:lineRule="auto"/>
        <w:ind w:firstLine="420" w:firstLineChars="200"/>
        <w:textAlignment w:val="baseline"/>
        <w:rPr>
          <w:rFonts w:ascii="宋体" w:hAnsi="宋体"/>
        </w:rPr>
      </w:pPr>
      <w:r>
        <w:rPr>
          <w:rFonts w:hint="eastAsia" w:ascii="宋体" w:hAnsi="宋体"/>
        </w:rPr>
        <w:t>绝缘等级：F级</w:t>
      </w:r>
    </w:p>
    <w:p>
      <w:pPr>
        <w:spacing w:line="360" w:lineRule="auto"/>
        <w:ind w:firstLine="420" w:firstLineChars="200"/>
        <w:textAlignment w:val="baseline"/>
        <w:rPr>
          <w:rFonts w:ascii="宋体" w:hAnsi="宋体"/>
        </w:rPr>
      </w:pPr>
      <w:r>
        <w:rPr>
          <w:rFonts w:hint="eastAsia" w:ascii="宋体" w:hAnsi="宋体"/>
        </w:rPr>
        <w:t>温升限值：平均75K，热点85K</w:t>
      </w:r>
    </w:p>
    <w:p>
      <w:pPr>
        <w:spacing w:line="360" w:lineRule="auto"/>
        <w:ind w:firstLine="420" w:firstLineChars="200"/>
        <w:textAlignment w:val="baseline"/>
        <w:rPr>
          <w:rFonts w:ascii="宋体" w:hAnsi="宋体"/>
        </w:rPr>
      </w:pPr>
      <w:r>
        <w:rPr>
          <w:rFonts w:hint="eastAsia" w:ascii="宋体" w:hAnsi="宋体"/>
        </w:rPr>
        <w:t>工频耐压： 95kV</w:t>
      </w:r>
    </w:p>
    <w:p>
      <w:pPr>
        <w:spacing w:line="360" w:lineRule="auto"/>
        <w:ind w:firstLine="420" w:firstLineChars="200"/>
        <w:textAlignment w:val="baseline"/>
        <w:rPr>
          <w:rFonts w:ascii="宋体" w:hAnsi="宋体"/>
        </w:rPr>
      </w:pPr>
      <w:r>
        <w:rPr>
          <w:rFonts w:hint="eastAsia" w:ascii="宋体" w:hAnsi="宋体"/>
        </w:rPr>
        <w:t>冲击耐压：1.2/50μs全波冲击耐压（峰值）：185kV</w:t>
      </w:r>
    </w:p>
    <w:p>
      <w:pPr>
        <w:spacing w:line="360" w:lineRule="auto"/>
        <w:ind w:firstLine="420" w:firstLineChars="200"/>
        <w:textAlignment w:val="baseline"/>
        <w:rPr>
          <w:rFonts w:ascii="宋体" w:hAnsi="宋体"/>
        </w:rPr>
      </w:pPr>
      <w:r>
        <w:rPr>
          <w:rFonts w:hint="eastAsia" w:ascii="宋体" w:hAnsi="宋体"/>
        </w:rPr>
        <w:t>工频损耗：≤3%电抗器额定容量（75℃时）</w:t>
      </w:r>
    </w:p>
    <w:p>
      <w:pPr>
        <w:spacing w:line="360" w:lineRule="auto"/>
        <w:ind w:firstLine="420" w:firstLineChars="200"/>
        <w:textAlignment w:val="baseline"/>
        <w:rPr>
          <w:rFonts w:ascii="宋体" w:hAnsi="宋体"/>
        </w:rPr>
      </w:pPr>
      <w:r>
        <w:rPr>
          <w:rFonts w:hint="eastAsia" w:ascii="宋体" w:hAnsi="宋体"/>
        </w:rPr>
        <w:t>声级水平：≤52dB(2米处)</w:t>
      </w:r>
    </w:p>
    <w:p>
      <w:pPr>
        <w:spacing w:line="360" w:lineRule="auto"/>
        <w:ind w:firstLine="420" w:firstLineChars="200"/>
        <w:textAlignment w:val="baseline"/>
        <w:rPr>
          <w:rFonts w:ascii="宋体" w:hAnsi="宋体"/>
        </w:rPr>
      </w:pPr>
      <w:r>
        <w:rPr>
          <w:rFonts w:hint="eastAsia" w:ascii="宋体" w:hAnsi="宋体"/>
        </w:rPr>
        <w:t>为防止紫外线辐射，电抗器表面应涂防紫外线漆。</w:t>
      </w:r>
    </w:p>
    <w:p>
      <w:pPr>
        <w:spacing w:line="360" w:lineRule="auto"/>
        <w:ind w:firstLine="420" w:firstLineChars="200"/>
        <w:textAlignment w:val="baseline"/>
        <w:rPr>
          <w:rFonts w:hint="eastAsia" w:ascii="宋体" w:hAnsi="宋体"/>
        </w:rPr>
      </w:pPr>
      <w:r>
        <w:rPr>
          <w:rFonts w:hint="eastAsia" w:ascii="宋体" w:hAnsi="宋体"/>
        </w:rPr>
        <w:t>干式串联电抗器的额定电压和绝缘水平，应符合接入处电网电压和安装方式要求。</w:t>
      </w:r>
    </w:p>
    <w:p>
      <w:pPr>
        <w:spacing w:line="360" w:lineRule="auto"/>
        <w:ind w:firstLine="420" w:firstLineChars="200"/>
        <w:textAlignment w:val="baseline"/>
        <w:rPr>
          <w:rFonts w:ascii="宋体" w:hAnsi="宋体"/>
          <w:b/>
        </w:rPr>
      </w:pPr>
      <w:r>
        <w:rPr>
          <w:rFonts w:hint="eastAsia" w:ascii="宋体" w:hAnsi="宋体"/>
        </w:rPr>
        <w:t>干式串联电抗器的额定电流不应小于所连接的电容器组的额定电流，其允许过电流应不小于电容器组的最大过电流值。电抗器应满足热稳定31.5kA（4s），动稳定80kA的要求。</w:t>
      </w:r>
    </w:p>
    <w:p>
      <w:pPr>
        <w:pStyle w:val="4"/>
        <w:spacing w:before="120" w:after="120"/>
      </w:pPr>
      <w:bookmarkStart w:id="400" w:name="_Toc253650918"/>
      <w:bookmarkStart w:id="401" w:name="_Toc30395"/>
      <w:r>
        <w:rPr>
          <w:rFonts w:hint="eastAsia"/>
        </w:rPr>
        <w:t>3.3.3 隔离开关及接地开关</w:t>
      </w:r>
      <w:bookmarkEnd w:id="400"/>
      <w:r>
        <w:rPr>
          <w:rFonts w:hint="eastAsia"/>
        </w:rPr>
        <w:t>（FC方案）</w:t>
      </w:r>
      <w:bookmarkEnd w:id="401"/>
    </w:p>
    <w:p>
      <w:pPr>
        <w:adjustRightInd w:val="0"/>
        <w:snapToGrid w:val="0"/>
        <w:spacing w:line="360" w:lineRule="auto"/>
        <w:rPr>
          <w:rFonts w:ascii="宋体" w:hAnsi="宋体"/>
        </w:rPr>
      </w:pPr>
      <w:r>
        <w:rPr>
          <w:rFonts w:hint="eastAsia" w:ascii="宋体" w:hAnsi="宋体"/>
        </w:rPr>
        <w:t xml:space="preserve">    隔离开关型号:</w:t>
      </w:r>
      <w:r>
        <w:rPr>
          <w:rFonts w:ascii="宋体" w:hAnsi="宋体"/>
        </w:rPr>
        <w:t xml:space="preserve"> </w:t>
      </w:r>
      <w:r>
        <w:rPr>
          <w:rFonts w:hint="eastAsia" w:ascii="宋体" w:hAnsi="宋体"/>
        </w:rPr>
        <w:t>GW4-40.5D(W)/630-31.5，三极(带接地)</w:t>
      </w:r>
    </w:p>
    <w:p>
      <w:pPr>
        <w:spacing w:line="360" w:lineRule="auto"/>
        <w:textAlignment w:val="baseline"/>
        <w:rPr>
          <w:rFonts w:ascii="宋体" w:hAnsi="宋体"/>
        </w:rPr>
      </w:pPr>
      <w:r>
        <w:rPr>
          <w:rFonts w:hint="eastAsia" w:ascii="宋体" w:hAnsi="宋体"/>
        </w:rPr>
        <w:t xml:space="preserve">    接地隔离开关：GW4-35W/630，一极</w:t>
      </w:r>
    </w:p>
    <w:p>
      <w:pPr>
        <w:spacing w:line="360" w:lineRule="auto"/>
        <w:ind w:firstLine="480"/>
        <w:textAlignment w:val="baseline"/>
        <w:rPr>
          <w:rFonts w:ascii="宋体" w:hAnsi="宋体"/>
        </w:rPr>
      </w:pPr>
      <w:bookmarkStart w:id="402" w:name="_Toc253650919"/>
      <w:r>
        <w:rPr>
          <w:rFonts w:hint="eastAsia" w:ascii="宋体" w:hAnsi="宋体"/>
        </w:rPr>
        <w:t>电容器装置电源进线侧应配置三相联动隔离开关，带接地刀，</w:t>
      </w:r>
      <w:r>
        <w:rPr>
          <w:rFonts w:hint="eastAsia" w:hAnsi="宋体"/>
        </w:rPr>
        <w:t>与中性点接地隔离开关联动接地，</w:t>
      </w:r>
      <w:r>
        <w:rPr>
          <w:rFonts w:hint="eastAsia" w:ascii="宋体" w:hAnsi="宋体"/>
        </w:rPr>
        <w:t>并提供接“五防”的接线端子，保证检修时有明显的断开点。</w:t>
      </w:r>
    </w:p>
    <w:p>
      <w:pPr>
        <w:pStyle w:val="4"/>
        <w:spacing w:before="120" w:after="120"/>
      </w:pPr>
      <w:bookmarkStart w:id="403" w:name="_Toc30169"/>
      <w:r>
        <w:rPr>
          <w:rFonts w:hint="eastAsia"/>
        </w:rPr>
        <w:t>3.3.4 放电线圈的主要技术规范参数</w:t>
      </w:r>
      <w:bookmarkEnd w:id="402"/>
      <w:r>
        <w:rPr>
          <w:rFonts w:hint="eastAsia"/>
        </w:rPr>
        <w:t>（FC方案）</w:t>
      </w:r>
      <w:bookmarkEnd w:id="403"/>
    </w:p>
    <w:p>
      <w:pPr>
        <w:spacing w:line="360" w:lineRule="auto"/>
        <w:ind w:firstLine="420" w:firstLineChars="200"/>
        <w:textAlignment w:val="baseline"/>
        <w:rPr>
          <w:rFonts w:ascii="宋体" w:hAnsi="宋体"/>
        </w:rPr>
      </w:pPr>
      <w:r>
        <w:rPr>
          <w:rFonts w:hint="eastAsia" w:ascii="宋体" w:hAnsi="宋体"/>
        </w:rPr>
        <w:t>1） 型式：户外、35kV全密封。</w:t>
      </w:r>
    </w:p>
    <w:p>
      <w:pPr>
        <w:spacing w:line="360" w:lineRule="auto"/>
        <w:ind w:firstLine="420" w:firstLineChars="200"/>
        <w:textAlignment w:val="baseline"/>
        <w:rPr>
          <w:rFonts w:ascii="宋体" w:hAnsi="宋体"/>
        </w:rPr>
      </w:pPr>
      <w:r>
        <w:rPr>
          <w:rFonts w:hint="eastAsia" w:ascii="宋体" w:hAnsi="宋体"/>
        </w:rPr>
        <w:t>2） 最高工作电压：1.1倍电容器额定电压</w:t>
      </w:r>
    </w:p>
    <w:p>
      <w:pPr>
        <w:spacing w:line="360" w:lineRule="auto"/>
        <w:ind w:firstLine="420" w:firstLineChars="200"/>
        <w:textAlignment w:val="baseline"/>
        <w:rPr>
          <w:rFonts w:ascii="宋体" w:hAnsi="宋体"/>
        </w:rPr>
      </w:pPr>
      <w:r>
        <w:rPr>
          <w:rFonts w:hint="eastAsia" w:ascii="宋体" w:hAnsi="宋体"/>
        </w:rPr>
        <w:t>3） 一次绕组的放电容量：大于等于所接电容器组的每相电容器容量。</w:t>
      </w:r>
    </w:p>
    <w:p>
      <w:pPr>
        <w:spacing w:line="360" w:lineRule="auto"/>
        <w:ind w:firstLine="420" w:firstLineChars="200"/>
        <w:textAlignment w:val="baseline"/>
        <w:rPr>
          <w:rFonts w:ascii="宋体" w:hAnsi="宋体"/>
        </w:rPr>
      </w:pPr>
      <w:r>
        <w:rPr>
          <w:rFonts w:hint="eastAsia" w:ascii="宋体" w:hAnsi="宋体"/>
        </w:rPr>
        <w:t>4） 放电电流：不小于电容器组的额定电流的1.35倍。</w:t>
      </w:r>
    </w:p>
    <w:p>
      <w:pPr>
        <w:spacing w:line="360" w:lineRule="auto"/>
        <w:ind w:firstLine="420" w:firstLineChars="200"/>
        <w:textAlignment w:val="baseline"/>
        <w:rPr>
          <w:rFonts w:ascii="宋体" w:hAnsi="宋体"/>
        </w:rPr>
      </w:pPr>
      <w:r>
        <w:rPr>
          <w:rFonts w:hint="eastAsia" w:ascii="宋体" w:hAnsi="宋体"/>
        </w:rPr>
        <w:t>5） 放电线圈为每组3台单相组成，三套管引出中性点不接地，应配套带电压差动保护用的电压线圈。</w:t>
      </w:r>
    </w:p>
    <w:p>
      <w:pPr>
        <w:spacing w:line="360" w:lineRule="auto"/>
        <w:ind w:firstLine="420" w:firstLineChars="200"/>
        <w:textAlignment w:val="baseline"/>
        <w:rPr>
          <w:rFonts w:ascii="宋体" w:hAnsi="宋体"/>
        </w:rPr>
      </w:pPr>
      <w:r>
        <w:rPr>
          <w:rFonts w:hint="eastAsia" w:ascii="宋体" w:hAnsi="宋体"/>
        </w:rPr>
        <w:t>6） 保护：采用差动电压保护，在一次整定值情况下，二次侧电压达到6V，产品不需安装升压变压器，二次输出容量20VA。电容器本体加装不锈钢端子箱，本体电压量、本体隔离开关接点等信号引入端子箱，以便用户根据需要引出。端子箱防护等级IP54。</w:t>
      </w:r>
    </w:p>
    <w:p>
      <w:pPr>
        <w:spacing w:line="360" w:lineRule="auto"/>
        <w:ind w:firstLine="420" w:firstLineChars="200"/>
        <w:textAlignment w:val="baseline"/>
        <w:rPr>
          <w:rFonts w:ascii="宋体" w:hAnsi="宋体"/>
        </w:rPr>
      </w:pPr>
      <w:r>
        <w:rPr>
          <w:rFonts w:hint="eastAsia" w:ascii="宋体" w:hAnsi="宋体"/>
        </w:rPr>
        <w:t>7） 放电线圈的有功损耗应小于额定容量的1％。</w:t>
      </w:r>
    </w:p>
    <w:p>
      <w:pPr>
        <w:spacing w:line="360" w:lineRule="auto"/>
        <w:ind w:firstLine="420" w:firstLineChars="200"/>
        <w:textAlignment w:val="baseline"/>
        <w:rPr>
          <w:rFonts w:ascii="宋体" w:hAnsi="宋体"/>
        </w:rPr>
      </w:pPr>
      <w:r>
        <w:rPr>
          <w:rFonts w:hint="eastAsia" w:ascii="宋体" w:hAnsi="宋体"/>
        </w:rPr>
        <w:t>8） 放电线圈的放电时间：</w:t>
      </w:r>
    </w:p>
    <w:p>
      <w:pPr>
        <w:spacing w:line="360" w:lineRule="auto"/>
        <w:textAlignment w:val="baseline"/>
        <w:rPr>
          <w:rFonts w:ascii="宋体" w:hAnsi="宋体"/>
        </w:rPr>
      </w:pPr>
      <w:r>
        <w:rPr>
          <w:rFonts w:hint="eastAsia" w:ascii="宋体" w:hAnsi="宋体"/>
        </w:rPr>
        <w:t xml:space="preserve">    在额定频率和额定电压下，当电容器断电时，放电线圈应将两端剩余电压在5S内自电压峰值降至50V以下。放电线圈应能承受在1.58倍电压峰值下电容器储能放电的作用。</w:t>
      </w:r>
    </w:p>
    <w:p>
      <w:pPr>
        <w:spacing w:line="360" w:lineRule="auto"/>
        <w:ind w:firstLine="420" w:firstLineChars="200"/>
        <w:textAlignment w:val="baseline"/>
        <w:rPr>
          <w:rFonts w:ascii="宋体" w:hAnsi="宋体"/>
        </w:rPr>
      </w:pPr>
      <w:r>
        <w:rPr>
          <w:rFonts w:hint="eastAsia" w:ascii="宋体" w:hAnsi="宋体"/>
        </w:rPr>
        <w:t>9） 绝缘水平：工频电压95kV一分钟，雷电冲击电压1.2/50μs,185kV。</w:t>
      </w:r>
    </w:p>
    <w:p>
      <w:pPr>
        <w:spacing w:line="360" w:lineRule="auto"/>
        <w:ind w:firstLine="420" w:firstLineChars="200"/>
        <w:textAlignment w:val="baseline"/>
        <w:rPr>
          <w:rFonts w:ascii="宋体" w:hAnsi="宋体"/>
        </w:rPr>
      </w:pPr>
      <w:r>
        <w:rPr>
          <w:rFonts w:hint="eastAsia" w:ascii="宋体" w:hAnsi="宋体"/>
        </w:rPr>
        <w:t>10）接线端子的允许水平张力：900N</w:t>
      </w:r>
    </w:p>
    <w:p>
      <w:pPr>
        <w:spacing w:line="360" w:lineRule="auto"/>
        <w:ind w:firstLine="420" w:firstLineChars="200"/>
        <w:textAlignment w:val="baseline"/>
        <w:rPr>
          <w:rFonts w:ascii="宋体" w:hAnsi="宋体"/>
        </w:rPr>
      </w:pPr>
      <w:r>
        <w:rPr>
          <w:rFonts w:hint="eastAsia" w:ascii="宋体" w:hAnsi="宋体"/>
        </w:rPr>
        <w:t>11）在要求的环境条件下运行时，不应出现渗漏油及其他不正常的情况。</w:t>
      </w:r>
    </w:p>
    <w:p>
      <w:pPr>
        <w:spacing w:line="360" w:lineRule="auto"/>
        <w:ind w:firstLine="420" w:firstLineChars="200"/>
        <w:textAlignment w:val="baseline"/>
        <w:rPr>
          <w:rFonts w:ascii="宋体" w:hAnsi="宋体"/>
        </w:rPr>
      </w:pPr>
      <w:r>
        <w:rPr>
          <w:rFonts w:hint="eastAsia" w:ascii="宋体" w:hAnsi="宋体"/>
        </w:rPr>
        <w:t>12）绝缘试验及标准：按国标GB311</w:t>
      </w:r>
    </w:p>
    <w:p>
      <w:pPr>
        <w:spacing w:line="360" w:lineRule="auto"/>
        <w:ind w:firstLine="420" w:firstLineChars="200"/>
        <w:textAlignment w:val="baseline"/>
        <w:rPr>
          <w:rFonts w:ascii="宋体" w:hAnsi="宋体"/>
          <w:b/>
        </w:rPr>
      </w:pPr>
      <w:r>
        <w:rPr>
          <w:rFonts w:hint="eastAsia" w:ascii="宋体" w:hAnsi="宋体"/>
        </w:rPr>
        <w:t>13）局部放电：在1.05倍的长期工作电压下其局部放电量应不大于5PC。</w:t>
      </w:r>
    </w:p>
    <w:p>
      <w:pPr>
        <w:pStyle w:val="4"/>
        <w:spacing w:before="120" w:after="120"/>
      </w:pPr>
      <w:bookmarkStart w:id="404" w:name="_Toc253650920"/>
      <w:bookmarkStart w:id="405" w:name="_Toc8907"/>
      <w:r>
        <w:rPr>
          <w:rFonts w:hint="eastAsia"/>
        </w:rPr>
        <w:t>3.3.5氧化锌避雷器的主要技术规范参数</w:t>
      </w:r>
      <w:bookmarkEnd w:id="404"/>
      <w:r>
        <w:rPr>
          <w:rFonts w:hint="eastAsia"/>
        </w:rPr>
        <w:t>（FC方案）</w:t>
      </w:r>
      <w:bookmarkEnd w:id="405"/>
    </w:p>
    <w:p>
      <w:pPr>
        <w:spacing w:line="360" w:lineRule="auto"/>
        <w:ind w:firstLine="420" w:firstLineChars="200"/>
        <w:textAlignment w:val="baseline"/>
        <w:rPr>
          <w:rFonts w:ascii="宋体" w:hAnsi="宋体"/>
        </w:rPr>
      </w:pPr>
      <w:r>
        <w:rPr>
          <w:rFonts w:hint="eastAsia" w:ascii="宋体" w:hAnsi="宋体"/>
        </w:rPr>
        <w:t>1)  型式：</w:t>
      </w:r>
      <w:r>
        <w:rPr>
          <w:rFonts w:hint="eastAsia" w:ascii="宋体" w:hAnsi="宋体"/>
          <w:color w:val="000000"/>
        </w:rPr>
        <w:t>无间隙金</w:t>
      </w:r>
      <w:r>
        <w:rPr>
          <w:rFonts w:hint="eastAsia" w:ascii="宋体" w:hAnsi="宋体"/>
          <w:color w:val="000000"/>
          <w:kern w:val="1"/>
        </w:rPr>
        <w:t>属氧化物避雷器</w:t>
      </w:r>
      <w:r>
        <w:rPr>
          <w:rFonts w:hint="eastAsia" w:ascii="宋体" w:hAnsi="宋体"/>
        </w:rPr>
        <w:t>，电容器用（附在线监视仪）</w:t>
      </w:r>
    </w:p>
    <w:p>
      <w:pPr>
        <w:spacing w:line="360" w:lineRule="auto"/>
        <w:ind w:firstLine="420" w:firstLineChars="200"/>
        <w:textAlignment w:val="baseline"/>
        <w:rPr>
          <w:rFonts w:ascii="宋体" w:hAnsi="宋体"/>
        </w:rPr>
      </w:pPr>
      <w:r>
        <w:rPr>
          <w:rFonts w:hint="eastAsia" w:ascii="宋体" w:hAnsi="宋体"/>
        </w:rPr>
        <w:t>2)  额定值：</w:t>
      </w:r>
    </w:p>
    <w:p>
      <w:pPr>
        <w:spacing w:line="360" w:lineRule="auto"/>
        <w:ind w:firstLine="420" w:firstLineChars="200"/>
        <w:textAlignment w:val="baseline"/>
        <w:rPr>
          <w:rFonts w:ascii="宋体" w:hAnsi="宋体"/>
        </w:rPr>
      </w:pPr>
      <w:r>
        <w:rPr>
          <w:rFonts w:ascii="宋体" w:hAnsi="宋体"/>
        </w:rPr>
        <w:t>额定频率：  50Hz</w:t>
      </w:r>
    </w:p>
    <w:p>
      <w:pPr>
        <w:spacing w:line="360" w:lineRule="auto"/>
        <w:ind w:firstLine="420" w:firstLineChars="200"/>
        <w:textAlignment w:val="baseline"/>
        <w:rPr>
          <w:rFonts w:hint="eastAsia" w:ascii="宋体" w:hAnsi="宋体"/>
        </w:rPr>
      </w:pPr>
      <w:r>
        <w:rPr>
          <w:rFonts w:hint="eastAsia" w:ascii="宋体" w:hAnsi="宋体"/>
        </w:rPr>
        <w:t>额定电压有效值：51kV；</w:t>
      </w:r>
    </w:p>
    <w:p>
      <w:pPr>
        <w:spacing w:line="360" w:lineRule="auto"/>
        <w:ind w:firstLine="420" w:firstLineChars="200"/>
        <w:textAlignment w:val="baseline"/>
        <w:rPr>
          <w:rFonts w:hint="eastAsia" w:ascii="宋体" w:hAnsi="宋体"/>
        </w:rPr>
      </w:pPr>
      <w:r>
        <w:rPr>
          <w:rFonts w:hint="eastAsia" w:ascii="宋体" w:hAnsi="宋体"/>
        </w:rPr>
        <w:t xml:space="preserve">持续运行电压：       </w:t>
      </w:r>
      <w:r>
        <w:rPr>
          <w:rFonts w:hint="eastAsia" w:ascii="宋体" w:hAnsi="宋体"/>
        </w:rPr>
        <w:tab/>
      </w:r>
      <w:r>
        <w:rPr>
          <w:rFonts w:hint="eastAsia" w:ascii="宋体" w:hAnsi="宋体"/>
        </w:rPr>
        <w:tab/>
      </w:r>
      <w:r>
        <w:rPr>
          <w:rFonts w:hint="eastAsia" w:ascii="宋体" w:hAnsi="宋体"/>
        </w:rPr>
        <w:t xml:space="preserve">40.8kV </w:t>
      </w:r>
    </w:p>
    <w:p>
      <w:pPr>
        <w:spacing w:line="360" w:lineRule="auto"/>
        <w:ind w:firstLine="420" w:firstLineChars="200"/>
        <w:textAlignment w:val="baseline"/>
        <w:rPr>
          <w:rFonts w:hint="eastAsia" w:ascii="宋体" w:hAnsi="宋体"/>
        </w:rPr>
      </w:pPr>
      <w:r>
        <w:rPr>
          <w:rFonts w:hint="eastAsia" w:ascii="宋体" w:hAnsi="宋体"/>
        </w:rPr>
        <w:t xml:space="preserve">陡波冲击电流残压：   </w:t>
      </w:r>
      <w:r>
        <w:rPr>
          <w:rFonts w:hint="eastAsia" w:ascii="宋体" w:hAnsi="宋体"/>
        </w:rPr>
        <w:tab/>
      </w:r>
      <w:r>
        <w:rPr>
          <w:rFonts w:hint="eastAsia" w:ascii="宋体" w:hAnsi="宋体"/>
        </w:rPr>
        <w:tab/>
      </w:r>
      <w:r>
        <w:rPr>
          <w:rFonts w:hint="eastAsia" w:ascii="宋体" w:hAnsi="宋体"/>
        </w:rPr>
        <w:t xml:space="preserve">≤154kV </w:t>
      </w:r>
    </w:p>
    <w:p>
      <w:pPr>
        <w:spacing w:line="360" w:lineRule="auto"/>
        <w:ind w:firstLine="420" w:firstLineChars="200"/>
        <w:textAlignment w:val="baseline"/>
        <w:rPr>
          <w:rFonts w:hint="eastAsia" w:ascii="宋体" w:hAnsi="宋体"/>
        </w:rPr>
      </w:pPr>
      <w:r>
        <w:rPr>
          <w:rFonts w:hint="eastAsia" w:ascii="宋体" w:hAnsi="宋体"/>
        </w:rPr>
        <w:t>雷电冲击电流残压(峰值)：</w:t>
      </w:r>
      <w:r>
        <w:rPr>
          <w:rFonts w:hint="eastAsia" w:ascii="宋体" w:hAnsi="宋体"/>
        </w:rPr>
        <w:tab/>
      </w:r>
      <w:r>
        <w:rPr>
          <w:rFonts w:hint="eastAsia" w:ascii="宋体" w:hAnsi="宋体"/>
        </w:rPr>
        <w:t>≤134kV</w:t>
      </w:r>
    </w:p>
    <w:p>
      <w:pPr>
        <w:spacing w:line="360" w:lineRule="auto"/>
        <w:ind w:firstLine="420" w:firstLineChars="200"/>
        <w:textAlignment w:val="baseline"/>
        <w:rPr>
          <w:rFonts w:hint="eastAsia" w:ascii="宋体" w:hAnsi="宋体"/>
        </w:rPr>
      </w:pPr>
      <w:r>
        <w:rPr>
          <w:rFonts w:hint="eastAsia" w:ascii="宋体" w:hAnsi="宋体"/>
        </w:rPr>
        <w:t xml:space="preserve">操作冲击电流残压(峰值)：   </w:t>
      </w:r>
      <w:r>
        <w:rPr>
          <w:rFonts w:hint="eastAsia" w:ascii="宋体" w:hAnsi="宋体"/>
        </w:rPr>
        <w:tab/>
      </w:r>
      <w:r>
        <w:rPr>
          <w:rFonts w:hint="eastAsia" w:ascii="宋体" w:hAnsi="宋体"/>
        </w:rPr>
        <w:t xml:space="preserve">≤114kV </w:t>
      </w:r>
    </w:p>
    <w:p>
      <w:pPr>
        <w:spacing w:line="360" w:lineRule="auto"/>
        <w:ind w:firstLine="420" w:firstLineChars="200"/>
        <w:textAlignment w:val="baseline"/>
        <w:rPr>
          <w:rFonts w:hint="eastAsia" w:ascii="宋体" w:hAnsi="宋体"/>
        </w:rPr>
      </w:pPr>
      <w:r>
        <w:rPr>
          <w:rFonts w:hint="eastAsia" w:ascii="宋体" w:hAnsi="宋体"/>
        </w:rPr>
        <w:t>2ms方波通流容量：≧500A</w:t>
      </w:r>
    </w:p>
    <w:p>
      <w:pPr>
        <w:spacing w:line="360" w:lineRule="auto"/>
        <w:ind w:firstLine="420" w:firstLineChars="200"/>
        <w:textAlignment w:val="baseline"/>
        <w:rPr>
          <w:rFonts w:hint="eastAsia" w:ascii="宋体" w:hAnsi="宋体"/>
        </w:rPr>
      </w:pPr>
      <w:r>
        <w:rPr>
          <w:rFonts w:hint="eastAsia" w:ascii="宋体" w:hAnsi="宋体"/>
        </w:rPr>
        <w:t>避雷器在运行中必须接地</w:t>
      </w:r>
    </w:p>
    <w:p>
      <w:pPr>
        <w:spacing w:line="360" w:lineRule="auto"/>
        <w:textAlignment w:val="baseline"/>
        <w:rPr>
          <w:rFonts w:ascii="宋体" w:hAnsi="宋体"/>
        </w:rPr>
      </w:pPr>
      <w:r>
        <w:rPr>
          <w:rFonts w:hint="eastAsia" w:ascii="宋体" w:hAnsi="宋体"/>
        </w:rPr>
        <w:t>3)  性能与结构要求</w:t>
      </w:r>
    </w:p>
    <w:p>
      <w:pPr>
        <w:spacing w:line="360" w:lineRule="auto"/>
        <w:textAlignment w:val="baseline"/>
        <w:rPr>
          <w:rFonts w:ascii="宋体" w:hAnsi="宋体"/>
        </w:rPr>
      </w:pPr>
      <w:r>
        <w:rPr>
          <w:rFonts w:hint="eastAsia" w:ascii="宋体" w:hAnsi="宋体"/>
        </w:rPr>
        <w:t xml:space="preserve">    避雷器接于电容器组的端部。</w:t>
      </w:r>
    </w:p>
    <w:p>
      <w:pPr>
        <w:spacing w:line="360" w:lineRule="auto"/>
        <w:textAlignment w:val="baseline"/>
        <w:rPr>
          <w:rFonts w:ascii="宋体" w:hAnsi="宋体"/>
        </w:rPr>
      </w:pPr>
      <w:r>
        <w:rPr>
          <w:rFonts w:hint="eastAsia" w:ascii="宋体" w:hAnsi="宋体"/>
        </w:rPr>
        <w:t xml:space="preserve">    氧化锌避雷器应采用无间隙结构。</w:t>
      </w:r>
    </w:p>
    <w:p>
      <w:pPr>
        <w:spacing w:line="360" w:lineRule="auto"/>
        <w:textAlignment w:val="baseline"/>
        <w:rPr>
          <w:rFonts w:ascii="宋体" w:hAnsi="宋体"/>
          <w:color w:val="0000FF"/>
        </w:rPr>
      </w:pPr>
      <w:r>
        <w:rPr>
          <w:rFonts w:hint="eastAsia" w:ascii="宋体" w:hAnsi="宋体"/>
        </w:rPr>
        <w:t xml:space="preserve">    绝缘瓷套爬电比距</w:t>
      </w:r>
      <w:r>
        <w:rPr>
          <w:rFonts w:hint="eastAsia" w:ascii="宋体" w:hAnsi="宋体"/>
          <w:color w:val="0000FF"/>
        </w:rPr>
        <w:t>&gt;3.1cm/kV</w:t>
      </w:r>
    </w:p>
    <w:p>
      <w:pPr>
        <w:spacing w:line="360" w:lineRule="auto"/>
        <w:textAlignment w:val="baseline"/>
        <w:rPr>
          <w:rFonts w:ascii="宋体" w:hAnsi="宋体"/>
          <w:b/>
        </w:rPr>
      </w:pPr>
      <w:r>
        <w:rPr>
          <w:rFonts w:hint="eastAsia" w:ascii="宋体" w:hAnsi="宋体"/>
        </w:rPr>
        <w:t xml:space="preserve">    氧化锌避雷器的试验项目、方法、内容及要求按照有关标准。</w:t>
      </w:r>
    </w:p>
    <w:p>
      <w:pPr>
        <w:pStyle w:val="4"/>
        <w:spacing w:before="120" w:after="120"/>
      </w:pPr>
      <w:bookmarkStart w:id="406" w:name="_Toc253650921"/>
      <w:bookmarkStart w:id="407" w:name="_Toc31104"/>
      <w:r>
        <w:rPr>
          <w:rFonts w:hint="eastAsia"/>
        </w:rPr>
        <w:t>3.3.6 35kV支柱绝缘子的主要技术要求</w:t>
      </w:r>
      <w:bookmarkEnd w:id="406"/>
      <w:bookmarkEnd w:id="407"/>
    </w:p>
    <w:p>
      <w:pPr>
        <w:spacing w:line="360" w:lineRule="auto"/>
        <w:ind w:firstLine="420" w:firstLineChars="200"/>
        <w:textAlignment w:val="baseline"/>
        <w:rPr>
          <w:rFonts w:ascii="宋体" w:hAnsi="宋体"/>
        </w:rPr>
      </w:pPr>
      <w:r>
        <w:rPr>
          <w:rFonts w:hint="eastAsia" w:ascii="宋体" w:hAnsi="宋体"/>
        </w:rPr>
        <w:t>1) 支柱绝缘子应能承受电容器成套装置框架机械强度的要求</w:t>
      </w:r>
    </w:p>
    <w:p>
      <w:pPr>
        <w:spacing w:line="360" w:lineRule="auto"/>
        <w:ind w:firstLine="420" w:firstLineChars="200"/>
        <w:textAlignment w:val="baseline"/>
        <w:rPr>
          <w:rFonts w:ascii="宋体" w:hAnsi="宋体"/>
        </w:rPr>
      </w:pPr>
      <w:r>
        <w:rPr>
          <w:rFonts w:hint="eastAsia" w:ascii="宋体" w:hAnsi="宋体"/>
        </w:rPr>
        <w:t>2) 支柱绝缘子爬电比距：</w:t>
      </w:r>
      <w:r>
        <w:rPr>
          <w:rFonts w:hint="eastAsia" w:ascii="宋体" w:hAnsi="宋体"/>
          <w:color w:val="0000FF"/>
        </w:rPr>
        <w:t>&gt;3.1cm/kV</w:t>
      </w:r>
    </w:p>
    <w:p>
      <w:pPr>
        <w:spacing w:line="360" w:lineRule="auto"/>
        <w:ind w:firstLine="420" w:firstLineChars="200"/>
        <w:textAlignment w:val="baseline"/>
        <w:rPr>
          <w:rFonts w:ascii="宋体" w:hAnsi="宋体"/>
        </w:rPr>
      </w:pPr>
      <w:r>
        <w:rPr>
          <w:rFonts w:hint="eastAsia" w:ascii="宋体" w:hAnsi="宋体"/>
        </w:rPr>
        <w:t>3) 绝缘水平：</w:t>
      </w:r>
    </w:p>
    <w:p>
      <w:pPr>
        <w:spacing w:line="360" w:lineRule="auto"/>
        <w:textAlignment w:val="baseline"/>
        <w:rPr>
          <w:rFonts w:ascii="宋体" w:hAnsi="宋体"/>
        </w:rPr>
      </w:pPr>
      <w:r>
        <w:rPr>
          <w:rFonts w:hint="eastAsia" w:ascii="宋体" w:hAnsi="宋体"/>
        </w:rPr>
        <w:t xml:space="preserve">    工频1min    95kV（有效值）</w:t>
      </w:r>
    </w:p>
    <w:p>
      <w:pPr>
        <w:spacing w:line="360" w:lineRule="auto"/>
        <w:textAlignment w:val="baseline"/>
        <w:rPr>
          <w:rFonts w:ascii="宋体" w:hAnsi="宋体"/>
          <w:b/>
        </w:rPr>
      </w:pPr>
      <w:r>
        <w:rPr>
          <w:rFonts w:hint="eastAsia" w:ascii="宋体" w:hAnsi="宋体"/>
        </w:rPr>
        <w:t xml:space="preserve">    雷电冲击     185kV（峰值）</w:t>
      </w:r>
    </w:p>
    <w:p>
      <w:pPr>
        <w:pStyle w:val="4"/>
        <w:spacing w:before="120" w:after="120"/>
      </w:pPr>
      <w:bookmarkStart w:id="408" w:name="_Toc253650922"/>
      <w:bookmarkStart w:id="409" w:name="_Toc1906"/>
      <w:r>
        <w:rPr>
          <w:rFonts w:hint="eastAsia"/>
        </w:rPr>
        <w:t>3.3.7 母线及连接线主要技术要求</w:t>
      </w:r>
      <w:bookmarkEnd w:id="408"/>
      <w:bookmarkEnd w:id="409"/>
    </w:p>
    <w:p>
      <w:pPr>
        <w:spacing w:line="360" w:lineRule="auto"/>
        <w:textAlignment w:val="baseline"/>
        <w:rPr>
          <w:rFonts w:ascii="宋体" w:hAnsi="宋体"/>
        </w:rPr>
      </w:pPr>
      <w:r>
        <w:rPr>
          <w:rFonts w:hint="eastAsia" w:ascii="宋体" w:hAnsi="宋体"/>
        </w:rPr>
        <w:t>1) 主母线</w:t>
      </w:r>
    </w:p>
    <w:p>
      <w:pPr>
        <w:spacing w:line="360" w:lineRule="auto"/>
        <w:textAlignment w:val="baseline"/>
        <w:rPr>
          <w:rFonts w:ascii="宋体" w:hAnsi="宋体"/>
        </w:rPr>
      </w:pPr>
      <w:r>
        <w:rPr>
          <w:rFonts w:hint="eastAsia" w:ascii="宋体" w:hAnsi="宋体"/>
        </w:rPr>
        <w:t xml:space="preserve">    截面：由制造厂配，但其长期允许电流不应小于1.35倍回路工作电流，同时应满足动热稳定要求。</w:t>
      </w:r>
    </w:p>
    <w:p>
      <w:pPr>
        <w:spacing w:line="360" w:lineRule="auto"/>
        <w:ind w:firstLine="465"/>
        <w:textAlignment w:val="baseline"/>
        <w:rPr>
          <w:rFonts w:ascii="宋体" w:hAnsi="宋体"/>
        </w:rPr>
      </w:pPr>
      <w:r>
        <w:rPr>
          <w:rFonts w:hint="eastAsia" w:ascii="宋体" w:hAnsi="宋体"/>
        </w:rPr>
        <w:t>母线应能承受三相短路电流为31.5kA时的动、热稳定要求。</w:t>
      </w:r>
    </w:p>
    <w:p>
      <w:pPr>
        <w:spacing w:line="360" w:lineRule="auto"/>
        <w:textAlignment w:val="baseline"/>
        <w:rPr>
          <w:rFonts w:ascii="宋体" w:hAnsi="宋体"/>
        </w:rPr>
      </w:pPr>
      <w:r>
        <w:rPr>
          <w:rFonts w:hint="eastAsia" w:ascii="宋体" w:hAnsi="宋体"/>
        </w:rPr>
        <w:t>2) 连接线</w:t>
      </w:r>
    </w:p>
    <w:p>
      <w:pPr>
        <w:spacing w:line="360" w:lineRule="auto"/>
        <w:textAlignment w:val="baseline"/>
        <w:rPr>
          <w:rFonts w:ascii="宋体" w:hAnsi="宋体"/>
        </w:rPr>
      </w:pPr>
      <w:r>
        <w:rPr>
          <w:rFonts w:hint="eastAsia" w:ascii="宋体" w:hAnsi="宋体"/>
        </w:rPr>
        <w:t xml:space="preserve">    单台电容器至母线连接线的常期允许电流应不小于1.35倍单台电容器额定电流，同时应满足动热稳定要求。</w:t>
      </w:r>
    </w:p>
    <w:p>
      <w:pPr>
        <w:numPr>
          <w:ilvl w:val="0"/>
          <w:numId w:val="10"/>
        </w:numPr>
        <w:spacing w:line="360" w:lineRule="auto"/>
        <w:textAlignment w:val="baseline"/>
        <w:rPr>
          <w:rFonts w:ascii="宋体" w:hAnsi="宋体"/>
        </w:rPr>
      </w:pPr>
      <w:r>
        <w:rPr>
          <w:rFonts w:hint="eastAsia" w:ascii="宋体" w:hAnsi="宋体"/>
        </w:rPr>
        <w:t>母线支柱绝缘子采用瓷质防污型</w:t>
      </w:r>
    </w:p>
    <w:p>
      <w:pPr>
        <w:spacing w:line="360" w:lineRule="auto"/>
        <w:ind w:firstLine="420" w:firstLineChars="200"/>
        <w:rPr>
          <w:rFonts w:ascii="宋体" w:hAnsi="宋体"/>
        </w:rPr>
      </w:pPr>
      <w:r>
        <w:rPr>
          <w:rFonts w:hint="eastAsia" w:ascii="宋体" w:hAnsi="宋体"/>
        </w:rPr>
        <w:t>成套装置内部连接的一次,二次电缆由投标方提供,35kV开关柜到成套装置的高压电缆由招标方提供。</w:t>
      </w:r>
    </w:p>
    <w:p>
      <w:pPr>
        <w:pStyle w:val="4"/>
        <w:spacing w:before="120" w:after="120"/>
      </w:pPr>
      <w:bookmarkStart w:id="410" w:name="_Toc26462"/>
      <w:r>
        <w:rPr>
          <w:rFonts w:hint="eastAsia"/>
        </w:rPr>
        <w:t>3.3.8 其他要求</w:t>
      </w:r>
      <w:bookmarkEnd w:id="410"/>
    </w:p>
    <w:p>
      <w:pPr>
        <w:spacing w:line="360" w:lineRule="auto"/>
        <w:textAlignment w:val="baseline"/>
        <w:rPr>
          <w:rFonts w:ascii="宋体" w:hAnsi="宋体"/>
        </w:rPr>
      </w:pPr>
      <w:r>
        <w:rPr>
          <w:rFonts w:hint="eastAsia" w:ascii="宋体" w:hAnsi="宋体"/>
        </w:rPr>
        <w:t>3.3.8.1  提供用于安装每组装置的热镀锌钢支架、喷塑围栏（网门高由设计院确认）及配套的防腐螺栓、螺母和垫圈（达克罗技术）。成套装置应能牢固地安装在混凝土基础上，与之配套的支持绝缘子亦应满足相应的机械要求。</w:t>
      </w:r>
    </w:p>
    <w:p>
      <w:pPr>
        <w:spacing w:line="360" w:lineRule="auto"/>
        <w:textAlignment w:val="baseline"/>
        <w:rPr>
          <w:rFonts w:ascii="宋体" w:hAnsi="宋体"/>
        </w:rPr>
      </w:pPr>
      <w:r>
        <w:rPr>
          <w:rFonts w:hint="eastAsia" w:ascii="宋体" w:hAnsi="宋体"/>
        </w:rPr>
        <w:t>3.3.8.2  主接线端子板的允许的静态机械荷载不得小于下列要求值，其安全系数不应小于2.75。</w:t>
      </w:r>
    </w:p>
    <w:p>
      <w:pPr>
        <w:spacing w:line="360" w:lineRule="auto"/>
        <w:textAlignment w:val="baseline"/>
        <w:rPr>
          <w:rFonts w:ascii="宋体" w:hAnsi="宋体"/>
        </w:rPr>
      </w:pPr>
      <w:r>
        <w:rPr>
          <w:rFonts w:hint="eastAsia" w:ascii="宋体" w:hAnsi="宋体"/>
        </w:rPr>
        <w:t xml:space="preserve">    纵向水平：  1500N</w:t>
      </w:r>
    </w:p>
    <w:p>
      <w:pPr>
        <w:spacing w:line="360" w:lineRule="auto"/>
        <w:textAlignment w:val="baseline"/>
        <w:rPr>
          <w:rFonts w:ascii="宋体" w:hAnsi="宋体"/>
        </w:rPr>
      </w:pPr>
      <w:r>
        <w:rPr>
          <w:rFonts w:hint="eastAsia" w:ascii="宋体" w:hAnsi="宋体"/>
        </w:rPr>
        <w:t xml:space="preserve">    垂直方向：  1000N</w:t>
      </w:r>
    </w:p>
    <w:p>
      <w:pPr>
        <w:spacing w:line="360" w:lineRule="auto"/>
        <w:textAlignment w:val="baseline"/>
        <w:rPr>
          <w:rFonts w:ascii="宋体" w:hAnsi="宋体"/>
          <w:color w:val="FF0000"/>
        </w:rPr>
      </w:pPr>
      <w:r>
        <w:rPr>
          <w:rFonts w:hint="eastAsia" w:ascii="宋体" w:hAnsi="宋体"/>
        </w:rPr>
        <w:t xml:space="preserve">    水平横向：  1000N</w:t>
      </w:r>
    </w:p>
    <w:p>
      <w:pPr>
        <w:spacing w:line="360" w:lineRule="auto"/>
        <w:textAlignment w:val="baseline"/>
        <w:rPr>
          <w:rFonts w:ascii="宋体" w:hAnsi="宋体"/>
        </w:rPr>
      </w:pPr>
      <w:r>
        <w:rPr>
          <w:rFonts w:hint="eastAsia" w:ascii="宋体" w:hAnsi="宋体"/>
        </w:rPr>
        <w:t>3.3.8.3  组装好的成套装置应能耐受下列持续组合荷载和短时组合荷载。组合荷载是各荷载分量的向量和。</w:t>
      </w:r>
    </w:p>
    <w:p>
      <w:pPr>
        <w:spacing w:line="360" w:lineRule="auto"/>
        <w:textAlignment w:val="baseline"/>
        <w:rPr>
          <w:rFonts w:ascii="宋体" w:hAnsi="宋体"/>
        </w:rPr>
      </w:pPr>
      <w:r>
        <w:rPr>
          <w:rFonts w:hint="eastAsia" w:ascii="宋体" w:hAnsi="宋体"/>
        </w:rPr>
        <w:t>3.3.8.4 同时作用的持续组合荷载包括：</w:t>
      </w:r>
    </w:p>
    <w:p>
      <w:pPr>
        <w:spacing w:line="360" w:lineRule="auto"/>
        <w:ind w:firstLine="315" w:firstLineChars="150"/>
        <w:textAlignment w:val="baseline"/>
        <w:rPr>
          <w:rFonts w:ascii="宋体" w:hAnsi="宋体"/>
        </w:rPr>
      </w:pPr>
      <w:r>
        <w:rPr>
          <w:rFonts w:hint="eastAsia" w:ascii="宋体" w:hAnsi="宋体"/>
        </w:rPr>
        <w:t>（1）主接线端子板的轴向水平荷载；</w:t>
      </w:r>
    </w:p>
    <w:p>
      <w:pPr>
        <w:spacing w:line="360" w:lineRule="auto"/>
        <w:ind w:firstLine="315" w:firstLineChars="150"/>
        <w:textAlignment w:val="baseline"/>
        <w:rPr>
          <w:rFonts w:ascii="宋体" w:hAnsi="宋体"/>
        </w:rPr>
      </w:pPr>
      <w:r>
        <w:rPr>
          <w:rFonts w:hint="eastAsia" w:ascii="宋体" w:hAnsi="宋体"/>
        </w:rPr>
        <w:t>（2）设备自重；</w:t>
      </w:r>
    </w:p>
    <w:p>
      <w:pPr>
        <w:spacing w:line="360" w:lineRule="auto"/>
        <w:ind w:firstLine="315" w:firstLineChars="150"/>
        <w:textAlignment w:val="baseline"/>
        <w:rPr>
          <w:rFonts w:ascii="宋体" w:hAnsi="宋体"/>
        </w:rPr>
      </w:pPr>
      <w:r>
        <w:rPr>
          <w:rFonts w:hint="eastAsia" w:ascii="宋体" w:hAnsi="宋体"/>
        </w:rPr>
        <w:t>（3）本规范规定的主接线端子板的垂直荷载；</w:t>
      </w:r>
    </w:p>
    <w:p>
      <w:pPr>
        <w:spacing w:line="360" w:lineRule="auto"/>
        <w:ind w:firstLine="315" w:firstLineChars="150"/>
        <w:textAlignment w:val="baseline"/>
        <w:rPr>
          <w:rFonts w:ascii="宋体" w:hAnsi="宋体"/>
        </w:rPr>
      </w:pPr>
      <w:r>
        <w:rPr>
          <w:rFonts w:hint="eastAsia" w:ascii="宋体" w:hAnsi="宋体"/>
        </w:rPr>
        <w:t>（4）设备最大风荷载</w:t>
      </w:r>
    </w:p>
    <w:p>
      <w:pPr>
        <w:spacing w:line="360" w:lineRule="auto"/>
        <w:ind w:firstLine="315" w:firstLineChars="150"/>
        <w:textAlignment w:val="baseline"/>
        <w:rPr>
          <w:rFonts w:ascii="宋体" w:hAnsi="宋体"/>
        </w:rPr>
      </w:pPr>
      <w:r>
        <w:rPr>
          <w:rFonts w:hint="eastAsia" w:ascii="宋体" w:hAnsi="宋体"/>
        </w:rPr>
        <w:t>（5）主接线端子板的横向水平荷载。承受持续组合荷载的安全系数应不小于2.5。</w:t>
      </w:r>
    </w:p>
    <w:p>
      <w:pPr>
        <w:spacing w:line="360" w:lineRule="auto"/>
        <w:textAlignment w:val="baseline"/>
        <w:rPr>
          <w:rFonts w:ascii="宋体" w:hAnsi="宋体"/>
        </w:rPr>
      </w:pPr>
      <w:r>
        <w:rPr>
          <w:rFonts w:hint="eastAsia" w:ascii="宋体" w:hAnsi="宋体"/>
        </w:rPr>
        <w:t>3.3.8.5 同时作用的短时组合荷载包括：</w:t>
      </w:r>
    </w:p>
    <w:p>
      <w:pPr>
        <w:spacing w:line="360" w:lineRule="auto"/>
        <w:ind w:firstLine="315" w:firstLineChars="150"/>
        <w:textAlignment w:val="baseline"/>
        <w:rPr>
          <w:rFonts w:ascii="宋体" w:hAnsi="宋体"/>
        </w:rPr>
      </w:pPr>
      <w:r>
        <w:rPr>
          <w:rFonts w:hint="eastAsia" w:ascii="宋体" w:hAnsi="宋体"/>
        </w:rPr>
        <w:t>（1）条规定的主接线端子板的轴向水平荷载；</w:t>
      </w:r>
    </w:p>
    <w:p>
      <w:pPr>
        <w:spacing w:line="360" w:lineRule="auto"/>
        <w:ind w:firstLine="315" w:firstLineChars="150"/>
        <w:textAlignment w:val="baseline"/>
        <w:rPr>
          <w:rFonts w:ascii="宋体" w:hAnsi="宋体"/>
        </w:rPr>
      </w:pPr>
      <w:r>
        <w:rPr>
          <w:rFonts w:hint="eastAsia" w:ascii="宋体" w:hAnsi="宋体"/>
        </w:rPr>
        <w:t>（2）地震引起的设备动态受力；</w:t>
      </w:r>
    </w:p>
    <w:p>
      <w:pPr>
        <w:spacing w:line="360" w:lineRule="auto"/>
        <w:ind w:firstLine="315" w:firstLineChars="150"/>
        <w:textAlignment w:val="baseline"/>
        <w:rPr>
          <w:rFonts w:ascii="宋体" w:hAnsi="宋体"/>
        </w:rPr>
      </w:pPr>
      <w:r>
        <w:rPr>
          <w:rFonts w:hint="eastAsia" w:ascii="宋体" w:hAnsi="宋体"/>
        </w:rPr>
        <w:t>（3）设备25％最大风荷载</w:t>
      </w:r>
    </w:p>
    <w:p>
      <w:pPr>
        <w:spacing w:line="360" w:lineRule="auto"/>
        <w:ind w:firstLine="315" w:firstLineChars="150"/>
        <w:textAlignment w:val="baseline"/>
        <w:rPr>
          <w:rFonts w:ascii="宋体" w:hAnsi="宋体"/>
        </w:rPr>
      </w:pPr>
      <w:r>
        <w:rPr>
          <w:rFonts w:hint="eastAsia" w:ascii="宋体" w:hAnsi="宋体"/>
        </w:rPr>
        <w:t>（4）主接线端子板的25％横向水平荷载；承受短时组合荷载时的安全系数应不小于1.67。</w:t>
      </w:r>
    </w:p>
    <w:p>
      <w:pPr>
        <w:spacing w:line="360" w:lineRule="auto"/>
        <w:textAlignment w:val="baseline"/>
        <w:rPr>
          <w:rFonts w:ascii="宋体" w:hAnsi="宋体"/>
        </w:rPr>
      </w:pPr>
      <w:r>
        <w:rPr>
          <w:rFonts w:hint="eastAsia" w:ascii="宋体" w:hAnsi="宋体"/>
        </w:rPr>
        <w:t>3.3.8.6 设备瓷套颜色：</w:t>
      </w:r>
      <w:r>
        <w:rPr>
          <w:rFonts w:hint="eastAsia" w:hAnsi="宋体"/>
        </w:rPr>
        <w:t>成套设备瓷套颜色统一，按实际到货颜色</w:t>
      </w:r>
      <w:r>
        <w:rPr>
          <w:rFonts w:hint="eastAsia" w:ascii="宋体" w:hAnsi="宋体"/>
        </w:rPr>
        <w:t>。</w:t>
      </w:r>
    </w:p>
    <w:p>
      <w:pPr>
        <w:spacing w:line="360" w:lineRule="auto"/>
        <w:rPr>
          <w:rFonts w:hAnsi="宋体"/>
        </w:rPr>
      </w:pPr>
      <w:r>
        <w:rPr>
          <w:rFonts w:hint="eastAsia" w:ascii="宋体" w:hAnsi="宋体"/>
        </w:rPr>
        <w:t>3.3.8.7 成套装置的螺栓、螺母及垫圈进行防腐（达克罗技术）处理。</w:t>
      </w:r>
    </w:p>
    <w:p>
      <w:pPr>
        <w:spacing w:line="360" w:lineRule="auto"/>
        <w:ind w:firstLine="420" w:firstLineChars="200"/>
        <w:rPr>
          <w:rFonts w:ascii="宋体" w:hAnsi="宋体"/>
        </w:rPr>
      </w:pPr>
    </w:p>
    <w:p>
      <w:pPr>
        <w:pStyle w:val="3"/>
        <w:keepNext/>
        <w:keepLines/>
        <w:numPr>
          <w:ilvl w:val="0"/>
          <w:numId w:val="0"/>
        </w:numPr>
        <w:spacing w:beforeLines="0" w:afterLines="0" w:line="360" w:lineRule="auto"/>
        <w:rPr>
          <w:rFonts w:ascii="宋体" w:hAnsi="宋体"/>
          <w:color w:val="auto"/>
          <w:sz w:val="24"/>
          <w:szCs w:val="20"/>
        </w:rPr>
      </w:pPr>
      <w:bookmarkStart w:id="411" w:name="_Toc10883"/>
      <w:bookmarkStart w:id="412" w:name="_Toc27127618"/>
      <w:r>
        <w:rPr>
          <w:rFonts w:hint="eastAsia" w:ascii="宋体" w:hAnsi="宋体"/>
          <w:color w:val="auto"/>
          <w:sz w:val="24"/>
          <w:szCs w:val="20"/>
        </w:rPr>
        <w:t xml:space="preserve">3.4 </w:t>
      </w:r>
      <w:r>
        <w:rPr>
          <w:rFonts w:ascii="宋体" w:hAnsi="宋体"/>
          <w:color w:val="auto"/>
          <w:sz w:val="24"/>
          <w:szCs w:val="20"/>
        </w:rPr>
        <w:t>性能</w:t>
      </w:r>
      <w:r>
        <w:rPr>
          <w:rFonts w:hint="eastAsia" w:ascii="宋体" w:hAnsi="宋体"/>
          <w:color w:val="auto"/>
          <w:sz w:val="24"/>
          <w:szCs w:val="20"/>
        </w:rPr>
        <w:t>要求</w:t>
      </w:r>
      <w:bookmarkEnd w:id="411"/>
      <w:bookmarkEnd w:id="412"/>
    </w:p>
    <w:p>
      <w:pPr>
        <w:pStyle w:val="13"/>
        <w:adjustRightInd w:val="0"/>
        <w:snapToGrid w:val="0"/>
        <w:spacing w:line="360" w:lineRule="auto"/>
        <w:ind w:firstLine="480" w:firstLineChars="200"/>
        <w:rPr>
          <w:rFonts w:hAnsi="宋体"/>
          <w:color w:val="000000"/>
          <w:sz w:val="24"/>
        </w:rPr>
      </w:pPr>
      <w:r>
        <w:rPr>
          <w:rFonts w:hint="eastAsia" w:hAnsi="宋体"/>
          <w:color w:val="000000"/>
          <w:sz w:val="24"/>
        </w:rPr>
        <w:t>成套装置的工作性能、使用寿命应满足光伏电站运行条件，运行环境、运行工况等使用要求。</w:t>
      </w:r>
    </w:p>
    <w:p>
      <w:pPr>
        <w:pStyle w:val="13"/>
        <w:adjustRightInd w:val="0"/>
        <w:snapToGrid w:val="0"/>
        <w:spacing w:line="360" w:lineRule="auto"/>
        <w:rPr>
          <w:rFonts w:hAnsi="宋体"/>
          <w:color w:val="000000"/>
          <w:sz w:val="24"/>
        </w:rPr>
      </w:pPr>
      <w:r>
        <w:rPr>
          <w:rFonts w:hint="eastAsia" w:hAnsi="宋体"/>
          <w:color w:val="000000"/>
          <w:sz w:val="24"/>
        </w:rPr>
        <w:t>3.4.1 成套装置应能动态跟踪电网电能质量变化，并根据变化情况动态调节无功输出，以满足各个工况下电网对光伏电站无功补偿调节的要求。</w:t>
      </w:r>
    </w:p>
    <w:p>
      <w:pPr>
        <w:pStyle w:val="13"/>
        <w:adjustRightInd w:val="0"/>
        <w:snapToGrid w:val="0"/>
        <w:spacing w:line="360" w:lineRule="auto"/>
        <w:rPr>
          <w:rFonts w:hAnsi="宋体"/>
          <w:color w:val="000000"/>
          <w:sz w:val="24"/>
        </w:rPr>
      </w:pPr>
      <w:r>
        <w:rPr>
          <w:rFonts w:hint="eastAsia" w:hAnsi="宋体"/>
          <w:color w:val="000000"/>
          <w:sz w:val="24"/>
        </w:rPr>
        <w:t>3.4.2 成套装置在不同组合投切下，不得引起高次谐波谐振及有危害的谐波放大。</w:t>
      </w:r>
    </w:p>
    <w:p>
      <w:pPr>
        <w:pStyle w:val="13"/>
        <w:adjustRightInd w:val="0"/>
        <w:snapToGrid w:val="0"/>
        <w:spacing w:line="360" w:lineRule="auto"/>
        <w:rPr>
          <w:rFonts w:hAnsi="宋体"/>
          <w:color w:val="000000"/>
          <w:sz w:val="24"/>
        </w:rPr>
      </w:pPr>
      <w:r>
        <w:rPr>
          <w:rFonts w:hint="eastAsia" w:hAnsi="宋体"/>
          <w:color w:val="000000"/>
          <w:sz w:val="24"/>
        </w:rPr>
        <w:t>3.4.3 成套装置在不同组合投切下，应能够充分避免投切震荡。不应出现误投、误切等误动行为。</w:t>
      </w:r>
    </w:p>
    <w:p>
      <w:pPr>
        <w:pStyle w:val="13"/>
        <w:adjustRightInd w:val="0"/>
        <w:snapToGrid w:val="0"/>
        <w:spacing w:line="360" w:lineRule="auto"/>
        <w:rPr>
          <w:rFonts w:hAnsi="宋体"/>
          <w:color w:val="000000"/>
          <w:sz w:val="24"/>
        </w:rPr>
      </w:pPr>
      <w:r>
        <w:rPr>
          <w:rFonts w:hint="eastAsia" w:hAnsi="宋体"/>
          <w:color w:val="000000"/>
          <w:sz w:val="24"/>
        </w:rPr>
        <w:t>3.4.4 成套装置投切设备为真空断路器，投切成套装置时，成套装置的工况应能保证断路器装置安全投切。</w:t>
      </w:r>
    </w:p>
    <w:p>
      <w:pPr>
        <w:pStyle w:val="13"/>
        <w:adjustRightInd w:val="0"/>
        <w:snapToGrid w:val="0"/>
        <w:spacing w:line="360" w:lineRule="auto"/>
        <w:rPr>
          <w:rFonts w:hAnsi="宋体"/>
          <w:color w:val="000000"/>
          <w:sz w:val="24"/>
        </w:rPr>
      </w:pPr>
      <w:r>
        <w:rPr>
          <w:rFonts w:hint="eastAsia" w:hAnsi="宋体"/>
          <w:color w:val="000000"/>
          <w:sz w:val="24"/>
        </w:rPr>
        <w:t>3.4.5 成套装置应能实现自动检测、远方手动投切和现场手动投切，各种方式之间有可靠的闭锁，防止发生事故。检测、控制均可实现完全自动可实现无人值守。</w:t>
      </w:r>
    </w:p>
    <w:p>
      <w:pPr>
        <w:pStyle w:val="3"/>
        <w:keepNext/>
        <w:keepLines/>
        <w:numPr>
          <w:ilvl w:val="0"/>
          <w:numId w:val="0"/>
        </w:numPr>
        <w:spacing w:beforeLines="0" w:afterLines="0" w:line="360" w:lineRule="auto"/>
        <w:rPr>
          <w:rFonts w:ascii="宋体" w:hAnsi="宋体"/>
          <w:color w:val="auto"/>
          <w:sz w:val="24"/>
          <w:szCs w:val="20"/>
        </w:rPr>
      </w:pPr>
      <w:bookmarkStart w:id="413" w:name="_Toc30665"/>
      <w:bookmarkStart w:id="414" w:name="_Toc27127619"/>
      <w:r>
        <w:rPr>
          <w:rFonts w:hint="eastAsia" w:ascii="宋体" w:hAnsi="宋体"/>
          <w:color w:val="auto"/>
          <w:sz w:val="24"/>
          <w:szCs w:val="20"/>
        </w:rPr>
        <w:t>3.5 成套装置功能</w:t>
      </w:r>
      <w:bookmarkEnd w:id="413"/>
      <w:bookmarkEnd w:id="414"/>
    </w:p>
    <w:p>
      <w:pPr>
        <w:pStyle w:val="13"/>
        <w:adjustRightInd w:val="0"/>
        <w:snapToGrid w:val="0"/>
        <w:spacing w:line="360" w:lineRule="auto"/>
        <w:rPr>
          <w:rFonts w:hAnsi="宋体"/>
          <w:color w:val="000000"/>
          <w:sz w:val="24"/>
        </w:rPr>
      </w:pPr>
      <w:r>
        <w:rPr>
          <w:rFonts w:hint="eastAsia" w:hAnsi="宋体"/>
          <w:color w:val="000000"/>
          <w:sz w:val="24"/>
        </w:rPr>
        <w:t>3.5.1 现场参数设置功能</w:t>
      </w:r>
    </w:p>
    <w:p>
      <w:pPr>
        <w:pStyle w:val="13"/>
        <w:adjustRightInd w:val="0"/>
        <w:snapToGrid w:val="0"/>
        <w:spacing w:line="360" w:lineRule="auto"/>
        <w:ind w:firstLine="480" w:firstLineChars="200"/>
        <w:rPr>
          <w:rFonts w:hAnsi="宋体"/>
          <w:color w:val="000000"/>
          <w:sz w:val="24"/>
        </w:rPr>
      </w:pPr>
      <w:r>
        <w:rPr>
          <w:rFonts w:hint="eastAsia" w:hAnsi="宋体"/>
          <w:color w:val="000000"/>
          <w:sz w:val="24"/>
        </w:rPr>
        <w:t>具有供值班员使用的参数设置功能，所有设置的内容可保存十年以上而不丢失，不受停电和干扰信号的影响；</w:t>
      </w:r>
    </w:p>
    <w:p>
      <w:pPr>
        <w:pStyle w:val="13"/>
        <w:adjustRightInd w:val="0"/>
        <w:snapToGrid w:val="0"/>
        <w:spacing w:line="360" w:lineRule="auto"/>
        <w:rPr>
          <w:rFonts w:hAnsi="宋体"/>
          <w:color w:val="000000"/>
          <w:sz w:val="24"/>
        </w:rPr>
      </w:pPr>
      <w:r>
        <w:rPr>
          <w:rFonts w:hint="eastAsia" w:hAnsi="宋体"/>
          <w:color w:val="000000"/>
          <w:sz w:val="24"/>
        </w:rPr>
        <w:t>3.5.2  显示功能</w:t>
      </w:r>
    </w:p>
    <w:p>
      <w:pPr>
        <w:pStyle w:val="13"/>
        <w:adjustRightInd w:val="0"/>
        <w:snapToGrid w:val="0"/>
        <w:spacing w:line="360" w:lineRule="auto"/>
        <w:ind w:firstLine="480" w:firstLineChars="200"/>
        <w:rPr>
          <w:rFonts w:hAnsi="宋体"/>
          <w:color w:val="000000"/>
          <w:sz w:val="24"/>
        </w:rPr>
      </w:pPr>
      <w:r>
        <w:rPr>
          <w:rFonts w:hAnsi="宋体"/>
          <w:color w:val="000000"/>
          <w:sz w:val="24"/>
        </w:rPr>
        <w:t>控制器应采用液晶显示器，具有友好的人机界面，数据保存6个月以上。可提供如下功能：</w:t>
      </w:r>
    </w:p>
    <w:p>
      <w:pPr>
        <w:pStyle w:val="13"/>
        <w:adjustRightInd w:val="0"/>
        <w:snapToGrid w:val="0"/>
        <w:spacing w:line="360" w:lineRule="auto"/>
        <w:ind w:firstLine="480" w:firstLineChars="200"/>
        <w:rPr>
          <w:rFonts w:hAnsi="宋体"/>
          <w:color w:val="000000"/>
          <w:sz w:val="24"/>
        </w:rPr>
      </w:pPr>
      <w:r>
        <w:rPr>
          <w:rFonts w:hAnsi="宋体"/>
          <w:color w:val="000000"/>
          <w:sz w:val="24"/>
        </w:rPr>
        <w:t>实时电量参数显示（电压、电流、功率因数等）</w:t>
      </w:r>
    </w:p>
    <w:p>
      <w:pPr>
        <w:pStyle w:val="13"/>
        <w:adjustRightInd w:val="0"/>
        <w:snapToGrid w:val="0"/>
        <w:spacing w:line="360" w:lineRule="auto"/>
        <w:ind w:firstLine="480" w:firstLineChars="200"/>
        <w:rPr>
          <w:rFonts w:hAnsi="宋体"/>
          <w:color w:val="000000"/>
          <w:sz w:val="24"/>
        </w:rPr>
      </w:pPr>
      <w:r>
        <w:rPr>
          <w:rFonts w:hAnsi="宋体"/>
          <w:color w:val="000000"/>
          <w:sz w:val="24"/>
        </w:rPr>
        <w:t>历史事件记录</w:t>
      </w:r>
    </w:p>
    <w:p>
      <w:pPr>
        <w:pStyle w:val="13"/>
        <w:adjustRightInd w:val="0"/>
        <w:snapToGrid w:val="0"/>
        <w:spacing w:line="360" w:lineRule="auto"/>
        <w:ind w:firstLine="480" w:firstLineChars="200"/>
        <w:rPr>
          <w:rFonts w:hAnsi="宋体"/>
          <w:color w:val="000000"/>
          <w:sz w:val="24"/>
        </w:rPr>
      </w:pPr>
      <w:r>
        <w:rPr>
          <w:rFonts w:hAnsi="宋体"/>
          <w:color w:val="000000"/>
          <w:sz w:val="24"/>
        </w:rPr>
        <w:t>链式装置单元状态监视</w:t>
      </w:r>
    </w:p>
    <w:p>
      <w:pPr>
        <w:pStyle w:val="13"/>
        <w:adjustRightInd w:val="0"/>
        <w:snapToGrid w:val="0"/>
        <w:spacing w:line="360" w:lineRule="auto"/>
        <w:ind w:firstLine="480" w:firstLineChars="200"/>
        <w:rPr>
          <w:rFonts w:hAnsi="宋体"/>
          <w:color w:val="000000"/>
          <w:sz w:val="24"/>
        </w:rPr>
      </w:pPr>
      <w:r>
        <w:rPr>
          <w:rFonts w:hAnsi="宋体"/>
          <w:color w:val="000000"/>
          <w:sz w:val="24"/>
        </w:rPr>
        <w:t>显示当前时间、保护动作时间，显示保护类型、保护动作时间等信息</w:t>
      </w:r>
    </w:p>
    <w:p>
      <w:pPr>
        <w:pStyle w:val="13"/>
        <w:adjustRightInd w:val="0"/>
        <w:snapToGrid w:val="0"/>
        <w:spacing w:line="360" w:lineRule="auto"/>
        <w:rPr>
          <w:rFonts w:hAnsi="宋体"/>
          <w:color w:val="000000"/>
          <w:sz w:val="24"/>
        </w:rPr>
      </w:pPr>
      <w:r>
        <w:rPr>
          <w:rFonts w:hint="eastAsia" w:hAnsi="宋体"/>
          <w:color w:val="000000"/>
          <w:sz w:val="24"/>
        </w:rPr>
        <w:t>3.5.3  事件顺序记录</w:t>
      </w:r>
    </w:p>
    <w:p>
      <w:pPr>
        <w:pStyle w:val="13"/>
        <w:adjustRightInd w:val="0"/>
        <w:snapToGrid w:val="0"/>
        <w:spacing w:line="360" w:lineRule="auto"/>
        <w:ind w:firstLine="480" w:firstLineChars="200"/>
        <w:rPr>
          <w:rFonts w:hAnsi="宋体"/>
          <w:color w:val="000000"/>
          <w:sz w:val="24"/>
        </w:rPr>
      </w:pPr>
      <w:r>
        <w:rPr>
          <w:rFonts w:hint="eastAsia" w:hAnsi="宋体"/>
          <w:color w:val="000000"/>
          <w:sz w:val="24"/>
        </w:rPr>
        <w:t>当各类保护动作或监视的状态发生变化时，控制器将自动记录事件发生的类型、相别及动作值，事件按顺序记录，可通过液晶进行查询，并以通讯方式远传。动作次数可永久保存，即使掉电也不丢失。事件的清除靠液晶菜单中的“信号复归”完成。</w:t>
      </w:r>
    </w:p>
    <w:p>
      <w:pPr>
        <w:pStyle w:val="13"/>
        <w:adjustRightInd w:val="0"/>
        <w:snapToGrid w:val="0"/>
        <w:spacing w:line="360" w:lineRule="auto"/>
        <w:rPr>
          <w:rFonts w:hAnsi="宋体"/>
          <w:color w:val="000000"/>
          <w:sz w:val="24"/>
        </w:rPr>
      </w:pPr>
      <w:r>
        <w:rPr>
          <w:rFonts w:hint="eastAsia" w:hAnsi="宋体"/>
          <w:color w:val="000000"/>
          <w:sz w:val="24"/>
        </w:rPr>
        <w:t>3.5.4 电容器保护功能</w:t>
      </w:r>
    </w:p>
    <w:p>
      <w:pPr>
        <w:pStyle w:val="13"/>
        <w:adjustRightInd w:val="0"/>
        <w:snapToGrid w:val="0"/>
        <w:spacing w:line="360" w:lineRule="auto"/>
        <w:ind w:firstLine="480" w:firstLineChars="200"/>
        <w:rPr>
          <w:rFonts w:hAnsi="宋体"/>
          <w:color w:val="000000"/>
          <w:sz w:val="24"/>
        </w:rPr>
      </w:pPr>
      <w:r>
        <w:rPr>
          <w:rFonts w:hint="eastAsia" w:hAnsi="宋体"/>
          <w:color w:val="000000"/>
          <w:sz w:val="24"/>
        </w:rPr>
        <w:t>根据电容器不同的接线方式，电容器成套装置可以向综自提供开口三角电压保护、相电压差动保护、桥式差电流保护，中性点不平衡电流保护的接口，本次提供电压差动保护，并由综合自动保护单元实现保护功能。</w:t>
      </w:r>
    </w:p>
    <w:p>
      <w:pPr>
        <w:pStyle w:val="13"/>
        <w:adjustRightInd w:val="0"/>
        <w:snapToGrid w:val="0"/>
        <w:spacing w:line="360" w:lineRule="auto"/>
        <w:rPr>
          <w:rFonts w:hAnsi="宋体"/>
          <w:color w:val="000000"/>
          <w:sz w:val="24"/>
        </w:rPr>
      </w:pPr>
      <w:r>
        <w:rPr>
          <w:rFonts w:hint="eastAsia" w:hAnsi="宋体"/>
          <w:color w:val="000000"/>
          <w:sz w:val="24"/>
        </w:rPr>
        <w:t>3.5.5 当SVG发生故障时，SVG自动调节至最小容量，并发出报警信息，但不影响电容器组的正常运行。</w:t>
      </w:r>
    </w:p>
    <w:p>
      <w:pPr>
        <w:pStyle w:val="13"/>
        <w:adjustRightInd w:val="0"/>
        <w:snapToGrid w:val="0"/>
        <w:spacing w:line="360" w:lineRule="auto"/>
        <w:rPr>
          <w:rFonts w:hAnsi="宋体"/>
          <w:color w:val="000000"/>
          <w:sz w:val="24"/>
        </w:rPr>
      </w:pPr>
      <w:r>
        <w:rPr>
          <w:rFonts w:hint="eastAsia" w:hAnsi="宋体"/>
          <w:color w:val="000000"/>
          <w:sz w:val="24"/>
        </w:rPr>
        <w:t>3.5.6 控制性能</w:t>
      </w:r>
    </w:p>
    <w:p>
      <w:pPr>
        <w:pStyle w:val="13"/>
        <w:adjustRightInd w:val="0"/>
        <w:snapToGrid w:val="0"/>
        <w:spacing w:line="360" w:lineRule="auto"/>
        <w:ind w:firstLine="480" w:firstLineChars="200"/>
        <w:rPr>
          <w:rFonts w:hAnsi="宋体"/>
          <w:color w:val="000000"/>
          <w:sz w:val="24"/>
        </w:rPr>
      </w:pPr>
      <w:r>
        <w:rPr>
          <w:rFonts w:hint="eastAsia" w:hAnsi="宋体"/>
          <w:color w:val="000000"/>
          <w:sz w:val="24"/>
        </w:rPr>
        <w:t>电网控制策略有两种方案：</w:t>
      </w:r>
    </w:p>
    <w:p>
      <w:pPr>
        <w:pStyle w:val="13"/>
        <w:adjustRightInd w:val="0"/>
        <w:snapToGrid w:val="0"/>
        <w:spacing w:line="360" w:lineRule="auto"/>
        <w:ind w:firstLine="480" w:firstLineChars="200"/>
        <w:rPr>
          <w:rFonts w:hAnsi="宋体"/>
          <w:color w:val="000000"/>
          <w:sz w:val="24"/>
        </w:rPr>
      </w:pPr>
      <w:r>
        <w:rPr>
          <w:rFonts w:hint="eastAsia" w:hAnsi="宋体"/>
          <w:color w:val="000000"/>
          <w:sz w:val="24"/>
        </w:rPr>
        <w:t>1 220kV关口点功率因数为1；</w:t>
      </w:r>
    </w:p>
    <w:p>
      <w:pPr>
        <w:pStyle w:val="13"/>
        <w:adjustRightInd w:val="0"/>
        <w:snapToGrid w:val="0"/>
        <w:spacing w:line="360" w:lineRule="auto"/>
        <w:ind w:firstLine="480" w:firstLineChars="200"/>
        <w:rPr>
          <w:rFonts w:hAnsi="宋体"/>
          <w:color w:val="000000"/>
          <w:sz w:val="24"/>
        </w:rPr>
      </w:pPr>
      <w:r>
        <w:rPr>
          <w:rFonts w:hint="eastAsia" w:hAnsi="宋体"/>
          <w:color w:val="000000"/>
          <w:sz w:val="24"/>
        </w:rPr>
        <w:t>2 以220kV母线电压为控制目标。</w:t>
      </w:r>
    </w:p>
    <w:p>
      <w:pPr>
        <w:pStyle w:val="13"/>
        <w:adjustRightInd w:val="0"/>
        <w:snapToGrid w:val="0"/>
        <w:spacing w:line="360" w:lineRule="auto"/>
        <w:ind w:firstLine="480" w:firstLineChars="200"/>
        <w:rPr>
          <w:rFonts w:hAnsi="宋体"/>
          <w:color w:val="000000"/>
          <w:sz w:val="24"/>
        </w:rPr>
      </w:pPr>
      <w:r>
        <w:rPr>
          <w:rFonts w:hint="eastAsia" w:hAnsi="宋体"/>
          <w:color w:val="000000"/>
          <w:sz w:val="24"/>
        </w:rPr>
        <w:t>要求无论现场选用哪种控制策略，该装置都应满足要求。本装置应留有接口，作为全站无功总控系统，确保实现多套装置联调。</w:t>
      </w:r>
    </w:p>
    <w:p>
      <w:pPr>
        <w:pStyle w:val="13"/>
        <w:adjustRightInd w:val="0"/>
        <w:snapToGrid w:val="0"/>
        <w:spacing w:line="360" w:lineRule="auto"/>
        <w:ind w:firstLine="480" w:firstLineChars="200"/>
        <w:rPr>
          <w:rFonts w:hint="eastAsia" w:hAnsi="宋体"/>
          <w:color w:val="000000"/>
          <w:sz w:val="24"/>
        </w:rPr>
      </w:pPr>
      <w:r>
        <w:rPr>
          <w:rFonts w:hint="eastAsia" w:hAnsi="宋体"/>
          <w:color w:val="000000"/>
          <w:sz w:val="24"/>
        </w:rPr>
        <w:t>在无功容量足够的条件下，任意时间段下，可实现变电站接入点的功率因数应为1，接入点与电网之间交换的平均无功功率小于250kVar，按功率送受控制方式或按220kV母线电压曲线进行调节这两种方式可选择切换。控制35kV母线的电压稳定。</w:t>
      </w:r>
    </w:p>
    <w:p>
      <w:pPr>
        <w:pStyle w:val="13"/>
        <w:adjustRightInd w:val="0"/>
        <w:snapToGrid w:val="0"/>
        <w:spacing w:line="360" w:lineRule="auto"/>
        <w:ind w:firstLine="480" w:firstLineChars="200"/>
        <w:rPr>
          <w:rFonts w:hAnsi="宋体"/>
          <w:color w:val="000000"/>
          <w:sz w:val="24"/>
        </w:rPr>
      </w:pPr>
      <w:r>
        <w:rPr>
          <w:rFonts w:hint="eastAsia" w:hAnsi="宋体"/>
          <w:color w:val="000000"/>
          <w:sz w:val="24"/>
        </w:rPr>
        <w:t>卖方配套提供整套设备内部间的所有配线，包括二次控缆的供货并提供相应电缆规格型号及长度。控缆选用屏蔽、防腐、防寒、阻燃型铠装电缆</w:t>
      </w:r>
    </w:p>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415" w:name="_Toc19849"/>
      <w:bookmarkStart w:id="416" w:name="_Toc27127620"/>
      <w:r>
        <w:rPr>
          <w:rFonts w:hint="eastAsia"/>
          <w:iCs/>
          <w:kern w:val="36"/>
          <w:sz w:val="32"/>
          <w:szCs w:val="44"/>
          <w:lang w:eastAsia="ar-SA"/>
        </w:rPr>
        <w:t>供货范围</w:t>
      </w:r>
      <w:bookmarkEnd w:id="415"/>
      <w:bookmarkEnd w:id="416"/>
    </w:p>
    <w:p>
      <w:pPr>
        <w:widowControl/>
        <w:autoSpaceDE w:val="0"/>
        <w:autoSpaceDN w:val="0"/>
        <w:spacing w:line="360" w:lineRule="auto"/>
        <w:ind w:left="480" w:hanging="420" w:hangingChars="200"/>
        <w:textAlignment w:val="bottom"/>
        <w:rPr>
          <w:rFonts w:ascii="宋体" w:hAnsi="宋体"/>
        </w:rPr>
      </w:pPr>
      <w:r>
        <w:rPr>
          <w:rFonts w:hint="eastAsia" w:ascii="宋体" w:hAnsi="宋体"/>
          <w:szCs w:val="20"/>
        </w:rPr>
        <w:t xml:space="preserve">4.1 </w:t>
      </w:r>
      <w:bookmarkStart w:id="417" w:name="_Toc27797328"/>
      <w:bookmarkEnd w:id="417"/>
      <w:bookmarkStart w:id="418" w:name="_Toc27801713"/>
      <w:bookmarkEnd w:id="418"/>
      <w:bookmarkStart w:id="419" w:name="_Toc27810844"/>
      <w:bookmarkEnd w:id="419"/>
      <w:bookmarkStart w:id="420" w:name="_Toc27812981"/>
      <w:bookmarkEnd w:id="420"/>
      <w:bookmarkStart w:id="421" w:name="_Toc27797329"/>
      <w:bookmarkEnd w:id="421"/>
      <w:bookmarkStart w:id="422" w:name="_Toc27801714"/>
      <w:bookmarkEnd w:id="422"/>
      <w:bookmarkStart w:id="423" w:name="_Toc27810845"/>
      <w:bookmarkEnd w:id="423"/>
      <w:bookmarkStart w:id="424" w:name="_Toc27812982"/>
      <w:bookmarkEnd w:id="424"/>
      <w:bookmarkStart w:id="425" w:name="_Toc27797330"/>
      <w:bookmarkEnd w:id="425"/>
      <w:bookmarkStart w:id="426" w:name="_Toc27801715"/>
      <w:bookmarkEnd w:id="426"/>
      <w:bookmarkStart w:id="427" w:name="_Toc27810846"/>
      <w:bookmarkEnd w:id="427"/>
      <w:bookmarkStart w:id="428" w:name="_Toc27812983"/>
      <w:bookmarkEnd w:id="428"/>
      <w:bookmarkStart w:id="429" w:name="_Toc27797331"/>
      <w:bookmarkEnd w:id="429"/>
      <w:bookmarkStart w:id="430" w:name="_Toc27801716"/>
      <w:bookmarkEnd w:id="430"/>
      <w:bookmarkStart w:id="431" w:name="_Toc27810847"/>
      <w:bookmarkEnd w:id="431"/>
      <w:bookmarkStart w:id="432" w:name="_Toc27812984"/>
      <w:bookmarkEnd w:id="432"/>
      <w:bookmarkStart w:id="433" w:name="_Toc27797332"/>
      <w:bookmarkEnd w:id="433"/>
      <w:bookmarkStart w:id="434" w:name="_Toc27801717"/>
      <w:bookmarkEnd w:id="434"/>
      <w:bookmarkStart w:id="435" w:name="_Toc27810848"/>
      <w:bookmarkEnd w:id="435"/>
      <w:bookmarkStart w:id="436" w:name="_Toc27812985"/>
      <w:bookmarkEnd w:id="436"/>
      <w:bookmarkStart w:id="437" w:name="_Toc27797333"/>
      <w:bookmarkEnd w:id="437"/>
      <w:bookmarkStart w:id="438" w:name="_Toc27801718"/>
      <w:bookmarkEnd w:id="438"/>
      <w:bookmarkStart w:id="439" w:name="_Toc27810849"/>
      <w:bookmarkEnd w:id="439"/>
      <w:bookmarkStart w:id="440" w:name="_Toc27812986"/>
      <w:bookmarkEnd w:id="440"/>
      <w:bookmarkStart w:id="441" w:name="_Toc27797334"/>
      <w:bookmarkEnd w:id="441"/>
      <w:bookmarkStart w:id="442" w:name="_Toc27801719"/>
      <w:bookmarkEnd w:id="442"/>
      <w:bookmarkStart w:id="443" w:name="_Toc27810850"/>
      <w:bookmarkEnd w:id="443"/>
      <w:bookmarkStart w:id="444" w:name="_Toc27812987"/>
      <w:bookmarkEnd w:id="444"/>
      <w:bookmarkStart w:id="445" w:name="_Toc27797342"/>
      <w:bookmarkEnd w:id="445"/>
      <w:bookmarkStart w:id="446" w:name="_Toc27801727"/>
      <w:bookmarkEnd w:id="446"/>
      <w:bookmarkStart w:id="447" w:name="_Toc27810858"/>
      <w:bookmarkEnd w:id="447"/>
      <w:bookmarkStart w:id="448" w:name="_Toc27812995"/>
      <w:bookmarkEnd w:id="448"/>
      <w:bookmarkStart w:id="449" w:name="_Toc27797349"/>
      <w:bookmarkEnd w:id="449"/>
      <w:bookmarkStart w:id="450" w:name="_Toc27801734"/>
      <w:bookmarkEnd w:id="450"/>
      <w:bookmarkStart w:id="451" w:name="_Toc27810865"/>
      <w:bookmarkEnd w:id="451"/>
      <w:bookmarkStart w:id="452" w:name="_Toc27813002"/>
      <w:bookmarkEnd w:id="452"/>
      <w:bookmarkStart w:id="453" w:name="_Toc27797356"/>
      <w:bookmarkEnd w:id="453"/>
      <w:bookmarkStart w:id="454" w:name="_Toc27801741"/>
      <w:bookmarkEnd w:id="454"/>
      <w:bookmarkStart w:id="455" w:name="_Toc27810872"/>
      <w:bookmarkEnd w:id="455"/>
      <w:bookmarkStart w:id="456" w:name="_Toc27813009"/>
      <w:bookmarkEnd w:id="456"/>
      <w:bookmarkStart w:id="457" w:name="_Toc27797363"/>
      <w:bookmarkEnd w:id="457"/>
      <w:bookmarkStart w:id="458" w:name="_Toc27801748"/>
      <w:bookmarkEnd w:id="458"/>
      <w:bookmarkStart w:id="459" w:name="_Toc27810879"/>
      <w:bookmarkEnd w:id="459"/>
      <w:bookmarkStart w:id="460" w:name="_Toc27813016"/>
      <w:bookmarkEnd w:id="460"/>
      <w:bookmarkStart w:id="461" w:name="_Toc27797370"/>
      <w:bookmarkEnd w:id="461"/>
      <w:bookmarkStart w:id="462" w:name="_Toc27801755"/>
      <w:bookmarkEnd w:id="462"/>
      <w:bookmarkStart w:id="463" w:name="_Toc27810886"/>
      <w:bookmarkEnd w:id="463"/>
      <w:bookmarkStart w:id="464" w:name="_Toc27813023"/>
      <w:bookmarkEnd w:id="464"/>
      <w:bookmarkStart w:id="465" w:name="_Toc27797371"/>
      <w:bookmarkEnd w:id="465"/>
      <w:bookmarkStart w:id="466" w:name="_Toc27801756"/>
      <w:bookmarkEnd w:id="466"/>
      <w:bookmarkStart w:id="467" w:name="_Toc27810887"/>
      <w:bookmarkEnd w:id="467"/>
      <w:bookmarkStart w:id="468" w:name="_Toc27813024"/>
      <w:bookmarkEnd w:id="468"/>
      <w:bookmarkStart w:id="469" w:name="_Toc27797372"/>
      <w:bookmarkEnd w:id="469"/>
      <w:bookmarkStart w:id="470" w:name="_Toc27801757"/>
      <w:bookmarkEnd w:id="470"/>
      <w:bookmarkStart w:id="471" w:name="_Toc27810888"/>
      <w:bookmarkEnd w:id="471"/>
      <w:bookmarkStart w:id="472" w:name="_Toc27813025"/>
      <w:bookmarkEnd w:id="472"/>
      <w:bookmarkStart w:id="473" w:name="_Toc27797373"/>
      <w:bookmarkEnd w:id="473"/>
      <w:bookmarkStart w:id="474" w:name="_Toc27801758"/>
      <w:bookmarkEnd w:id="474"/>
      <w:bookmarkStart w:id="475" w:name="_Toc27810889"/>
      <w:bookmarkEnd w:id="475"/>
      <w:bookmarkStart w:id="476" w:name="_Toc27813026"/>
      <w:bookmarkEnd w:id="476"/>
      <w:bookmarkStart w:id="477" w:name="_Toc27797374"/>
      <w:bookmarkEnd w:id="477"/>
      <w:bookmarkStart w:id="478" w:name="_Toc27801759"/>
      <w:bookmarkEnd w:id="478"/>
      <w:bookmarkStart w:id="479" w:name="_Toc27810890"/>
      <w:bookmarkEnd w:id="479"/>
      <w:bookmarkStart w:id="480" w:name="_Toc27813027"/>
      <w:bookmarkEnd w:id="480"/>
      <w:bookmarkStart w:id="481" w:name="_Toc27797378"/>
      <w:bookmarkEnd w:id="481"/>
      <w:bookmarkStart w:id="482" w:name="_Toc27801763"/>
      <w:bookmarkEnd w:id="482"/>
      <w:bookmarkStart w:id="483" w:name="_Toc27810894"/>
      <w:bookmarkEnd w:id="483"/>
      <w:bookmarkStart w:id="484" w:name="_Toc27813031"/>
      <w:bookmarkEnd w:id="484"/>
      <w:bookmarkStart w:id="485" w:name="_Toc27797379"/>
      <w:bookmarkEnd w:id="485"/>
      <w:bookmarkStart w:id="486" w:name="_Toc27801764"/>
      <w:bookmarkEnd w:id="486"/>
      <w:bookmarkStart w:id="487" w:name="_Toc27810895"/>
      <w:bookmarkEnd w:id="487"/>
      <w:bookmarkStart w:id="488" w:name="_Toc27813032"/>
      <w:bookmarkEnd w:id="488"/>
      <w:bookmarkStart w:id="489" w:name="_Toc27797422"/>
      <w:bookmarkEnd w:id="489"/>
      <w:bookmarkStart w:id="490" w:name="_Toc27801807"/>
      <w:bookmarkEnd w:id="490"/>
      <w:bookmarkStart w:id="491" w:name="_Toc27810938"/>
      <w:bookmarkEnd w:id="491"/>
      <w:bookmarkStart w:id="492" w:name="_Toc27813075"/>
      <w:bookmarkEnd w:id="492"/>
      <w:bookmarkStart w:id="493" w:name="_Toc27797423"/>
      <w:bookmarkEnd w:id="493"/>
      <w:bookmarkStart w:id="494" w:name="_Toc27801808"/>
      <w:bookmarkEnd w:id="494"/>
      <w:bookmarkStart w:id="495" w:name="_Toc27810939"/>
      <w:bookmarkEnd w:id="495"/>
      <w:bookmarkStart w:id="496" w:name="_Toc27813076"/>
      <w:bookmarkEnd w:id="496"/>
      <w:bookmarkStart w:id="497" w:name="_Toc27797424"/>
      <w:bookmarkEnd w:id="497"/>
      <w:bookmarkStart w:id="498" w:name="_Toc27801809"/>
      <w:bookmarkEnd w:id="498"/>
      <w:bookmarkStart w:id="499" w:name="_Toc27810940"/>
      <w:bookmarkEnd w:id="499"/>
      <w:bookmarkStart w:id="500" w:name="_Toc27813077"/>
      <w:bookmarkEnd w:id="500"/>
      <w:bookmarkStart w:id="501" w:name="_Toc27797425"/>
      <w:bookmarkEnd w:id="501"/>
      <w:bookmarkStart w:id="502" w:name="_Toc27801810"/>
      <w:bookmarkEnd w:id="502"/>
      <w:bookmarkStart w:id="503" w:name="_Toc27810941"/>
      <w:bookmarkEnd w:id="503"/>
      <w:bookmarkStart w:id="504" w:name="_Toc27813078"/>
      <w:bookmarkEnd w:id="504"/>
      <w:bookmarkStart w:id="505" w:name="_Toc27797431"/>
      <w:bookmarkEnd w:id="505"/>
      <w:bookmarkStart w:id="506" w:name="_Toc27801816"/>
      <w:bookmarkEnd w:id="506"/>
      <w:bookmarkStart w:id="507" w:name="_Toc27810947"/>
      <w:bookmarkEnd w:id="507"/>
      <w:bookmarkStart w:id="508" w:name="_Toc27813084"/>
      <w:bookmarkEnd w:id="508"/>
      <w:bookmarkStart w:id="509" w:name="_Toc27797436"/>
      <w:bookmarkEnd w:id="509"/>
      <w:bookmarkStart w:id="510" w:name="_Toc27801821"/>
      <w:bookmarkEnd w:id="510"/>
      <w:bookmarkStart w:id="511" w:name="_Toc27810952"/>
      <w:bookmarkEnd w:id="511"/>
      <w:bookmarkStart w:id="512" w:name="_Toc27813089"/>
      <w:bookmarkEnd w:id="512"/>
      <w:bookmarkStart w:id="513" w:name="_Toc27797441"/>
      <w:bookmarkEnd w:id="513"/>
      <w:bookmarkStart w:id="514" w:name="_Toc27801826"/>
      <w:bookmarkEnd w:id="514"/>
      <w:bookmarkStart w:id="515" w:name="_Toc27810957"/>
      <w:bookmarkEnd w:id="515"/>
      <w:bookmarkStart w:id="516" w:name="_Toc27813094"/>
      <w:bookmarkEnd w:id="516"/>
      <w:bookmarkStart w:id="517" w:name="_Toc27797442"/>
      <w:bookmarkEnd w:id="517"/>
      <w:bookmarkStart w:id="518" w:name="_Toc27801827"/>
      <w:bookmarkEnd w:id="518"/>
      <w:bookmarkStart w:id="519" w:name="_Toc27810958"/>
      <w:bookmarkEnd w:id="519"/>
      <w:bookmarkStart w:id="520" w:name="_Toc27813095"/>
      <w:bookmarkEnd w:id="520"/>
      <w:bookmarkStart w:id="521" w:name="_Toc27797443"/>
      <w:bookmarkEnd w:id="521"/>
      <w:bookmarkStart w:id="522" w:name="_Toc27801828"/>
      <w:bookmarkEnd w:id="522"/>
      <w:bookmarkStart w:id="523" w:name="_Toc27810959"/>
      <w:bookmarkEnd w:id="523"/>
      <w:bookmarkStart w:id="524" w:name="_Toc27813096"/>
      <w:bookmarkEnd w:id="524"/>
      <w:bookmarkStart w:id="525" w:name="_Toc27797444"/>
      <w:bookmarkEnd w:id="525"/>
      <w:bookmarkStart w:id="526" w:name="_Toc27801829"/>
      <w:bookmarkEnd w:id="526"/>
      <w:bookmarkStart w:id="527" w:name="_Toc27810960"/>
      <w:bookmarkEnd w:id="527"/>
      <w:bookmarkStart w:id="528" w:name="_Toc27813097"/>
      <w:bookmarkEnd w:id="528"/>
      <w:bookmarkStart w:id="529" w:name="_Toc27797445"/>
      <w:bookmarkEnd w:id="529"/>
      <w:bookmarkStart w:id="530" w:name="_Toc27801830"/>
      <w:bookmarkEnd w:id="530"/>
      <w:bookmarkStart w:id="531" w:name="_Toc27810961"/>
      <w:bookmarkEnd w:id="531"/>
      <w:bookmarkStart w:id="532" w:name="_Toc27813098"/>
      <w:bookmarkEnd w:id="532"/>
      <w:bookmarkStart w:id="533" w:name="_Toc27797446"/>
      <w:bookmarkEnd w:id="533"/>
      <w:bookmarkStart w:id="534" w:name="_Toc27801831"/>
      <w:bookmarkEnd w:id="534"/>
      <w:bookmarkStart w:id="535" w:name="_Toc27810962"/>
      <w:bookmarkEnd w:id="535"/>
      <w:bookmarkStart w:id="536" w:name="_Toc27813099"/>
      <w:bookmarkEnd w:id="536"/>
      <w:bookmarkStart w:id="537" w:name="_Toc27797447"/>
      <w:bookmarkEnd w:id="537"/>
      <w:bookmarkStart w:id="538" w:name="_Toc27801832"/>
      <w:bookmarkEnd w:id="538"/>
      <w:bookmarkStart w:id="539" w:name="_Toc27810963"/>
      <w:bookmarkEnd w:id="539"/>
      <w:bookmarkStart w:id="540" w:name="_Toc27813100"/>
      <w:bookmarkEnd w:id="540"/>
      <w:bookmarkStart w:id="541" w:name="_Toc27797448"/>
      <w:bookmarkEnd w:id="541"/>
      <w:bookmarkStart w:id="542" w:name="_Toc27801833"/>
      <w:bookmarkEnd w:id="542"/>
      <w:bookmarkStart w:id="543" w:name="_Toc27810964"/>
      <w:bookmarkEnd w:id="543"/>
      <w:bookmarkStart w:id="544" w:name="_Toc27813101"/>
      <w:bookmarkEnd w:id="544"/>
      <w:bookmarkStart w:id="545" w:name="_Toc27797456"/>
      <w:bookmarkEnd w:id="545"/>
      <w:bookmarkStart w:id="546" w:name="_Toc27801841"/>
      <w:bookmarkEnd w:id="546"/>
      <w:bookmarkStart w:id="547" w:name="_Toc27810972"/>
      <w:bookmarkEnd w:id="547"/>
      <w:bookmarkStart w:id="548" w:name="_Toc27813109"/>
      <w:bookmarkEnd w:id="548"/>
      <w:bookmarkStart w:id="549" w:name="_Toc27797464"/>
      <w:bookmarkEnd w:id="549"/>
      <w:bookmarkStart w:id="550" w:name="_Toc27801849"/>
      <w:bookmarkEnd w:id="550"/>
      <w:bookmarkStart w:id="551" w:name="_Toc27810980"/>
      <w:bookmarkEnd w:id="551"/>
      <w:bookmarkStart w:id="552" w:name="_Toc27813117"/>
      <w:bookmarkEnd w:id="552"/>
      <w:bookmarkStart w:id="553" w:name="_Toc27797472"/>
      <w:bookmarkEnd w:id="553"/>
      <w:bookmarkStart w:id="554" w:name="_Toc27801857"/>
      <w:bookmarkEnd w:id="554"/>
      <w:bookmarkStart w:id="555" w:name="_Toc27810988"/>
      <w:bookmarkEnd w:id="555"/>
      <w:bookmarkStart w:id="556" w:name="_Toc27813125"/>
      <w:bookmarkEnd w:id="556"/>
      <w:bookmarkStart w:id="557" w:name="_Toc27797480"/>
      <w:bookmarkEnd w:id="557"/>
      <w:bookmarkStart w:id="558" w:name="_Toc27801865"/>
      <w:bookmarkEnd w:id="558"/>
      <w:bookmarkStart w:id="559" w:name="_Toc27810996"/>
      <w:bookmarkEnd w:id="559"/>
      <w:bookmarkStart w:id="560" w:name="_Toc27813133"/>
      <w:bookmarkEnd w:id="560"/>
      <w:bookmarkStart w:id="561" w:name="_Toc27797488"/>
      <w:bookmarkEnd w:id="561"/>
      <w:bookmarkStart w:id="562" w:name="_Toc27801873"/>
      <w:bookmarkEnd w:id="562"/>
      <w:bookmarkStart w:id="563" w:name="_Toc27811004"/>
      <w:bookmarkEnd w:id="563"/>
      <w:bookmarkStart w:id="564" w:name="_Toc27813141"/>
      <w:bookmarkEnd w:id="564"/>
      <w:bookmarkStart w:id="565" w:name="_Toc27797489"/>
      <w:bookmarkEnd w:id="565"/>
      <w:bookmarkStart w:id="566" w:name="_Toc27801874"/>
      <w:bookmarkEnd w:id="566"/>
      <w:bookmarkStart w:id="567" w:name="_Toc27811005"/>
      <w:bookmarkEnd w:id="567"/>
      <w:bookmarkStart w:id="568" w:name="_Toc27813142"/>
      <w:bookmarkEnd w:id="568"/>
      <w:bookmarkStart w:id="569" w:name="_Toc27797490"/>
      <w:bookmarkEnd w:id="569"/>
      <w:bookmarkStart w:id="570" w:name="_Toc27801875"/>
      <w:bookmarkEnd w:id="570"/>
      <w:bookmarkStart w:id="571" w:name="_Toc27811006"/>
      <w:bookmarkEnd w:id="571"/>
      <w:bookmarkStart w:id="572" w:name="_Toc27813143"/>
      <w:bookmarkEnd w:id="572"/>
      <w:bookmarkStart w:id="573" w:name="_Toc27797491"/>
      <w:bookmarkEnd w:id="573"/>
      <w:bookmarkStart w:id="574" w:name="_Toc27801876"/>
      <w:bookmarkEnd w:id="574"/>
      <w:bookmarkStart w:id="575" w:name="_Toc27811007"/>
      <w:bookmarkEnd w:id="575"/>
      <w:bookmarkStart w:id="576" w:name="_Toc27813144"/>
      <w:bookmarkEnd w:id="576"/>
      <w:bookmarkStart w:id="577" w:name="_Toc27797492"/>
      <w:bookmarkEnd w:id="577"/>
      <w:bookmarkStart w:id="578" w:name="_Toc27801877"/>
      <w:bookmarkEnd w:id="578"/>
      <w:bookmarkStart w:id="579" w:name="_Toc27811008"/>
      <w:bookmarkEnd w:id="579"/>
      <w:bookmarkStart w:id="580" w:name="_Toc27813145"/>
      <w:bookmarkEnd w:id="580"/>
      <w:bookmarkStart w:id="581" w:name="_Toc27797500"/>
      <w:bookmarkEnd w:id="581"/>
      <w:bookmarkStart w:id="582" w:name="_Toc27801885"/>
      <w:bookmarkEnd w:id="582"/>
      <w:bookmarkStart w:id="583" w:name="_Toc27811016"/>
      <w:bookmarkEnd w:id="583"/>
      <w:bookmarkStart w:id="584" w:name="_Toc27813153"/>
      <w:bookmarkEnd w:id="584"/>
      <w:bookmarkStart w:id="585" w:name="_Toc27797507"/>
      <w:bookmarkEnd w:id="585"/>
      <w:bookmarkStart w:id="586" w:name="_Toc27801892"/>
      <w:bookmarkEnd w:id="586"/>
      <w:bookmarkStart w:id="587" w:name="_Toc27811023"/>
      <w:bookmarkEnd w:id="587"/>
      <w:bookmarkStart w:id="588" w:name="_Toc27813160"/>
      <w:bookmarkEnd w:id="588"/>
      <w:bookmarkStart w:id="589" w:name="_Toc27797514"/>
      <w:bookmarkEnd w:id="589"/>
      <w:bookmarkStart w:id="590" w:name="_Toc27801899"/>
      <w:bookmarkEnd w:id="590"/>
      <w:bookmarkStart w:id="591" w:name="_Toc27811030"/>
      <w:bookmarkEnd w:id="591"/>
      <w:bookmarkStart w:id="592" w:name="_Toc27813167"/>
      <w:bookmarkEnd w:id="592"/>
      <w:bookmarkStart w:id="593" w:name="_Toc27797521"/>
      <w:bookmarkEnd w:id="593"/>
      <w:bookmarkStart w:id="594" w:name="_Toc27801906"/>
      <w:bookmarkEnd w:id="594"/>
      <w:bookmarkStart w:id="595" w:name="_Toc27811037"/>
      <w:bookmarkEnd w:id="595"/>
      <w:bookmarkStart w:id="596" w:name="_Toc27813174"/>
      <w:bookmarkEnd w:id="596"/>
      <w:bookmarkStart w:id="597" w:name="_Toc253650929"/>
      <w:r>
        <w:rPr>
          <w:rFonts w:hint="eastAsia" w:ascii="宋体" w:hAnsi="宋体"/>
        </w:rPr>
        <w:t xml:space="preserve"> 本节规定了合同设备的供货范围。卖方保证提供设备为全新的、先进的、成熟的、完整的和安全可靠的，且设备的技术经济性能符合本技术协议的要求。</w:t>
      </w:r>
    </w:p>
    <w:p>
      <w:pPr>
        <w:widowControl/>
        <w:autoSpaceDE w:val="0"/>
        <w:autoSpaceDN w:val="0"/>
        <w:spacing w:line="360" w:lineRule="auto"/>
        <w:ind w:left="480" w:hanging="420" w:hangingChars="200"/>
        <w:textAlignment w:val="bottom"/>
        <w:rPr>
          <w:rFonts w:hint="eastAsia" w:ascii="宋体" w:hAnsi="宋体"/>
          <w:b/>
        </w:rPr>
      </w:pPr>
      <w:r>
        <w:rPr>
          <w:rFonts w:hint="eastAsia" w:ascii="宋体" w:hAnsi="宋体"/>
        </w:rPr>
        <w:t>4.2</w:t>
      </w:r>
      <w:r>
        <w:rPr>
          <w:rFonts w:hint="eastAsia" w:ascii="宋体" w:hAnsi="宋体"/>
          <w:b/>
        </w:rPr>
        <w:t xml:space="preserve"> 无功补偿装置应整套供货。除35kV开关柜至无功补偿成套设备的高压电缆(含高压电缆终端)外，无功补偿成套装置内部所有组成完整系统所需配置的设备材料（包括35kV电缆进线支架）均由供货方提供，无功补偿装置内按需要配置的设备；设备间的连接金具、导线、支柱绝缘子、钢构架、安装框架、端子箱、无功补偿装置配套的控制、保护屏及成套供货的各设备之间的连接线缆、光缆、防护围栏、隔离开关钢支架及其操作机构固定用连接件及螺栓等也应包括在供货范围内。</w:t>
      </w:r>
    </w:p>
    <w:p>
      <w:pPr>
        <w:adjustRightInd w:val="0"/>
        <w:spacing w:line="360" w:lineRule="auto"/>
        <w:ind w:left="600" w:hanging="525" w:hangingChars="250"/>
        <w:rPr>
          <w:rFonts w:hint="eastAsia" w:ascii="宋体" w:hAnsi="宋体"/>
        </w:rPr>
      </w:pPr>
      <w:r>
        <w:rPr>
          <w:rFonts w:hint="eastAsia" w:ascii="宋体" w:hAnsi="宋体"/>
        </w:rPr>
        <w:t>4.3  合同供货范围包括了所有设备、技术资料、专用工具、备品备件，在执行合同过程中如发现有任何漏项和短缺，在发货清单中并未列入而且确实是供方供货范围中应该有的，并且满足合同附件对合同设备的性能保证值要求所必须的，均应由供方负责将所缺的设备、技术资料、专用工具、备品备件等补上，且不发生费用问题。</w:t>
      </w:r>
    </w:p>
    <w:p>
      <w:pPr>
        <w:adjustRightInd w:val="0"/>
        <w:spacing w:line="360" w:lineRule="auto"/>
        <w:ind w:left="600" w:hanging="525" w:hangingChars="250"/>
        <w:rPr>
          <w:rFonts w:hint="eastAsia" w:ascii="宋体" w:hAnsi="宋体"/>
        </w:rPr>
      </w:pPr>
      <w:r>
        <w:rPr>
          <w:rFonts w:hint="eastAsia" w:ascii="宋体" w:hAnsi="宋体"/>
        </w:rPr>
        <w:t>4.4  动态无功厂家应配套提供该产品的所有配线、穿墙套管(如有)、地角螺栓等辅助材料及设备区的</w:t>
      </w:r>
      <w:r>
        <w:rPr>
          <w:rFonts w:hint="eastAsia" w:ascii="宋体" w:hAnsi="宋体"/>
          <w:b/>
        </w:rPr>
        <w:t>防护围栏与网门</w:t>
      </w:r>
      <w:r>
        <w:rPr>
          <w:rFonts w:hint="eastAsia" w:ascii="宋体" w:hAnsi="宋体"/>
        </w:rPr>
        <w:t>。</w:t>
      </w:r>
    </w:p>
    <w:p>
      <w:pPr>
        <w:adjustRightInd w:val="0"/>
        <w:spacing w:line="360" w:lineRule="auto"/>
        <w:ind w:left="600" w:hanging="525" w:hangingChars="250"/>
        <w:rPr>
          <w:rFonts w:hint="eastAsia" w:ascii="宋体" w:hAnsi="宋体"/>
          <w:kern w:val="16"/>
        </w:rPr>
      </w:pPr>
      <w:r>
        <w:rPr>
          <w:rFonts w:hint="eastAsia" w:ascii="宋体" w:hAnsi="宋体"/>
        </w:rPr>
        <w:t xml:space="preserve">4.5  </w:t>
      </w:r>
      <w:r>
        <w:rPr>
          <w:rFonts w:hint="eastAsia"/>
        </w:rPr>
        <w:t>动态无功厂家</w:t>
      </w:r>
      <w:r>
        <w:rPr>
          <w:rFonts w:hint="eastAsia" w:ascii="宋体" w:hAnsi="宋体"/>
          <w:kern w:val="16"/>
        </w:rPr>
        <w:t>应提供详细供货清单和</w:t>
      </w:r>
      <w:r>
        <w:rPr>
          <w:rFonts w:hint="eastAsia" w:ascii="宋体" w:hAnsi="宋体"/>
        </w:rPr>
        <w:t>随机备品备件及专用工具清单</w:t>
      </w:r>
      <w:r>
        <w:rPr>
          <w:rFonts w:hint="eastAsia" w:ascii="宋体" w:hAnsi="宋体"/>
          <w:kern w:val="16"/>
        </w:rPr>
        <w:t>，清单中依次说明型号、数量、产地、生产厂家。</w:t>
      </w:r>
    </w:p>
    <w:p>
      <w:pPr>
        <w:adjustRightInd w:val="0"/>
        <w:spacing w:line="360" w:lineRule="auto"/>
        <w:ind w:left="600" w:hanging="525" w:hangingChars="250"/>
        <w:rPr>
          <w:rFonts w:hint="eastAsia" w:ascii="宋体" w:hAnsi="宋体"/>
        </w:rPr>
      </w:pPr>
      <w:r>
        <w:rPr>
          <w:rFonts w:hint="eastAsia" w:ascii="宋体" w:hAnsi="宋体"/>
          <w:kern w:val="16"/>
        </w:rPr>
        <w:t xml:space="preserve">4.6  </w:t>
      </w:r>
      <w:r>
        <w:rPr>
          <w:rFonts w:hint="eastAsia"/>
        </w:rPr>
        <w:t>动态无功厂家</w:t>
      </w:r>
      <w:r>
        <w:rPr>
          <w:rFonts w:hint="eastAsia" w:ascii="宋体" w:hAnsi="宋体"/>
          <w:kern w:val="16"/>
        </w:rPr>
        <w:t>负责成套设备的全部设计，包括设备的布置，并保证设备布置满足</w:t>
      </w:r>
      <w:r>
        <w:rPr>
          <w:rFonts w:hint="eastAsia" w:ascii="宋体" w:hAnsi="宋体"/>
        </w:rPr>
        <w:t>电气及防火等技术要求。</w:t>
      </w:r>
    </w:p>
    <w:p>
      <w:pPr>
        <w:spacing w:line="360" w:lineRule="auto"/>
        <w:rPr>
          <w:rFonts w:hint="eastAsia" w:ascii="宋体" w:hAnsi="宋体"/>
        </w:rPr>
      </w:pPr>
      <w:r>
        <w:rPr>
          <w:rFonts w:hint="eastAsia" w:ascii="宋体" w:hAnsi="宋体"/>
        </w:rPr>
        <w:t xml:space="preserve">4.7  </w:t>
      </w:r>
      <w:r>
        <w:rPr>
          <w:rFonts w:hint="eastAsia"/>
        </w:rPr>
        <w:t>动态无功厂家</w:t>
      </w:r>
      <w:r>
        <w:rPr>
          <w:rFonts w:hint="eastAsia" w:ascii="宋体" w:hAnsi="宋体"/>
        </w:rPr>
        <w:t>提供的所有屏、柜的之间的端子排及相互之间连接线缆（包括控制电缆、光纤等）均由厂家提供，并提供此详细电缆清单，具体到电缆编号，电缆型号、截面和芯数等。</w:t>
      </w:r>
    </w:p>
    <w:p>
      <w:pPr>
        <w:spacing w:line="360" w:lineRule="auto"/>
        <w:rPr>
          <w:rFonts w:hint="eastAsia" w:hAnsi="宋体"/>
          <w:b/>
        </w:rPr>
      </w:pPr>
      <w:r>
        <w:rPr>
          <w:rFonts w:hint="eastAsia" w:ascii="宋体" w:hAnsi="宋体"/>
        </w:rPr>
        <w:t xml:space="preserve">4.8  </w:t>
      </w:r>
      <w:r>
        <w:rPr>
          <w:rFonts w:hint="eastAsia" w:ascii="宋体" w:hAnsi="宋体"/>
          <w:b/>
        </w:rPr>
        <w:t xml:space="preserve"> </w:t>
      </w:r>
      <w:r>
        <w:rPr>
          <w:rFonts w:ascii="宋体" w:hAnsi="宋体"/>
          <w:b/>
        </w:rPr>
        <w:t>动态无功补偿装置均由</w:t>
      </w:r>
      <w:r>
        <w:rPr>
          <w:rFonts w:hint="eastAsia" w:ascii="宋体" w:hAnsi="宋体"/>
          <w:b/>
        </w:rPr>
        <w:t>投标方</w:t>
      </w:r>
      <w:r>
        <w:rPr>
          <w:rFonts w:ascii="宋体" w:hAnsi="宋体"/>
          <w:b/>
        </w:rPr>
        <w:t>连接成一个整体，动态无功补偿装置</w:t>
      </w:r>
      <w:r>
        <w:rPr>
          <w:rFonts w:hint="eastAsia" w:ascii="宋体" w:hAnsi="宋体"/>
          <w:b/>
        </w:rPr>
        <w:t>成套设备及内部之间的连接材料均由投标方配套提供。投标方</w:t>
      </w:r>
      <w:r>
        <w:rPr>
          <w:rFonts w:ascii="宋体" w:hAnsi="宋体"/>
          <w:b/>
        </w:rPr>
        <w:t>进线隔离开关</w:t>
      </w:r>
      <w:r>
        <w:rPr>
          <w:rFonts w:hint="eastAsia" w:ascii="宋体" w:hAnsi="宋体"/>
          <w:b/>
        </w:rPr>
        <w:t>要满足</w:t>
      </w:r>
      <w:r>
        <w:rPr>
          <w:rFonts w:ascii="宋体" w:hAnsi="宋体"/>
          <w:b/>
        </w:rPr>
        <w:t>与</w:t>
      </w:r>
      <w:r>
        <w:rPr>
          <w:rFonts w:hint="eastAsia" w:ascii="宋体" w:hAnsi="宋体"/>
          <w:b/>
        </w:rPr>
        <w:t>招标方</w:t>
      </w:r>
      <w:r>
        <w:rPr>
          <w:rFonts w:ascii="宋体" w:hAnsi="宋体"/>
          <w:b/>
        </w:rPr>
        <w:t>所提供电缆连接，</w:t>
      </w:r>
      <w:r>
        <w:rPr>
          <w:rFonts w:hint="eastAsia" w:ascii="宋体" w:hAnsi="宋体"/>
          <w:b/>
        </w:rPr>
        <w:t>招标</w:t>
      </w:r>
      <w:r>
        <w:rPr>
          <w:rFonts w:ascii="宋体" w:hAnsi="宋体"/>
          <w:b/>
        </w:rPr>
        <w:t>方提供电缆至动态无功补偿装置</w:t>
      </w:r>
      <w:r>
        <w:rPr>
          <w:rFonts w:hint="eastAsia" w:ascii="宋体" w:hAnsi="宋体"/>
          <w:b/>
        </w:rPr>
        <w:t>进线端</w:t>
      </w:r>
      <w:r>
        <w:rPr>
          <w:rFonts w:ascii="宋体" w:hAnsi="宋体"/>
          <w:b/>
        </w:rPr>
        <w:t>。</w:t>
      </w:r>
      <w:r>
        <w:rPr>
          <w:rFonts w:hint="eastAsia" w:hAnsi="宋体"/>
          <w:b/>
        </w:rPr>
        <w:t>厂家提供的无功补偿装置的所有开关(隔离刀)以及网门等设备均需装设电气防误操作闭锁装置。相关配套的锁具、接线盒及所有线缆均由投标方提供。</w:t>
      </w:r>
    </w:p>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598" w:name="_Toc20098"/>
      <w:bookmarkStart w:id="599" w:name="_Toc27127621"/>
      <w:r>
        <w:rPr>
          <w:rFonts w:hint="eastAsia"/>
          <w:iCs/>
          <w:kern w:val="36"/>
          <w:sz w:val="32"/>
          <w:szCs w:val="44"/>
          <w:lang w:eastAsia="ar-SA"/>
        </w:rPr>
        <w:t>备品备件及专用工具清单</w:t>
      </w:r>
      <w:bookmarkEnd w:id="597"/>
      <w:bookmarkEnd w:id="598"/>
      <w:bookmarkEnd w:id="599"/>
    </w:p>
    <w:p>
      <w:pPr>
        <w:pStyle w:val="3"/>
        <w:keepNext/>
        <w:keepLines/>
        <w:numPr>
          <w:ilvl w:val="0"/>
          <w:numId w:val="0"/>
        </w:numPr>
        <w:spacing w:beforeLines="0" w:afterLines="0" w:line="360" w:lineRule="auto"/>
        <w:rPr>
          <w:rFonts w:hint="eastAsia" w:ascii="宋体" w:hAnsi="宋体"/>
          <w:color w:val="auto"/>
          <w:sz w:val="24"/>
          <w:szCs w:val="20"/>
        </w:rPr>
      </w:pPr>
      <w:bookmarkStart w:id="600" w:name="_Toc253650930"/>
      <w:bookmarkStart w:id="601" w:name="_Toc21529"/>
      <w:bookmarkStart w:id="602" w:name="_Toc27127622"/>
      <w:r>
        <w:rPr>
          <w:rFonts w:hint="eastAsia" w:ascii="宋体" w:hAnsi="宋体"/>
          <w:color w:val="auto"/>
          <w:sz w:val="24"/>
          <w:szCs w:val="20"/>
        </w:rPr>
        <w:t>5.1 随机备品备件</w:t>
      </w:r>
      <w:bookmarkEnd w:id="600"/>
      <w:bookmarkEnd w:id="601"/>
      <w:bookmarkEnd w:id="602"/>
    </w:p>
    <w:p>
      <w:pPr>
        <w:spacing w:line="360" w:lineRule="auto"/>
        <w:ind w:firstLine="420" w:firstLineChars="200"/>
        <w:jc w:val="center"/>
        <w:rPr>
          <w:rFonts w:ascii="宋体" w:hAnsi="宋体"/>
          <w:color w:val="000000"/>
        </w:rPr>
      </w:pPr>
      <w:r>
        <w:rPr>
          <w:rFonts w:hint="eastAsia" w:ascii="宋体" w:hAnsi="宋体"/>
          <w:color w:val="000000"/>
        </w:rPr>
        <w:t>必须的备品备件清单（</w:t>
      </w:r>
      <w:r>
        <w:rPr>
          <w:rFonts w:hint="eastAsia"/>
        </w:rPr>
        <w:t>投标方方填写</w:t>
      </w:r>
      <w:r>
        <w:rPr>
          <w:rFonts w:hint="eastAsia" w:ascii="宋体" w:hAnsi="宋体"/>
          <w:color w:val="000000"/>
        </w:rPr>
        <w:t>）</w:t>
      </w:r>
    </w:p>
    <w:tbl>
      <w:tblPr>
        <w:tblStyle w:val="21"/>
        <w:tblW w:w="8789" w:type="dxa"/>
        <w:jc w:val="center"/>
        <w:tblLayout w:type="fixed"/>
        <w:tblCellMar>
          <w:top w:w="0" w:type="dxa"/>
          <w:left w:w="28" w:type="dxa"/>
          <w:bottom w:w="0" w:type="dxa"/>
          <w:right w:w="28" w:type="dxa"/>
        </w:tblCellMar>
      </w:tblPr>
      <w:tblGrid>
        <w:gridCol w:w="568"/>
        <w:gridCol w:w="2268"/>
        <w:gridCol w:w="2126"/>
        <w:gridCol w:w="567"/>
        <w:gridCol w:w="567"/>
        <w:gridCol w:w="567"/>
        <w:gridCol w:w="1134"/>
        <w:gridCol w:w="992"/>
      </w:tblGrid>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hint="eastAsia" w:ascii="宋体" w:hAnsi="宋体"/>
                <w:color w:val="000000"/>
                <w:kern w:val="0"/>
                <w:sz w:val="21"/>
                <w:szCs w:val="21"/>
              </w:rPr>
              <w:t>序号</w:t>
            </w:r>
          </w:p>
        </w:tc>
        <w:tc>
          <w:tcPr>
            <w:tcW w:w="2268"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r>
              <w:rPr>
                <w:rFonts w:hint="eastAsia" w:ascii="宋体" w:hAnsi="宋体"/>
                <w:color w:val="000000"/>
                <w:kern w:val="0"/>
                <w:sz w:val="21"/>
                <w:szCs w:val="21"/>
              </w:rPr>
              <w:t>名称</w:t>
            </w:r>
          </w:p>
        </w:tc>
        <w:tc>
          <w:tcPr>
            <w:tcW w:w="2126"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hint="eastAsia" w:ascii="宋体" w:hAnsi="宋体"/>
                <w:color w:val="000000"/>
                <w:kern w:val="0"/>
                <w:sz w:val="21"/>
                <w:szCs w:val="21"/>
              </w:rPr>
              <w:t>规格和型号</w:t>
            </w: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hint="eastAsia" w:ascii="宋体" w:hAnsi="宋体"/>
                <w:color w:val="000000"/>
                <w:kern w:val="0"/>
                <w:sz w:val="21"/>
                <w:szCs w:val="21"/>
              </w:rPr>
              <w:t>单位</w:t>
            </w: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hint="eastAsia" w:ascii="宋体" w:hAnsi="宋体"/>
                <w:color w:val="000000"/>
                <w:kern w:val="0"/>
                <w:sz w:val="21"/>
                <w:szCs w:val="21"/>
              </w:rPr>
              <w:t>数量</w:t>
            </w: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hint="eastAsia" w:ascii="宋体" w:hAnsi="宋体"/>
                <w:color w:val="000000"/>
                <w:kern w:val="0"/>
                <w:sz w:val="21"/>
                <w:szCs w:val="21"/>
              </w:rPr>
              <w:t>产地</w:t>
            </w:r>
          </w:p>
        </w:tc>
        <w:tc>
          <w:tcPr>
            <w:tcW w:w="1134"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hint="eastAsia" w:ascii="宋体" w:hAnsi="宋体"/>
                <w:color w:val="000000"/>
                <w:kern w:val="0"/>
                <w:sz w:val="21"/>
                <w:szCs w:val="21"/>
              </w:rPr>
              <w:t>生产厂家</w:t>
            </w:r>
          </w:p>
        </w:tc>
        <w:tc>
          <w:tcPr>
            <w:tcW w:w="992"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hint="eastAsia" w:ascii="宋体" w:hAnsi="宋体"/>
                <w:color w:val="000000"/>
                <w:kern w:val="0"/>
                <w:sz w:val="21"/>
                <w:szCs w:val="21"/>
              </w:rPr>
              <w:t>备注</w:t>
            </w: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right w:val="single" w:color="000000" w:sz="6" w:space="0"/>
            </w:tcBorders>
            <w:vAlign w:val="center"/>
          </w:tcPr>
          <w:p>
            <w:pPr>
              <w:pStyle w:val="32"/>
              <w:spacing w:line="360" w:lineRule="auto"/>
              <w:ind w:firstLine="210" w:firstLineChars="100"/>
              <w:jc w:val="both"/>
              <w:rPr>
                <w:rFonts w:hint="eastAsia" w:ascii="宋体" w:hAnsi="宋体"/>
                <w:color w:val="000000"/>
                <w:kern w:val="0"/>
                <w:sz w:val="21"/>
                <w:szCs w:val="21"/>
              </w:rPr>
            </w:pPr>
            <w:r>
              <w:rPr>
                <w:rFonts w:hint="eastAsia" w:ascii="宋体" w:hAnsi="宋体"/>
                <w:color w:val="000000"/>
                <w:kern w:val="0"/>
                <w:sz w:val="21"/>
                <w:szCs w:val="21"/>
              </w:rPr>
              <w:t>1</w:t>
            </w:r>
          </w:p>
        </w:tc>
        <w:tc>
          <w:tcPr>
            <w:tcW w:w="2268" w:type="dxa"/>
            <w:tcBorders>
              <w:top w:val="single" w:color="000000" w:sz="6" w:space="0"/>
              <w:left w:val="single" w:color="000000" w:sz="6" w:space="0"/>
              <w:right w:val="single" w:color="000000" w:sz="6" w:space="0"/>
            </w:tcBorders>
            <w:vAlign w:val="center"/>
          </w:tcPr>
          <w:p>
            <w:pPr>
              <w:pStyle w:val="32"/>
              <w:spacing w:line="360" w:lineRule="auto"/>
              <w:jc w:val="both"/>
              <w:rPr>
                <w:rFonts w:ascii="宋体" w:hAnsi="宋体"/>
                <w:color w:val="000000"/>
                <w:kern w:val="0"/>
                <w:sz w:val="21"/>
                <w:szCs w:val="21"/>
              </w:rPr>
            </w:pPr>
            <w:r>
              <w:rPr>
                <w:color w:val="000000"/>
              </w:rPr>
              <w:t>模块测试仪</w:t>
            </w:r>
          </w:p>
        </w:tc>
        <w:tc>
          <w:tcPr>
            <w:tcW w:w="2126" w:type="dxa"/>
            <w:tcBorders>
              <w:top w:val="single" w:color="000000" w:sz="6" w:space="0"/>
              <w:left w:val="single" w:color="000000" w:sz="6" w:space="0"/>
              <w:right w:val="single" w:color="000000" w:sz="6" w:space="0"/>
            </w:tcBorders>
            <w:vAlign w:val="center"/>
          </w:tcPr>
          <w:p>
            <w:pPr>
              <w:pStyle w:val="32"/>
              <w:spacing w:line="360" w:lineRule="auto"/>
              <w:ind w:left="420"/>
              <w:jc w:val="both"/>
              <w:rPr>
                <w:rFonts w:hint="eastAsia"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r>
              <w:rPr>
                <w:rFonts w:hint="eastAsia" w:ascii="宋体" w:hAnsi="宋体"/>
                <w:color w:val="000000"/>
                <w:kern w:val="0"/>
                <w:sz w:val="21"/>
                <w:szCs w:val="21"/>
              </w:rPr>
              <w:t>台</w:t>
            </w: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r>
              <w:rPr>
                <w:rFonts w:hint="eastAsia" w:ascii="宋体" w:hAnsi="宋体"/>
                <w:color w:val="000000"/>
                <w:kern w:val="0"/>
                <w:sz w:val="21"/>
                <w:szCs w:val="21"/>
              </w:rPr>
              <w:t>1</w:t>
            </w: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1134"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992"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ascii="宋体" w:hAnsi="宋体"/>
                <w:color w:val="000000"/>
                <w:kern w:val="0"/>
                <w:sz w:val="21"/>
                <w:szCs w:val="21"/>
              </w:rPr>
              <w:t>2</w:t>
            </w:r>
          </w:p>
        </w:tc>
        <w:tc>
          <w:tcPr>
            <w:tcW w:w="2268" w:type="dxa"/>
            <w:tcBorders>
              <w:top w:val="single" w:color="000000" w:sz="6" w:space="0"/>
              <w:left w:val="single" w:color="000000" w:sz="6" w:space="0"/>
              <w:right w:val="single" w:color="000000" w:sz="6" w:space="0"/>
            </w:tcBorders>
            <w:vAlign w:val="center"/>
          </w:tcPr>
          <w:p>
            <w:pPr>
              <w:autoSpaceDE w:val="0"/>
              <w:autoSpaceDN w:val="0"/>
              <w:adjustRightInd w:val="0"/>
              <w:ind w:firstLine="199" w:firstLineChars="95"/>
              <w:jc w:val="center"/>
              <w:rPr>
                <w:rFonts w:ascii="宋体" w:hAnsi="宋体"/>
                <w:color w:val="000000"/>
                <w:kern w:val="0"/>
                <w:sz w:val="21"/>
                <w:szCs w:val="21"/>
              </w:rPr>
            </w:pPr>
          </w:p>
        </w:tc>
        <w:tc>
          <w:tcPr>
            <w:tcW w:w="2126"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1134"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992"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ascii="宋体" w:hAnsi="宋体"/>
                <w:color w:val="000000"/>
                <w:kern w:val="0"/>
                <w:sz w:val="21"/>
                <w:szCs w:val="21"/>
              </w:rPr>
              <w:t>3</w:t>
            </w:r>
          </w:p>
        </w:tc>
        <w:tc>
          <w:tcPr>
            <w:tcW w:w="22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2126"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1134"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992"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ascii="宋体" w:hAnsi="宋体"/>
                <w:color w:val="000000"/>
                <w:kern w:val="0"/>
                <w:sz w:val="21"/>
                <w:szCs w:val="21"/>
              </w:rPr>
              <w:t>4</w:t>
            </w:r>
          </w:p>
        </w:tc>
        <w:tc>
          <w:tcPr>
            <w:tcW w:w="22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2126"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1134"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992"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ascii="宋体" w:hAnsi="宋体"/>
                <w:color w:val="000000"/>
                <w:kern w:val="0"/>
                <w:sz w:val="21"/>
                <w:szCs w:val="21"/>
              </w:rPr>
              <w:t>5</w:t>
            </w:r>
          </w:p>
        </w:tc>
        <w:tc>
          <w:tcPr>
            <w:tcW w:w="22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2126"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1134"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992"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ascii="宋体" w:hAnsi="宋体"/>
                <w:color w:val="000000"/>
                <w:kern w:val="0"/>
                <w:sz w:val="21"/>
                <w:szCs w:val="21"/>
              </w:rPr>
              <w:t>6</w:t>
            </w:r>
          </w:p>
        </w:tc>
        <w:tc>
          <w:tcPr>
            <w:tcW w:w="22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2126"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1134"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992"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ascii="宋体" w:hAnsi="宋体"/>
                <w:color w:val="000000"/>
                <w:kern w:val="0"/>
                <w:sz w:val="21"/>
                <w:szCs w:val="21"/>
              </w:rPr>
              <w:t>7</w:t>
            </w:r>
          </w:p>
        </w:tc>
        <w:tc>
          <w:tcPr>
            <w:tcW w:w="22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2126"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1134"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992"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ascii="宋体" w:hAnsi="宋体"/>
                <w:color w:val="000000"/>
                <w:kern w:val="0"/>
                <w:sz w:val="21"/>
                <w:szCs w:val="21"/>
              </w:rPr>
              <w:t>8</w:t>
            </w:r>
          </w:p>
        </w:tc>
        <w:tc>
          <w:tcPr>
            <w:tcW w:w="2268"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2126"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1134" w:type="dxa"/>
            <w:tcBorders>
              <w:top w:val="single" w:color="000000" w:sz="6" w:space="0"/>
              <w:left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992" w:type="dxa"/>
            <w:tcBorders>
              <w:top w:val="single" w:color="000000" w:sz="6" w:space="0"/>
              <w:left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ascii="宋体" w:hAnsi="宋体"/>
                <w:color w:val="000000"/>
                <w:kern w:val="0"/>
                <w:sz w:val="21"/>
                <w:szCs w:val="21"/>
              </w:rPr>
              <w:t>9</w:t>
            </w:r>
          </w:p>
        </w:tc>
        <w:tc>
          <w:tcPr>
            <w:tcW w:w="22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r>
        <w:tblPrEx>
          <w:tblCellMar>
            <w:top w:w="0" w:type="dxa"/>
            <w:left w:w="28" w:type="dxa"/>
            <w:bottom w:w="0" w:type="dxa"/>
            <w:right w:w="28" w:type="dxa"/>
          </w:tblCellMar>
        </w:tblPrEx>
        <w:trPr>
          <w:trHeight w:val="396" w:hRule="atLeast"/>
          <w:jc w:val="center"/>
        </w:trPr>
        <w:tc>
          <w:tcPr>
            <w:tcW w:w="5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ascii="宋体" w:hAnsi="宋体"/>
                <w:color w:val="000000"/>
                <w:kern w:val="0"/>
                <w:sz w:val="21"/>
                <w:szCs w:val="21"/>
              </w:rPr>
            </w:pPr>
            <w:r>
              <w:rPr>
                <w:rFonts w:hint="eastAsia" w:ascii="宋体" w:hAnsi="宋体"/>
                <w:color w:val="000000"/>
                <w:kern w:val="0"/>
                <w:sz w:val="21"/>
                <w:szCs w:val="21"/>
              </w:rPr>
              <w:t>10</w:t>
            </w:r>
          </w:p>
        </w:tc>
        <w:tc>
          <w:tcPr>
            <w:tcW w:w="226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2126"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1134"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宋体" w:hAnsi="宋体"/>
                <w:color w:val="000000"/>
                <w:kern w:val="0"/>
                <w:sz w:val="21"/>
                <w:szCs w:val="21"/>
              </w:rPr>
            </w:pPr>
          </w:p>
        </w:tc>
        <w:tc>
          <w:tcPr>
            <w:tcW w:w="99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ind w:firstLine="420"/>
              <w:jc w:val="center"/>
              <w:rPr>
                <w:rFonts w:ascii="宋体" w:hAnsi="宋体"/>
                <w:color w:val="000000"/>
                <w:kern w:val="0"/>
                <w:sz w:val="21"/>
                <w:szCs w:val="21"/>
              </w:rPr>
            </w:pPr>
          </w:p>
        </w:tc>
      </w:tr>
    </w:tbl>
    <w:p>
      <w:pPr>
        <w:spacing w:line="360" w:lineRule="auto"/>
        <w:ind w:firstLine="420" w:firstLineChars="200"/>
        <w:rPr>
          <w:rFonts w:hint="eastAsia" w:ascii="宋体" w:hAnsi="宋体"/>
          <w:color w:val="000000"/>
        </w:rPr>
      </w:pPr>
      <w:r>
        <w:rPr>
          <w:rFonts w:hint="eastAsia" w:ascii="宋体" w:hAnsi="宋体"/>
          <w:color w:val="000000"/>
        </w:rPr>
        <w:t>注：所有备品备件应为全新产品，与成套供货设备的相应部件为同一厂家生产，并能够互换，具有相同的技术规范和相同的规格、材质、制造工艺。</w:t>
      </w:r>
    </w:p>
    <w:p>
      <w:pPr>
        <w:pStyle w:val="3"/>
        <w:keepNext/>
        <w:keepLines/>
        <w:numPr>
          <w:ilvl w:val="0"/>
          <w:numId w:val="0"/>
        </w:numPr>
        <w:spacing w:beforeLines="0" w:afterLines="0" w:line="360" w:lineRule="auto"/>
        <w:rPr>
          <w:rFonts w:ascii="宋体" w:hAnsi="宋体"/>
          <w:color w:val="auto"/>
          <w:sz w:val="24"/>
          <w:szCs w:val="20"/>
        </w:rPr>
      </w:pPr>
      <w:bookmarkStart w:id="603" w:name="_Toc253650931"/>
      <w:bookmarkStart w:id="604" w:name="_Toc15424"/>
      <w:bookmarkStart w:id="605" w:name="_Toc27127623"/>
      <w:r>
        <w:rPr>
          <w:rFonts w:hint="eastAsia" w:ascii="宋体" w:hAnsi="宋体"/>
          <w:color w:val="auto"/>
          <w:sz w:val="24"/>
          <w:szCs w:val="20"/>
        </w:rPr>
        <w:t>5.2 专用工具</w:t>
      </w:r>
      <w:bookmarkEnd w:id="603"/>
      <w:bookmarkEnd w:id="604"/>
      <w:bookmarkEnd w:id="605"/>
    </w:p>
    <w:p>
      <w:pPr>
        <w:spacing w:line="360" w:lineRule="auto"/>
        <w:rPr>
          <w:rFonts w:ascii="宋体" w:hAnsi="宋体"/>
        </w:rPr>
      </w:pPr>
      <w:r>
        <w:rPr>
          <w:rFonts w:hint="eastAsia" w:ascii="宋体" w:hAnsi="宋体"/>
        </w:rPr>
        <w:t xml:space="preserve">    投标方向招标方提供专用工具及仪器见下表</w:t>
      </w:r>
    </w:p>
    <w:p>
      <w:pPr>
        <w:spacing w:line="360" w:lineRule="auto"/>
        <w:jc w:val="center"/>
        <w:rPr>
          <w:rFonts w:ascii="宋体" w:hAnsi="宋体"/>
        </w:rPr>
      </w:pPr>
      <w:r>
        <w:rPr>
          <w:rFonts w:hint="eastAsia" w:ascii="宋体" w:hAnsi="宋体"/>
        </w:rPr>
        <w:t>专用工器具清单</w:t>
      </w:r>
    </w:p>
    <w:tbl>
      <w:tblPr>
        <w:tblStyle w:val="21"/>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020"/>
        <w:gridCol w:w="1182"/>
        <w:gridCol w:w="1017"/>
        <w:gridCol w:w="1017"/>
        <w:gridCol w:w="2020"/>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jc w:val="center"/>
              <w:textAlignment w:val="baseline"/>
              <w:rPr>
                <w:rFonts w:ascii="宋体" w:hAnsi="宋体"/>
                <w:szCs w:val="21"/>
              </w:rPr>
            </w:pPr>
            <w:r>
              <w:rPr>
                <w:rFonts w:hint="eastAsia" w:ascii="宋体" w:hAnsi="宋体"/>
                <w:szCs w:val="21"/>
              </w:rPr>
              <w:t>序号</w:t>
            </w:r>
          </w:p>
        </w:tc>
        <w:tc>
          <w:tcPr>
            <w:tcW w:w="2020" w:type="dxa"/>
            <w:vAlign w:val="center"/>
          </w:tcPr>
          <w:p>
            <w:pPr>
              <w:jc w:val="center"/>
              <w:textAlignment w:val="baseline"/>
              <w:rPr>
                <w:rFonts w:ascii="宋体" w:hAnsi="宋体"/>
                <w:szCs w:val="21"/>
              </w:rPr>
            </w:pPr>
            <w:r>
              <w:rPr>
                <w:rFonts w:hint="eastAsia" w:ascii="宋体" w:hAnsi="宋体"/>
                <w:szCs w:val="21"/>
              </w:rPr>
              <w:t>名   称</w:t>
            </w:r>
          </w:p>
        </w:tc>
        <w:tc>
          <w:tcPr>
            <w:tcW w:w="1182" w:type="dxa"/>
            <w:vAlign w:val="center"/>
          </w:tcPr>
          <w:p>
            <w:pPr>
              <w:jc w:val="center"/>
              <w:textAlignment w:val="baseline"/>
              <w:rPr>
                <w:rFonts w:ascii="宋体" w:hAnsi="宋体"/>
                <w:szCs w:val="21"/>
              </w:rPr>
            </w:pPr>
            <w:r>
              <w:rPr>
                <w:rFonts w:hint="eastAsia" w:ascii="宋体" w:hAnsi="宋体"/>
                <w:szCs w:val="21"/>
              </w:rPr>
              <w:t>型 号</w:t>
            </w:r>
          </w:p>
        </w:tc>
        <w:tc>
          <w:tcPr>
            <w:tcW w:w="1017" w:type="dxa"/>
            <w:vAlign w:val="center"/>
          </w:tcPr>
          <w:p>
            <w:pPr>
              <w:jc w:val="center"/>
              <w:textAlignment w:val="baseline"/>
              <w:rPr>
                <w:rFonts w:ascii="宋体" w:hAnsi="宋体"/>
                <w:szCs w:val="21"/>
              </w:rPr>
            </w:pPr>
            <w:r>
              <w:rPr>
                <w:rFonts w:hint="eastAsia" w:ascii="宋体" w:hAnsi="宋体"/>
                <w:szCs w:val="21"/>
              </w:rPr>
              <w:t>单位</w:t>
            </w:r>
          </w:p>
        </w:tc>
        <w:tc>
          <w:tcPr>
            <w:tcW w:w="1017" w:type="dxa"/>
            <w:vAlign w:val="center"/>
          </w:tcPr>
          <w:p>
            <w:pPr>
              <w:jc w:val="center"/>
              <w:textAlignment w:val="baseline"/>
              <w:rPr>
                <w:rFonts w:ascii="宋体" w:hAnsi="宋体"/>
                <w:szCs w:val="21"/>
              </w:rPr>
            </w:pPr>
            <w:r>
              <w:rPr>
                <w:rFonts w:hint="eastAsia" w:ascii="宋体" w:hAnsi="宋体"/>
                <w:szCs w:val="21"/>
              </w:rPr>
              <w:t>数量</w:t>
            </w:r>
          </w:p>
        </w:tc>
        <w:tc>
          <w:tcPr>
            <w:tcW w:w="2020" w:type="dxa"/>
            <w:vAlign w:val="center"/>
          </w:tcPr>
          <w:p>
            <w:pPr>
              <w:jc w:val="center"/>
              <w:textAlignment w:val="baseline"/>
              <w:rPr>
                <w:rFonts w:ascii="宋体" w:hAnsi="宋体"/>
                <w:szCs w:val="21"/>
              </w:rPr>
            </w:pPr>
            <w:r>
              <w:rPr>
                <w:rFonts w:hint="eastAsia" w:ascii="宋体" w:hAnsi="宋体"/>
                <w:szCs w:val="21"/>
              </w:rPr>
              <w:t>用  途</w:t>
            </w:r>
          </w:p>
        </w:tc>
        <w:tc>
          <w:tcPr>
            <w:tcW w:w="776" w:type="dxa"/>
            <w:vAlign w:val="center"/>
          </w:tcPr>
          <w:p>
            <w:pPr>
              <w:jc w:val="center"/>
              <w:textAlignment w:val="baseline"/>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jc w:val="center"/>
              <w:textAlignment w:val="baseline"/>
              <w:rPr>
                <w:rFonts w:ascii="宋体" w:hAnsi="宋体"/>
                <w:szCs w:val="21"/>
              </w:rPr>
            </w:pPr>
            <w:r>
              <w:rPr>
                <w:rFonts w:hint="eastAsia" w:ascii="宋体" w:hAnsi="宋体"/>
                <w:szCs w:val="21"/>
              </w:rPr>
              <w:t>1</w:t>
            </w:r>
          </w:p>
        </w:tc>
        <w:tc>
          <w:tcPr>
            <w:tcW w:w="2020" w:type="dxa"/>
            <w:vAlign w:val="center"/>
          </w:tcPr>
          <w:p>
            <w:pPr>
              <w:jc w:val="center"/>
              <w:textAlignment w:val="baseline"/>
              <w:rPr>
                <w:rFonts w:ascii="宋体" w:hAnsi="宋体"/>
                <w:szCs w:val="21"/>
              </w:rPr>
            </w:pPr>
          </w:p>
        </w:tc>
        <w:tc>
          <w:tcPr>
            <w:tcW w:w="1182" w:type="dxa"/>
            <w:vAlign w:val="center"/>
          </w:tcPr>
          <w:p>
            <w:pPr>
              <w:jc w:val="center"/>
              <w:textAlignment w:val="baseline"/>
              <w:rPr>
                <w:rFonts w:ascii="宋体" w:hAnsi="宋体"/>
                <w:szCs w:val="21"/>
              </w:rPr>
            </w:pPr>
          </w:p>
        </w:tc>
        <w:tc>
          <w:tcPr>
            <w:tcW w:w="1017" w:type="dxa"/>
            <w:vAlign w:val="center"/>
          </w:tcPr>
          <w:p>
            <w:pPr>
              <w:jc w:val="center"/>
              <w:textAlignment w:val="baseline"/>
              <w:rPr>
                <w:rFonts w:ascii="宋体" w:hAnsi="宋体"/>
                <w:szCs w:val="21"/>
              </w:rPr>
            </w:pPr>
          </w:p>
        </w:tc>
        <w:tc>
          <w:tcPr>
            <w:tcW w:w="1017" w:type="dxa"/>
            <w:vAlign w:val="center"/>
          </w:tcPr>
          <w:p>
            <w:pPr>
              <w:jc w:val="center"/>
              <w:textAlignment w:val="baseline"/>
              <w:rPr>
                <w:rFonts w:ascii="宋体" w:hAnsi="宋体"/>
                <w:szCs w:val="21"/>
              </w:rPr>
            </w:pPr>
          </w:p>
        </w:tc>
        <w:tc>
          <w:tcPr>
            <w:tcW w:w="2020" w:type="dxa"/>
            <w:vAlign w:val="center"/>
          </w:tcPr>
          <w:p>
            <w:pPr>
              <w:jc w:val="center"/>
              <w:textAlignment w:val="baseline"/>
              <w:rPr>
                <w:rFonts w:ascii="宋体" w:hAnsi="宋体"/>
                <w:szCs w:val="21"/>
              </w:rPr>
            </w:pPr>
          </w:p>
        </w:tc>
        <w:tc>
          <w:tcPr>
            <w:tcW w:w="776" w:type="dxa"/>
            <w:vAlign w:val="center"/>
          </w:tcPr>
          <w:p>
            <w:pPr>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jc w:val="center"/>
              <w:textAlignment w:val="baseline"/>
              <w:rPr>
                <w:rFonts w:ascii="宋体" w:hAnsi="宋体"/>
                <w:szCs w:val="21"/>
              </w:rPr>
            </w:pPr>
            <w:r>
              <w:rPr>
                <w:rFonts w:hint="eastAsia" w:ascii="宋体" w:hAnsi="宋体"/>
                <w:szCs w:val="21"/>
              </w:rPr>
              <w:t>2</w:t>
            </w:r>
          </w:p>
        </w:tc>
        <w:tc>
          <w:tcPr>
            <w:tcW w:w="2020" w:type="dxa"/>
            <w:vAlign w:val="center"/>
          </w:tcPr>
          <w:p>
            <w:pPr>
              <w:jc w:val="center"/>
              <w:textAlignment w:val="baseline"/>
              <w:rPr>
                <w:rFonts w:ascii="宋体" w:hAnsi="宋体"/>
                <w:szCs w:val="21"/>
              </w:rPr>
            </w:pPr>
          </w:p>
        </w:tc>
        <w:tc>
          <w:tcPr>
            <w:tcW w:w="1182" w:type="dxa"/>
            <w:vAlign w:val="center"/>
          </w:tcPr>
          <w:p>
            <w:pPr>
              <w:jc w:val="center"/>
              <w:textAlignment w:val="baseline"/>
              <w:rPr>
                <w:rFonts w:ascii="宋体" w:hAnsi="宋体"/>
                <w:szCs w:val="21"/>
              </w:rPr>
            </w:pPr>
          </w:p>
        </w:tc>
        <w:tc>
          <w:tcPr>
            <w:tcW w:w="1017" w:type="dxa"/>
            <w:vAlign w:val="center"/>
          </w:tcPr>
          <w:p>
            <w:pPr>
              <w:jc w:val="center"/>
              <w:textAlignment w:val="baseline"/>
              <w:rPr>
                <w:rFonts w:ascii="宋体" w:hAnsi="宋体"/>
                <w:szCs w:val="21"/>
              </w:rPr>
            </w:pPr>
          </w:p>
        </w:tc>
        <w:tc>
          <w:tcPr>
            <w:tcW w:w="1017" w:type="dxa"/>
            <w:vAlign w:val="center"/>
          </w:tcPr>
          <w:p>
            <w:pPr>
              <w:jc w:val="center"/>
              <w:textAlignment w:val="baseline"/>
              <w:rPr>
                <w:rFonts w:ascii="宋体" w:hAnsi="宋体"/>
                <w:szCs w:val="21"/>
              </w:rPr>
            </w:pPr>
          </w:p>
        </w:tc>
        <w:tc>
          <w:tcPr>
            <w:tcW w:w="2020" w:type="dxa"/>
            <w:vAlign w:val="center"/>
          </w:tcPr>
          <w:p>
            <w:pPr>
              <w:jc w:val="center"/>
              <w:textAlignment w:val="baseline"/>
              <w:rPr>
                <w:rFonts w:ascii="宋体" w:hAnsi="宋体"/>
                <w:szCs w:val="21"/>
              </w:rPr>
            </w:pPr>
          </w:p>
        </w:tc>
        <w:tc>
          <w:tcPr>
            <w:tcW w:w="776" w:type="dxa"/>
            <w:vAlign w:val="center"/>
          </w:tcPr>
          <w:p>
            <w:pPr>
              <w:jc w:val="center"/>
              <w:textAlignment w:val="baseline"/>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8" w:type="dxa"/>
            <w:vAlign w:val="center"/>
          </w:tcPr>
          <w:p>
            <w:pPr>
              <w:jc w:val="center"/>
              <w:textAlignment w:val="baseline"/>
              <w:rPr>
                <w:rFonts w:ascii="宋体" w:hAnsi="宋体"/>
                <w:szCs w:val="21"/>
              </w:rPr>
            </w:pPr>
            <w:r>
              <w:rPr>
                <w:rFonts w:hint="eastAsia" w:ascii="宋体" w:hAnsi="宋体"/>
                <w:szCs w:val="21"/>
              </w:rPr>
              <w:t>3</w:t>
            </w:r>
          </w:p>
        </w:tc>
        <w:tc>
          <w:tcPr>
            <w:tcW w:w="2020" w:type="dxa"/>
            <w:vAlign w:val="center"/>
          </w:tcPr>
          <w:p>
            <w:pPr>
              <w:jc w:val="center"/>
              <w:textAlignment w:val="baseline"/>
              <w:rPr>
                <w:rFonts w:ascii="宋体" w:hAnsi="宋体"/>
                <w:szCs w:val="21"/>
              </w:rPr>
            </w:pPr>
          </w:p>
        </w:tc>
        <w:tc>
          <w:tcPr>
            <w:tcW w:w="1182" w:type="dxa"/>
            <w:vAlign w:val="center"/>
          </w:tcPr>
          <w:p>
            <w:pPr>
              <w:jc w:val="center"/>
              <w:textAlignment w:val="baseline"/>
              <w:rPr>
                <w:rFonts w:ascii="宋体" w:hAnsi="宋体"/>
                <w:szCs w:val="21"/>
              </w:rPr>
            </w:pPr>
          </w:p>
        </w:tc>
        <w:tc>
          <w:tcPr>
            <w:tcW w:w="1017" w:type="dxa"/>
            <w:vAlign w:val="center"/>
          </w:tcPr>
          <w:p>
            <w:pPr>
              <w:jc w:val="center"/>
              <w:textAlignment w:val="baseline"/>
              <w:rPr>
                <w:rFonts w:ascii="宋体" w:hAnsi="宋体"/>
                <w:szCs w:val="21"/>
              </w:rPr>
            </w:pPr>
          </w:p>
        </w:tc>
        <w:tc>
          <w:tcPr>
            <w:tcW w:w="1017" w:type="dxa"/>
            <w:vAlign w:val="center"/>
          </w:tcPr>
          <w:p>
            <w:pPr>
              <w:jc w:val="center"/>
              <w:textAlignment w:val="baseline"/>
              <w:rPr>
                <w:rFonts w:ascii="宋体" w:hAnsi="宋体"/>
                <w:szCs w:val="21"/>
              </w:rPr>
            </w:pPr>
          </w:p>
        </w:tc>
        <w:tc>
          <w:tcPr>
            <w:tcW w:w="2020" w:type="dxa"/>
            <w:vAlign w:val="center"/>
          </w:tcPr>
          <w:p>
            <w:pPr>
              <w:jc w:val="center"/>
              <w:textAlignment w:val="baseline"/>
              <w:rPr>
                <w:rFonts w:ascii="宋体" w:hAnsi="宋体"/>
                <w:szCs w:val="21"/>
              </w:rPr>
            </w:pPr>
          </w:p>
        </w:tc>
        <w:tc>
          <w:tcPr>
            <w:tcW w:w="776" w:type="dxa"/>
            <w:vAlign w:val="center"/>
          </w:tcPr>
          <w:p>
            <w:pPr>
              <w:jc w:val="center"/>
              <w:textAlignment w:val="baseline"/>
              <w:rPr>
                <w:rFonts w:ascii="宋体" w:hAnsi="宋体"/>
                <w:szCs w:val="21"/>
              </w:rPr>
            </w:pPr>
          </w:p>
        </w:tc>
      </w:tr>
    </w:tbl>
    <w:p>
      <w:pPr>
        <w:rPr>
          <w:rFonts w:ascii="宋体" w:hAnsi="宋体"/>
          <w:b/>
        </w:rPr>
      </w:pPr>
    </w:p>
    <w:p>
      <w:pPr>
        <w:pStyle w:val="3"/>
        <w:keepNext/>
        <w:keepLines/>
        <w:numPr>
          <w:ilvl w:val="0"/>
          <w:numId w:val="0"/>
        </w:numPr>
        <w:spacing w:beforeLines="0" w:afterLines="0" w:line="360" w:lineRule="auto"/>
        <w:rPr>
          <w:rFonts w:ascii="宋体" w:hAnsi="宋体"/>
          <w:color w:val="auto"/>
          <w:sz w:val="24"/>
          <w:szCs w:val="20"/>
        </w:rPr>
      </w:pPr>
      <w:bookmarkStart w:id="606" w:name="_Toc253650932"/>
      <w:bookmarkStart w:id="607" w:name="_Toc8636"/>
      <w:bookmarkStart w:id="608" w:name="_Toc27127624"/>
      <w:r>
        <w:rPr>
          <w:rFonts w:hint="eastAsia" w:ascii="宋体" w:hAnsi="宋体"/>
          <w:color w:val="auto"/>
          <w:sz w:val="24"/>
          <w:szCs w:val="20"/>
        </w:rPr>
        <w:t>5.3 外购</w:t>
      </w:r>
      <w:bookmarkEnd w:id="606"/>
      <w:r>
        <w:rPr>
          <w:rFonts w:hint="eastAsia" w:ascii="宋体" w:hAnsi="宋体"/>
          <w:color w:val="auto"/>
          <w:sz w:val="24"/>
          <w:szCs w:val="20"/>
        </w:rPr>
        <w:t>（投标单位根据外购设备情况扩展本表格）</w:t>
      </w:r>
      <w:bookmarkEnd w:id="607"/>
      <w:bookmarkEnd w:id="608"/>
    </w:p>
    <w:tbl>
      <w:tblPr>
        <w:tblStyle w:val="21"/>
        <w:tblW w:w="896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83"/>
        <w:gridCol w:w="1275"/>
        <w:gridCol w:w="2842"/>
        <w:gridCol w:w="706"/>
        <w:gridCol w:w="704"/>
        <w:gridCol w:w="905"/>
        <w:gridCol w:w="1371"/>
        <w:gridCol w:w="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583" w:type="dxa"/>
            <w:vAlign w:val="center"/>
          </w:tcPr>
          <w:p>
            <w:pPr>
              <w:jc w:val="center"/>
              <w:textAlignment w:val="baseline"/>
              <w:rPr>
                <w:rFonts w:ascii="宋体" w:hAnsi="宋体"/>
                <w:szCs w:val="21"/>
              </w:rPr>
            </w:pPr>
            <w:r>
              <w:rPr>
                <w:rFonts w:hint="eastAsia" w:ascii="宋体" w:hAnsi="宋体"/>
                <w:szCs w:val="21"/>
              </w:rPr>
              <w:t>序号</w:t>
            </w:r>
          </w:p>
        </w:tc>
        <w:tc>
          <w:tcPr>
            <w:tcW w:w="1275" w:type="dxa"/>
            <w:vAlign w:val="center"/>
          </w:tcPr>
          <w:p>
            <w:pPr>
              <w:textAlignment w:val="baseline"/>
              <w:rPr>
                <w:rFonts w:ascii="宋体" w:hAnsi="宋体"/>
                <w:szCs w:val="21"/>
              </w:rPr>
            </w:pPr>
            <w:r>
              <w:rPr>
                <w:rFonts w:hint="eastAsia" w:ascii="宋体" w:hAnsi="宋体"/>
                <w:szCs w:val="21"/>
              </w:rPr>
              <w:t>设备</w:t>
            </w:r>
            <w:r>
              <w:rPr>
                <w:rFonts w:ascii="宋体" w:hAnsi="宋体"/>
                <w:szCs w:val="21"/>
              </w:rPr>
              <w:t>/</w:t>
            </w:r>
            <w:r>
              <w:rPr>
                <w:rFonts w:hint="eastAsia" w:ascii="宋体" w:hAnsi="宋体"/>
                <w:szCs w:val="21"/>
              </w:rPr>
              <w:t>部组件</w:t>
            </w:r>
          </w:p>
        </w:tc>
        <w:tc>
          <w:tcPr>
            <w:tcW w:w="2842" w:type="dxa"/>
            <w:vAlign w:val="center"/>
          </w:tcPr>
          <w:p>
            <w:pPr>
              <w:jc w:val="center"/>
              <w:textAlignment w:val="baseline"/>
              <w:rPr>
                <w:rFonts w:ascii="宋体" w:hAnsi="宋体"/>
                <w:szCs w:val="21"/>
              </w:rPr>
            </w:pPr>
            <w:r>
              <w:rPr>
                <w:rFonts w:hint="eastAsia" w:ascii="宋体" w:hAnsi="宋体"/>
                <w:szCs w:val="21"/>
              </w:rPr>
              <w:t>型号</w:t>
            </w:r>
          </w:p>
        </w:tc>
        <w:tc>
          <w:tcPr>
            <w:tcW w:w="706" w:type="dxa"/>
            <w:vAlign w:val="center"/>
          </w:tcPr>
          <w:p>
            <w:pPr>
              <w:jc w:val="center"/>
              <w:textAlignment w:val="baseline"/>
              <w:rPr>
                <w:rFonts w:ascii="宋体" w:hAnsi="宋体"/>
                <w:szCs w:val="21"/>
              </w:rPr>
            </w:pPr>
            <w:r>
              <w:rPr>
                <w:rFonts w:hint="eastAsia" w:ascii="宋体" w:hAnsi="宋体"/>
                <w:szCs w:val="21"/>
              </w:rPr>
              <w:t>单位</w:t>
            </w:r>
          </w:p>
        </w:tc>
        <w:tc>
          <w:tcPr>
            <w:tcW w:w="704" w:type="dxa"/>
            <w:vAlign w:val="center"/>
          </w:tcPr>
          <w:p>
            <w:pPr>
              <w:jc w:val="center"/>
              <w:textAlignment w:val="baseline"/>
              <w:rPr>
                <w:rFonts w:ascii="宋体" w:hAnsi="宋体"/>
                <w:szCs w:val="21"/>
              </w:rPr>
            </w:pPr>
            <w:r>
              <w:rPr>
                <w:rFonts w:hint="eastAsia" w:ascii="宋体" w:hAnsi="宋体"/>
                <w:szCs w:val="21"/>
              </w:rPr>
              <w:t>数量</w:t>
            </w:r>
          </w:p>
        </w:tc>
        <w:tc>
          <w:tcPr>
            <w:tcW w:w="905" w:type="dxa"/>
            <w:vAlign w:val="center"/>
          </w:tcPr>
          <w:p>
            <w:pPr>
              <w:jc w:val="center"/>
              <w:textAlignment w:val="baseline"/>
              <w:rPr>
                <w:rFonts w:ascii="宋体" w:hAnsi="宋体"/>
                <w:szCs w:val="21"/>
              </w:rPr>
            </w:pPr>
            <w:r>
              <w:rPr>
                <w:rFonts w:hint="eastAsia" w:ascii="宋体" w:hAnsi="宋体"/>
                <w:szCs w:val="21"/>
              </w:rPr>
              <w:t>产地</w:t>
            </w:r>
          </w:p>
        </w:tc>
        <w:tc>
          <w:tcPr>
            <w:tcW w:w="1371" w:type="dxa"/>
            <w:vAlign w:val="center"/>
          </w:tcPr>
          <w:p>
            <w:pPr>
              <w:jc w:val="center"/>
              <w:textAlignment w:val="baseline"/>
              <w:rPr>
                <w:rFonts w:ascii="宋体" w:hAnsi="宋体"/>
                <w:szCs w:val="21"/>
              </w:rPr>
            </w:pPr>
            <w:r>
              <w:rPr>
                <w:rFonts w:hint="eastAsia" w:ascii="宋体" w:hAnsi="宋体"/>
                <w:szCs w:val="21"/>
              </w:rPr>
              <w:t>厂家名称</w:t>
            </w:r>
          </w:p>
        </w:tc>
        <w:tc>
          <w:tcPr>
            <w:tcW w:w="575" w:type="dxa"/>
            <w:vAlign w:val="center"/>
          </w:tcPr>
          <w:p>
            <w:pPr>
              <w:ind w:left="-90"/>
              <w:jc w:val="center"/>
              <w:rPr>
                <w:rFonts w:ascii="华文细黑" w:hAnsi="华文细黑" w:eastAsia="华文细黑"/>
                <w:szCs w:val="21"/>
              </w:rPr>
            </w:pPr>
            <w:r>
              <w:rPr>
                <w:rFonts w:hint="eastAsia" w:ascii="华文细黑" w:hAnsi="华文细黑" w:eastAsia="华文细黑"/>
                <w:kern w:val="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583" w:type="dxa"/>
            <w:vAlign w:val="center"/>
          </w:tcPr>
          <w:p>
            <w:pPr>
              <w:jc w:val="center"/>
              <w:textAlignment w:val="baseline"/>
              <w:rPr>
                <w:rFonts w:hint="eastAsia" w:ascii="宋体" w:hAnsi="宋体"/>
                <w:szCs w:val="21"/>
              </w:rPr>
            </w:pPr>
            <w:r>
              <w:rPr>
                <w:rFonts w:hint="eastAsia" w:ascii="宋体" w:hAnsi="宋体"/>
                <w:szCs w:val="21"/>
              </w:rPr>
              <w:t>1</w:t>
            </w:r>
          </w:p>
        </w:tc>
        <w:tc>
          <w:tcPr>
            <w:tcW w:w="1275" w:type="dxa"/>
            <w:vAlign w:val="center"/>
          </w:tcPr>
          <w:p>
            <w:pPr>
              <w:jc w:val="center"/>
              <w:textAlignment w:val="baseline"/>
              <w:rPr>
                <w:rFonts w:ascii="宋体" w:hAnsi="宋体"/>
                <w:szCs w:val="21"/>
              </w:rPr>
            </w:pPr>
          </w:p>
        </w:tc>
        <w:tc>
          <w:tcPr>
            <w:tcW w:w="2842" w:type="dxa"/>
            <w:vAlign w:val="center"/>
          </w:tcPr>
          <w:p>
            <w:pPr>
              <w:jc w:val="center"/>
              <w:textAlignment w:val="baseline"/>
              <w:rPr>
                <w:rFonts w:ascii="宋体" w:hAnsi="宋体"/>
                <w:szCs w:val="21"/>
              </w:rPr>
            </w:pPr>
          </w:p>
        </w:tc>
        <w:tc>
          <w:tcPr>
            <w:tcW w:w="706" w:type="dxa"/>
            <w:vAlign w:val="center"/>
          </w:tcPr>
          <w:p>
            <w:pPr>
              <w:jc w:val="center"/>
              <w:textAlignment w:val="baseline"/>
              <w:rPr>
                <w:rFonts w:ascii="宋体" w:hAnsi="宋体"/>
                <w:szCs w:val="21"/>
              </w:rPr>
            </w:pPr>
          </w:p>
        </w:tc>
        <w:tc>
          <w:tcPr>
            <w:tcW w:w="704" w:type="dxa"/>
            <w:vAlign w:val="center"/>
          </w:tcPr>
          <w:p>
            <w:pPr>
              <w:jc w:val="center"/>
              <w:textAlignment w:val="baseline"/>
              <w:rPr>
                <w:rFonts w:ascii="宋体" w:hAnsi="宋体"/>
                <w:szCs w:val="21"/>
              </w:rPr>
            </w:pPr>
          </w:p>
        </w:tc>
        <w:tc>
          <w:tcPr>
            <w:tcW w:w="905" w:type="dxa"/>
            <w:vAlign w:val="top"/>
          </w:tcPr>
          <w:p>
            <w:pPr>
              <w:ind w:left="-90"/>
              <w:jc w:val="center"/>
              <w:rPr>
                <w:rFonts w:ascii="宋体" w:hAnsi="宋体"/>
                <w:szCs w:val="21"/>
              </w:rPr>
            </w:pPr>
          </w:p>
        </w:tc>
        <w:tc>
          <w:tcPr>
            <w:tcW w:w="1371" w:type="dxa"/>
            <w:vAlign w:val="center"/>
          </w:tcPr>
          <w:p>
            <w:pPr>
              <w:ind w:left="-90"/>
              <w:jc w:val="center"/>
              <w:rPr>
                <w:rFonts w:ascii="宋体" w:hAnsi="宋体"/>
                <w:szCs w:val="21"/>
              </w:rPr>
            </w:pPr>
          </w:p>
        </w:tc>
        <w:tc>
          <w:tcPr>
            <w:tcW w:w="575" w:type="dxa"/>
            <w:vAlign w:val="center"/>
          </w:tcPr>
          <w:p>
            <w:pPr>
              <w:ind w:left="-90"/>
              <w:jc w:val="center"/>
              <w:rPr>
                <w:rFonts w:ascii="华文细黑" w:hAnsi="华文细黑" w:eastAsia="华文细黑"/>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583" w:type="dxa"/>
            <w:vAlign w:val="center"/>
          </w:tcPr>
          <w:p>
            <w:pPr>
              <w:widowControl/>
              <w:jc w:val="center"/>
              <w:rPr>
                <w:rFonts w:hint="eastAsia" w:ascii="宋体" w:hAnsi="宋体"/>
                <w:kern w:val="0"/>
                <w:szCs w:val="21"/>
              </w:rPr>
            </w:pPr>
            <w:r>
              <w:rPr>
                <w:rFonts w:hint="eastAsia" w:ascii="宋体" w:hAnsi="宋体"/>
                <w:kern w:val="0"/>
                <w:szCs w:val="21"/>
              </w:rPr>
              <w:t>2</w:t>
            </w:r>
          </w:p>
        </w:tc>
        <w:tc>
          <w:tcPr>
            <w:tcW w:w="1275" w:type="dxa"/>
            <w:vAlign w:val="center"/>
          </w:tcPr>
          <w:p>
            <w:pPr>
              <w:ind w:left="-90"/>
              <w:jc w:val="center"/>
              <w:rPr>
                <w:rFonts w:ascii="宋体" w:hAnsi="宋体"/>
                <w:kern w:val="0"/>
                <w:szCs w:val="21"/>
              </w:rPr>
            </w:pPr>
          </w:p>
        </w:tc>
        <w:tc>
          <w:tcPr>
            <w:tcW w:w="2842" w:type="dxa"/>
            <w:vAlign w:val="center"/>
          </w:tcPr>
          <w:p>
            <w:pPr>
              <w:ind w:left="-90"/>
              <w:jc w:val="center"/>
              <w:rPr>
                <w:rFonts w:ascii="宋体" w:hAnsi="宋体"/>
                <w:kern w:val="0"/>
                <w:szCs w:val="21"/>
              </w:rPr>
            </w:pPr>
          </w:p>
        </w:tc>
        <w:tc>
          <w:tcPr>
            <w:tcW w:w="706" w:type="dxa"/>
            <w:vAlign w:val="center"/>
          </w:tcPr>
          <w:p>
            <w:pPr>
              <w:widowControl/>
              <w:jc w:val="center"/>
              <w:rPr>
                <w:rFonts w:ascii="宋体" w:hAnsi="宋体"/>
                <w:kern w:val="0"/>
                <w:szCs w:val="21"/>
              </w:rPr>
            </w:pPr>
          </w:p>
        </w:tc>
        <w:tc>
          <w:tcPr>
            <w:tcW w:w="704" w:type="dxa"/>
            <w:vAlign w:val="center"/>
          </w:tcPr>
          <w:p>
            <w:pPr>
              <w:widowControl/>
              <w:jc w:val="center"/>
              <w:rPr>
                <w:rFonts w:ascii="宋体" w:hAnsi="宋体"/>
                <w:kern w:val="0"/>
                <w:szCs w:val="21"/>
              </w:rPr>
            </w:pPr>
          </w:p>
        </w:tc>
        <w:tc>
          <w:tcPr>
            <w:tcW w:w="905" w:type="dxa"/>
            <w:vAlign w:val="center"/>
          </w:tcPr>
          <w:p>
            <w:pPr>
              <w:ind w:left="-90"/>
              <w:jc w:val="center"/>
              <w:rPr>
                <w:rFonts w:ascii="宋体" w:hAnsi="宋体"/>
                <w:kern w:val="0"/>
                <w:szCs w:val="21"/>
              </w:rPr>
            </w:pPr>
          </w:p>
        </w:tc>
        <w:tc>
          <w:tcPr>
            <w:tcW w:w="1371" w:type="dxa"/>
            <w:vAlign w:val="center"/>
          </w:tcPr>
          <w:p>
            <w:pPr>
              <w:jc w:val="center"/>
              <w:rPr>
                <w:rFonts w:ascii="宋体" w:hAnsi="宋体"/>
                <w:szCs w:val="21"/>
              </w:rPr>
            </w:pPr>
          </w:p>
        </w:tc>
        <w:tc>
          <w:tcPr>
            <w:tcW w:w="575" w:type="dxa"/>
            <w:vAlign w:val="center"/>
          </w:tcPr>
          <w:p>
            <w:pPr>
              <w:ind w:left="-90"/>
              <w:jc w:val="center"/>
              <w:rPr>
                <w:rFonts w:ascii="宋体" w:hAnsi="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583" w:type="dxa"/>
            <w:vAlign w:val="center"/>
          </w:tcPr>
          <w:p>
            <w:pPr>
              <w:widowControl/>
              <w:jc w:val="center"/>
              <w:rPr>
                <w:rFonts w:hint="eastAsia" w:ascii="宋体" w:hAnsi="宋体"/>
                <w:kern w:val="0"/>
                <w:szCs w:val="21"/>
              </w:rPr>
            </w:pPr>
            <w:r>
              <w:rPr>
                <w:rFonts w:hint="eastAsia" w:ascii="宋体" w:hAnsi="宋体"/>
                <w:kern w:val="0"/>
                <w:szCs w:val="21"/>
              </w:rPr>
              <w:t>3</w:t>
            </w:r>
          </w:p>
        </w:tc>
        <w:tc>
          <w:tcPr>
            <w:tcW w:w="1275" w:type="dxa"/>
            <w:vAlign w:val="center"/>
          </w:tcPr>
          <w:p>
            <w:pPr>
              <w:ind w:left="-90"/>
              <w:jc w:val="center"/>
              <w:rPr>
                <w:rFonts w:ascii="宋体" w:hAnsi="宋体"/>
                <w:kern w:val="0"/>
                <w:szCs w:val="21"/>
              </w:rPr>
            </w:pPr>
          </w:p>
        </w:tc>
        <w:tc>
          <w:tcPr>
            <w:tcW w:w="2842" w:type="dxa"/>
            <w:vAlign w:val="center"/>
          </w:tcPr>
          <w:p>
            <w:pPr>
              <w:ind w:left="-90"/>
              <w:jc w:val="center"/>
              <w:rPr>
                <w:rFonts w:ascii="宋体" w:hAnsi="宋体"/>
                <w:kern w:val="0"/>
                <w:szCs w:val="21"/>
              </w:rPr>
            </w:pPr>
          </w:p>
        </w:tc>
        <w:tc>
          <w:tcPr>
            <w:tcW w:w="706" w:type="dxa"/>
            <w:vAlign w:val="center"/>
          </w:tcPr>
          <w:p>
            <w:pPr>
              <w:widowControl/>
              <w:jc w:val="center"/>
              <w:rPr>
                <w:rFonts w:ascii="宋体" w:hAnsi="宋体"/>
                <w:kern w:val="0"/>
                <w:szCs w:val="21"/>
              </w:rPr>
            </w:pPr>
          </w:p>
        </w:tc>
        <w:tc>
          <w:tcPr>
            <w:tcW w:w="704" w:type="dxa"/>
            <w:vAlign w:val="center"/>
          </w:tcPr>
          <w:p>
            <w:pPr>
              <w:widowControl/>
              <w:jc w:val="center"/>
              <w:rPr>
                <w:rFonts w:ascii="宋体" w:hAnsi="宋体"/>
                <w:kern w:val="0"/>
                <w:szCs w:val="21"/>
              </w:rPr>
            </w:pPr>
          </w:p>
        </w:tc>
        <w:tc>
          <w:tcPr>
            <w:tcW w:w="905" w:type="dxa"/>
            <w:vAlign w:val="center"/>
          </w:tcPr>
          <w:p>
            <w:pPr>
              <w:ind w:left="-90"/>
              <w:jc w:val="center"/>
              <w:rPr>
                <w:rFonts w:ascii="宋体" w:hAnsi="宋体"/>
                <w:kern w:val="0"/>
                <w:szCs w:val="21"/>
              </w:rPr>
            </w:pPr>
          </w:p>
        </w:tc>
        <w:tc>
          <w:tcPr>
            <w:tcW w:w="1371" w:type="dxa"/>
            <w:vAlign w:val="center"/>
          </w:tcPr>
          <w:p>
            <w:pPr>
              <w:jc w:val="center"/>
              <w:rPr>
                <w:rFonts w:ascii="宋体" w:hAnsi="宋体"/>
                <w:szCs w:val="21"/>
              </w:rPr>
            </w:pPr>
          </w:p>
        </w:tc>
        <w:tc>
          <w:tcPr>
            <w:tcW w:w="575" w:type="dxa"/>
            <w:vAlign w:val="center"/>
          </w:tcPr>
          <w:p>
            <w:pPr>
              <w:ind w:left="-90"/>
              <w:jc w:val="center"/>
              <w:rPr>
                <w:rFonts w:ascii="宋体" w:hAnsi="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583" w:type="dxa"/>
            <w:vAlign w:val="center"/>
          </w:tcPr>
          <w:p>
            <w:pPr>
              <w:widowControl/>
              <w:jc w:val="center"/>
              <w:rPr>
                <w:rFonts w:hint="eastAsia" w:ascii="宋体" w:hAnsi="宋体"/>
                <w:kern w:val="0"/>
                <w:szCs w:val="21"/>
              </w:rPr>
            </w:pPr>
            <w:r>
              <w:rPr>
                <w:rFonts w:hint="eastAsia" w:ascii="宋体" w:hAnsi="宋体"/>
                <w:kern w:val="0"/>
                <w:szCs w:val="21"/>
              </w:rPr>
              <w:t>4</w:t>
            </w:r>
          </w:p>
        </w:tc>
        <w:tc>
          <w:tcPr>
            <w:tcW w:w="1275" w:type="dxa"/>
            <w:vAlign w:val="center"/>
          </w:tcPr>
          <w:p>
            <w:pPr>
              <w:ind w:left="-90"/>
              <w:jc w:val="center"/>
              <w:rPr>
                <w:rFonts w:ascii="宋体" w:hAnsi="宋体"/>
                <w:kern w:val="0"/>
                <w:szCs w:val="21"/>
              </w:rPr>
            </w:pPr>
          </w:p>
        </w:tc>
        <w:tc>
          <w:tcPr>
            <w:tcW w:w="2842" w:type="dxa"/>
            <w:vAlign w:val="center"/>
          </w:tcPr>
          <w:p>
            <w:pPr>
              <w:ind w:left="-90"/>
              <w:jc w:val="center"/>
              <w:rPr>
                <w:rFonts w:ascii="宋体" w:hAnsi="宋体"/>
                <w:kern w:val="0"/>
                <w:szCs w:val="21"/>
              </w:rPr>
            </w:pPr>
          </w:p>
        </w:tc>
        <w:tc>
          <w:tcPr>
            <w:tcW w:w="706" w:type="dxa"/>
            <w:vAlign w:val="center"/>
          </w:tcPr>
          <w:p>
            <w:pPr>
              <w:widowControl/>
              <w:jc w:val="center"/>
              <w:rPr>
                <w:rFonts w:ascii="宋体" w:hAnsi="宋体"/>
                <w:kern w:val="0"/>
                <w:szCs w:val="21"/>
              </w:rPr>
            </w:pPr>
          </w:p>
        </w:tc>
        <w:tc>
          <w:tcPr>
            <w:tcW w:w="704" w:type="dxa"/>
            <w:vAlign w:val="center"/>
          </w:tcPr>
          <w:p>
            <w:pPr>
              <w:widowControl/>
              <w:jc w:val="center"/>
              <w:rPr>
                <w:rFonts w:ascii="宋体" w:hAnsi="宋体"/>
                <w:kern w:val="0"/>
                <w:szCs w:val="21"/>
              </w:rPr>
            </w:pPr>
          </w:p>
        </w:tc>
        <w:tc>
          <w:tcPr>
            <w:tcW w:w="905" w:type="dxa"/>
            <w:vAlign w:val="center"/>
          </w:tcPr>
          <w:p>
            <w:pPr>
              <w:ind w:left="-90"/>
              <w:jc w:val="center"/>
              <w:rPr>
                <w:rFonts w:ascii="宋体" w:hAnsi="宋体"/>
                <w:kern w:val="0"/>
                <w:szCs w:val="21"/>
              </w:rPr>
            </w:pPr>
          </w:p>
        </w:tc>
        <w:tc>
          <w:tcPr>
            <w:tcW w:w="1371" w:type="dxa"/>
            <w:vAlign w:val="center"/>
          </w:tcPr>
          <w:p>
            <w:pPr>
              <w:jc w:val="center"/>
              <w:rPr>
                <w:rFonts w:ascii="宋体" w:hAnsi="宋体"/>
                <w:szCs w:val="21"/>
              </w:rPr>
            </w:pPr>
          </w:p>
        </w:tc>
        <w:tc>
          <w:tcPr>
            <w:tcW w:w="575" w:type="dxa"/>
            <w:vAlign w:val="center"/>
          </w:tcPr>
          <w:p>
            <w:pPr>
              <w:ind w:left="-90"/>
              <w:jc w:val="center"/>
              <w:rPr>
                <w:rFonts w:ascii="宋体" w:hAnsi="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583" w:type="dxa"/>
            <w:vAlign w:val="center"/>
          </w:tcPr>
          <w:p>
            <w:pPr>
              <w:widowControl/>
              <w:jc w:val="center"/>
              <w:rPr>
                <w:rFonts w:hint="eastAsia" w:ascii="宋体" w:hAnsi="宋体"/>
                <w:kern w:val="0"/>
                <w:szCs w:val="21"/>
              </w:rPr>
            </w:pPr>
            <w:r>
              <w:rPr>
                <w:rFonts w:hint="eastAsia" w:ascii="宋体" w:hAnsi="宋体"/>
                <w:kern w:val="0"/>
                <w:szCs w:val="21"/>
              </w:rPr>
              <w:t>5</w:t>
            </w:r>
          </w:p>
        </w:tc>
        <w:tc>
          <w:tcPr>
            <w:tcW w:w="1275" w:type="dxa"/>
            <w:vAlign w:val="center"/>
          </w:tcPr>
          <w:p>
            <w:pPr>
              <w:ind w:left="-90"/>
              <w:jc w:val="center"/>
              <w:rPr>
                <w:rFonts w:ascii="宋体" w:hAnsi="宋体"/>
                <w:kern w:val="0"/>
                <w:szCs w:val="21"/>
              </w:rPr>
            </w:pPr>
          </w:p>
        </w:tc>
        <w:tc>
          <w:tcPr>
            <w:tcW w:w="2842" w:type="dxa"/>
            <w:vAlign w:val="center"/>
          </w:tcPr>
          <w:p>
            <w:pPr>
              <w:ind w:left="-90"/>
              <w:jc w:val="center"/>
              <w:rPr>
                <w:rFonts w:ascii="宋体" w:hAnsi="宋体"/>
                <w:kern w:val="0"/>
                <w:szCs w:val="21"/>
              </w:rPr>
            </w:pPr>
          </w:p>
        </w:tc>
        <w:tc>
          <w:tcPr>
            <w:tcW w:w="706" w:type="dxa"/>
            <w:vAlign w:val="center"/>
          </w:tcPr>
          <w:p>
            <w:pPr>
              <w:widowControl/>
              <w:jc w:val="center"/>
              <w:rPr>
                <w:rFonts w:ascii="宋体" w:hAnsi="宋体"/>
                <w:kern w:val="0"/>
                <w:szCs w:val="21"/>
              </w:rPr>
            </w:pPr>
          </w:p>
        </w:tc>
        <w:tc>
          <w:tcPr>
            <w:tcW w:w="704" w:type="dxa"/>
            <w:vAlign w:val="center"/>
          </w:tcPr>
          <w:p>
            <w:pPr>
              <w:widowControl/>
              <w:jc w:val="center"/>
              <w:rPr>
                <w:rFonts w:ascii="宋体" w:hAnsi="宋体"/>
                <w:kern w:val="0"/>
                <w:szCs w:val="21"/>
              </w:rPr>
            </w:pPr>
          </w:p>
        </w:tc>
        <w:tc>
          <w:tcPr>
            <w:tcW w:w="905" w:type="dxa"/>
            <w:vAlign w:val="center"/>
          </w:tcPr>
          <w:p>
            <w:pPr>
              <w:ind w:left="-90"/>
              <w:jc w:val="center"/>
              <w:rPr>
                <w:rFonts w:ascii="宋体" w:hAnsi="宋体"/>
                <w:kern w:val="0"/>
                <w:szCs w:val="21"/>
              </w:rPr>
            </w:pPr>
          </w:p>
        </w:tc>
        <w:tc>
          <w:tcPr>
            <w:tcW w:w="1371" w:type="dxa"/>
            <w:vAlign w:val="center"/>
          </w:tcPr>
          <w:p>
            <w:pPr>
              <w:jc w:val="center"/>
              <w:rPr>
                <w:rFonts w:ascii="宋体" w:hAnsi="宋体"/>
                <w:szCs w:val="21"/>
              </w:rPr>
            </w:pPr>
          </w:p>
        </w:tc>
        <w:tc>
          <w:tcPr>
            <w:tcW w:w="575" w:type="dxa"/>
            <w:vAlign w:val="center"/>
          </w:tcPr>
          <w:p>
            <w:pPr>
              <w:ind w:left="-90"/>
              <w:jc w:val="center"/>
              <w:rPr>
                <w:rFonts w:ascii="宋体" w:hAnsi="宋体"/>
                <w:kern w:val="0"/>
                <w:szCs w:val="21"/>
              </w:rPr>
            </w:pPr>
          </w:p>
        </w:tc>
      </w:tr>
    </w:tbl>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609" w:name="_Toc15717"/>
      <w:bookmarkStart w:id="610" w:name="_Toc27127625"/>
      <w:bookmarkStart w:id="611" w:name="_Toc253650933"/>
      <w:r>
        <w:rPr>
          <w:rFonts w:hint="eastAsia"/>
          <w:iCs/>
          <w:kern w:val="36"/>
          <w:sz w:val="32"/>
          <w:szCs w:val="44"/>
          <w:lang w:eastAsia="ar-SA"/>
        </w:rPr>
        <w:t>质量保证和验收试验要求</w:t>
      </w:r>
      <w:bookmarkEnd w:id="609"/>
      <w:bookmarkEnd w:id="610"/>
      <w:bookmarkEnd w:id="611"/>
    </w:p>
    <w:p>
      <w:pPr>
        <w:pStyle w:val="3"/>
        <w:keepNext/>
        <w:keepLines/>
        <w:numPr>
          <w:ilvl w:val="0"/>
          <w:numId w:val="0"/>
        </w:numPr>
        <w:spacing w:beforeLines="0" w:afterLines="0" w:line="360" w:lineRule="auto"/>
        <w:rPr>
          <w:rFonts w:ascii="宋体" w:hAnsi="宋体"/>
          <w:color w:val="auto"/>
          <w:sz w:val="24"/>
          <w:szCs w:val="20"/>
        </w:rPr>
      </w:pPr>
      <w:bookmarkStart w:id="612" w:name="_Toc253650934"/>
      <w:bookmarkStart w:id="613" w:name="_Toc21566"/>
      <w:bookmarkStart w:id="614" w:name="_Toc27127626"/>
      <w:r>
        <w:rPr>
          <w:rFonts w:hint="eastAsia" w:ascii="宋体" w:hAnsi="宋体"/>
          <w:color w:val="auto"/>
          <w:sz w:val="24"/>
          <w:szCs w:val="20"/>
        </w:rPr>
        <w:t>6.1 质量保证</w:t>
      </w:r>
      <w:bookmarkEnd w:id="612"/>
      <w:bookmarkEnd w:id="613"/>
      <w:bookmarkEnd w:id="614"/>
    </w:p>
    <w:p>
      <w:pPr>
        <w:spacing w:line="360" w:lineRule="auto"/>
        <w:textAlignment w:val="baseline"/>
        <w:rPr>
          <w:rFonts w:ascii="宋体" w:hAnsi="宋体"/>
        </w:rPr>
      </w:pPr>
      <w:r>
        <w:rPr>
          <w:rFonts w:hint="eastAsia" w:ascii="宋体" w:hAnsi="宋体"/>
        </w:rPr>
        <w:t>6.1.1 订购的新型产品除需满足本规范外,投标方还应提供该产品的鉴定证书。</w:t>
      </w:r>
    </w:p>
    <w:p>
      <w:pPr>
        <w:spacing w:line="360" w:lineRule="auto"/>
        <w:textAlignment w:val="baseline"/>
        <w:rPr>
          <w:rFonts w:ascii="宋体" w:hAnsi="宋体"/>
        </w:rPr>
      </w:pPr>
      <w:r>
        <w:rPr>
          <w:rFonts w:hint="eastAsia" w:ascii="宋体" w:hAnsi="宋体"/>
        </w:rPr>
        <w:t>6.1.2 投标方保证制造过程中的所有工艺.材料等(包括投标方的外购件在内)均符合本规范的规定。</w:t>
      </w:r>
    </w:p>
    <w:p>
      <w:pPr>
        <w:spacing w:line="360" w:lineRule="auto"/>
        <w:textAlignment w:val="baseline"/>
        <w:rPr>
          <w:rFonts w:ascii="宋体" w:hAnsi="宋体"/>
        </w:rPr>
      </w:pPr>
      <w:r>
        <w:rPr>
          <w:rFonts w:hint="eastAsia" w:ascii="宋体" w:hAnsi="宋体"/>
        </w:rPr>
        <w:t>6.1.3 投标方有遵守本规范中各条款和工作项目的ISO900-GB/T1900质量保证体系,且该质量保证体系已经过国家认证和正常运转。</w:t>
      </w:r>
    </w:p>
    <w:p>
      <w:pPr>
        <w:pStyle w:val="3"/>
        <w:keepNext/>
        <w:keepLines/>
        <w:numPr>
          <w:ilvl w:val="0"/>
          <w:numId w:val="0"/>
        </w:numPr>
        <w:spacing w:beforeLines="0" w:afterLines="0" w:line="360" w:lineRule="auto"/>
        <w:rPr>
          <w:rFonts w:ascii="宋体" w:hAnsi="宋体"/>
          <w:color w:val="auto"/>
          <w:sz w:val="24"/>
          <w:szCs w:val="20"/>
        </w:rPr>
      </w:pPr>
      <w:bookmarkStart w:id="615" w:name="_Toc253650935"/>
      <w:bookmarkStart w:id="616" w:name="_Toc27127627"/>
      <w:bookmarkStart w:id="617" w:name="_Toc10144"/>
      <w:r>
        <w:rPr>
          <w:rFonts w:hint="eastAsia" w:ascii="宋体" w:hAnsi="宋体"/>
          <w:color w:val="auto"/>
          <w:sz w:val="24"/>
          <w:szCs w:val="20"/>
        </w:rPr>
        <w:t>6.2 验收试验要求</w:t>
      </w:r>
      <w:bookmarkEnd w:id="615"/>
      <w:bookmarkEnd w:id="616"/>
      <w:bookmarkEnd w:id="617"/>
    </w:p>
    <w:p>
      <w:pPr>
        <w:spacing w:line="360" w:lineRule="auto"/>
        <w:ind w:firstLine="420" w:firstLineChars="200"/>
        <w:textAlignment w:val="baseline"/>
        <w:rPr>
          <w:rFonts w:ascii="宋体" w:hAnsi="宋体"/>
        </w:rPr>
      </w:pPr>
      <w:r>
        <w:rPr>
          <w:rFonts w:hint="eastAsia" w:ascii="宋体" w:hAnsi="宋体"/>
        </w:rPr>
        <w:t>动态无功补偿装置必须采用国际标准或国外先进标准进行试验，符合采用国际标准产品标志条件，经国家标准化管理委员会备案。为了保证提供的设备满足下面提出的各项要求和技术规范中的性能，投标方应提供型式试验和例行试验报告。过去基本相同或额定参数相近的运行试验鉴定报告亦应提供给招标方。各主要设备的试验可分别进行。成组设备的试验将在设备安装后由投标方在现场完成。投标方建议的任何高于国家标准有关条款的试验标准将被接受，并优先采用。投标方应提出现场调试试验大纲和试验方案，由招标方在设计联络会上确定。</w:t>
      </w:r>
    </w:p>
    <w:p>
      <w:pPr>
        <w:adjustRightInd w:val="0"/>
        <w:snapToGrid w:val="0"/>
        <w:spacing w:line="360" w:lineRule="auto"/>
        <w:rPr>
          <w:rFonts w:ascii="宋体" w:hAnsi="宋体"/>
          <w:color w:val="000000"/>
        </w:rPr>
      </w:pPr>
      <w:bookmarkStart w:id="618" w:name="_Toc112492978"/>
      <w:bookmarkStart w:id="619" w:name="_Toc188214765"/>
      <w:bookmarkStart w:id="620" w:name="_Toc220138692"/>
      <w:bookmarkStart w:id="621" w:name="_Toc220144471"/>
      <w:r>
        <w:rPr>
          <w:rFonts w:hint="eastAsia" w:ascii="宋体" w:hAnsi="宋体"/>
          <w:color w:val="000000"/>
        </w:rPr>
        <w:t>6.2.1型式试验</w:t>
      </w:r>
      <w:bookmarkEnd w:id="618"/>
      <w:bookmarkEnd w:id="619"/>
      <w:bookmarkEnd w:id="620"/>
      <w:bookmarkEnd w:id="621"/>
    </w:p>
    <w:p>
      <w:pPr>
        <w:adjustRightInd w:val="0"/>
        <w:snapToGrid w:val="0"/>
        <w:spacing w:line="360" w:lineRule="auto"/>
        <w:ind w:firstLine="420" w:firstLineChars="200"/>
        <w:rPr>
          <w:rFonts w:ascii="宋体" w:hAnsi="宋体"/>
          <w:color w:val="000000"/>
        </w:rPr>
      </w:pPr>
      <w:r>
        <w:rPr>
          <w:rFonts w:hint="eastAsia" w:ascii="宋体" w:hAnsi="宋体"/>
          <w:szCs w:val="21"/>
        </w:rPr>
        <w:t>投标方应能提供证据，证明按合同提供的设备在最近5年内已按国标、IEC标准对相同的设备进行过成功的型式试验，并能提出型式试验报告，否则这些设备应按国标、IEC标准进行型式试验。</w:t>
      </w:r>
      <w:r>
        <w:rPr>
          <w:rFonts w:hint="eastAsia" w:ascii="宋体" w:hAnsi="宋体" w:cs="宋体"/>
          <w:kern w:val="0"/>
        </w:rPr>
        <w:t>具有省级电科院出具的性能测试报告，且有阶跃响应时间测试报告和损耗测试报告</w:t>
      </w:r>
      <w:r>
        <w:rPr>
          <w:rFonts w:hint="eastAsia" w:ascii="宋体" w:hAnsi="宋体"/>
        </w:rPr>
        <w:t>。</w:t>
      </w:r>
    </w:p>
    <w:p>
      <w:pPr>
        <w:spacing w:line="360" w:lineRule="auto"/>
        <w:textAlignment w:val="baseline"/>
        <w:rPr>
          <w:rFonts w:ascii="宋体" w:hAnsi="宋体"/>
        </w:rPr>
      </w:pPr>
      <w:r>
        <w:rPr>
          <w:rFonts w:hint="eastAsia" w:ascii="宋体" w:hAnsi="宋体"/>
        </w:rPr>
        <w:t>6.2.2  出厂实验</w:t>
      </w:r>
    </w:p>
    <w:p>
      <w:pPr>
        <w:spacing w:line="360" w:lineRule="auto"/>
        <w:textAlignment w:val="baseline"/>
        <w:rPr>
          <w:rFonts w:ascii="宋体" w:hAnsi="宋体"/>
        </w:rPr>
      </w:pPr>
      <w:r>
        <w:rPr>
          <w:rFonts w:hint="eastAsia" w:ascii="宋体" w:hAnsi="宋体"/>
        </w:rPr>
        <w:t xml:space="preserve">   每套成套装置均应在工厂内进行组装出厂试验，出厂试验的技术数据应随产品一起交付招标方。产品在拆装前对关键的连接部位和部件应作好标记。</w:t>
      </w:r>
    </w:p>
    <w:p>
      <w:pPr>
        <w:spacing w:line="360" w:lineRule="auto"/>
        <w:ind w:firstLine="420"/>
        <w:rPr>
          <w:rFonts w:ascii="宋体" w:hAnsi="宋体"/>
          <w:color w:val="000000"/>
        </w:rPr>
      </w:pPr>
      <w:r>
        <w:rPr>
          <w:rFonts w:hint="eastAsia" w:ascii="宋体" w:hAnsi="宋体"/>
          <w:color w:val="000000"/>
        </w:rPr>
        <w:t>（1）SVG试验：必须对SVG控制系统及功率部分（IGBT阀组）进行出厂全电压、满电流的高压全载试验，投标方应具有高压全载试验中心。</w:t>
      </w:r>
    </w:p>
    <w:p>
      <w:pPr>
        <w:spacing w:line="360" w:lineRule="auto"/>
        <w:ind w:firstLine="420"/>
        <w:rPr>
          <w:rFonts w:ascii="宋体" w:hAnsi="宋体"/>
          <w:color w:val="000000"/>
        </w:rPr>
      </w:pPr>
      <w:r>
        <w:rPr>
          <w:rFonts w:hint="eastAsia" w:ascii="宋体" w:hAnsi="宋体"/>
          <w:color w:val="000000"/>
        </w:rPr>
        <w:t>为了使SVG高压部分符合现场高压运行条件,投标方需对IGBT阀组单元进行均压试验确保功率单元回路正常,工频耐压试验确保功率柜、绝缘子、脉冲电缆等设备绝缘等良好,阀组导通试验及联锁保护试验确保SVG设备故障时准确跳闸以保护所有设备安全, 击穿整定试验确保IGBT击穿时能够可靠跳闸,投标方需详细列出试验步骤。</w:t>
      </w:r>
    </w:p>
    <w:p>
      <w:pPr>
        <w:spacing w:line="360" w:lineRule="auto"/>
        <w:ind w:firstLine="420" w:firstLineChars="200"/>
        <w:textAlignment w:val="baseline"/>
        <w:rPr>
          <w:rFonts w:ascii="宋体" w:hAnsi="宋体"/>
        </w:rPr>
      </w:pPr>
      <w:r>
        <w:rPr>
          <w:rFonts w:hint="eastAsia" w:ascii="宋体" w:hAnsi="宋体"/>
        </w:rPr>
        <w:t>（2）电阻测试：</w:t>
      </w:r>
    </w:p>
    <w:p>
      <w:pPr>
        <w:spacing w:line="360" w:lineRule="auto"/>
        <w:ind w:firstLine="420" w:firstLineChars="200"/>
        <w:textAlignment w:val="baseline"/>
      </w:pPr>
      <w:r>
        <w:rPr>
          <w:rFonts w:hint="eastAsia"/>
        </w:rPr>
        <w:t>按下表的规定，对无电气连接的每条回路之间、每条回路与外壳或接地金属零件之间进行测试，测试时间不小于5s。测试前应断开接地或接壳的元件或电路，测试后再按原位接好。</w:t>
      </w:r>
    </w:p>
    <w:p>
      <w:pPr>
        <w:pStyle w:val="13"/>
        <w:adjustRightInd w:val="0"/>
        <w:snapToGrid w:val="0"/>
        <w:jc w:val="center"/>
        <w:rPr>
          <w:rFonts w:hAnsi="宋体"/>
          <w:szCs w:val="24"/>
        </w:rPr>
      </w:pPr>
      <w:r>
        <w:rPr>
          <w:rFonts w:hint="eastAsia" w:hAnsi="宋体"/>
          <w:szCs w:val="24"/>
        </w:rPr>
        <w:t>测试电压要求表</w:t>
      </w:r>
    </w:p>
    <w:tbl>
      <w:tblPr>
        <w:tblStyle w:val="21"/>
        <w:tblW w:w="91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2186"/>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vAlign w:val="center"/>
          </w:tcPr>
          <w:p>
            <w:pPr>
              <w:pStyle w:val="13"/>
              <w:adjustRightInd w:val="0"/>
              <w:snapToGrid w:val="0"/>
              <w:rPr>
                <w:rFonts w:hAnsi="宋体"/>
                <w:szCs w:val="24"/>
              </w:rPr>
            </w:pPr>
            <w:r>
              <w:rPr>
                <w:rFonts w:hint="eastAsia" w:hAnsi="宋体"/>
                <w:szCs w:val="24"/>
              </w:rPr>
              <w:t>额定绝缘电压（V）</w:t>
            </w:r>
          </w:p>
        </w:tc>
        <w:tc>
          <w:tcPr>
            <w:tcW w:w="2186" w:type="dxa"/>
            <w:vAlign w:val="center"/>
          </w:tcPr>
          <w:p>
            <w:pPr>
              <w:pStyle w:val="13"/>
              <w:adjustRightInd w:val="0"/>
              <w:snapToGrid w:val="0"/>
              <w:rPr>
                <w:rFonts w:hAnsi="宋体"/>
                <w:szCs w:val="24"/>
              </w:rPr>
            </w:pPr>
            <w:r>
              <w:rPr>
                <w:rFonts w:hint="eastAsia" w:hAnsi="宋体"/>
                <w:szCs w:val="24"/>
              </w:rPr>
              <w:t>测试电压（V）</w:t>
            </w:r>
          </w:p>
        </w:tc>
        <w:tc>
          <w:tcPr>
            <w:tcW w:w="2322" w:type="dxa"/>
            <w:vAlign w:val="center"/>
          </w:tcPr>
          <w:p>
            <w:pPr>
              <w:pStyle w:val="13"/>
              <w:adjustRightInd w:val="0"/>
              <w:snapToGrid w:val="0"/>
              <w:rPr>
                <w:rFonts w:hAnsi="宋体"/>
                <w:szCs w:val="24"/>
              </w:rPr>
            </w:pPr>
            <w:r>
              <w:rPr>
                <w:rFonts w:hint="eastAsia" w:hAnsi="宋体"/>
                <w:szCs w:val="24"/>
              </w:rPr>
              <w:t>额定绝缘电压（V）</w:t>
            </w:r>
          </w:p>
        </w:tc>
        <w:tc>
          <w:tcPr>
            <w:tcW w:w="2322" w:type="dxa"/>
            <w:vAlign w:val="center"/>
          </w:tcPr>
          <w:p>
            <w:pPr>
              <w:pStyle w:val="13"/>
              <w:adjustRightInd w:val="0"/>
              <w:snapToGrid w:val="0"/>
              <w:rPr>
                <w:rFonts w:hAnsi="宋体"/>
                <w:szCs w:val="24"/>
              </w:rPr>
            </w:pPr>
            <w:r>
              <w:rPr>
                <w:rFonts w:hint="eastAsia" w:hAnsi="宋体"/>
                <w:szCs w:val="24"/>
              </w:rPr>
              <w:t>测试电压（V）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9" w:type="dxa"/>
            <w:vAlign w:val="center"/>
          </w:tcPr>
          <w:p>
            <w:pPr>
              <w:pStyle w:val="13"/>
              <w:adjustRightInd w:val="0"/>
              <w:snapToGrid w:val="0"/>
              <w:rPr>
                <w:rFonts w:hAnsi="宋体"/>
                <w:szCs w:val="24"/>
              </w:rPr>
            </w:pPr>
            <w:r>
              <w:rPr>
                <w:rFonts w:hint="eastAsia" w:hAnsi="宋体"/>
                <w:szCs w:val="24"/>
              </w:rPr>
              <w:t>U≤60</w:t>
            </w:r>
          </w:p>
        </w:tc>
        <w:tc>
          <w:tcPr>
            <w:tcW w:w="2186" w:type="dxa"/>
            <w:vAlign w:val="center"/>
          </w:tcPr>
          <w:p>
            <w:pPr>
              <w:pStyle w:val="13"/>
              <w:adjustRightInd w:val="0"/>
              <w:snapToGrid w:val="0"/>
              <w:rPr>
                <w:rFonts w:hAnsi="宋体"/>
                <w:szCs w:val="24"/>
              </w:rPr>
            </w:pPr>
            <w:r>
              <w:rPr>
                <w:rFonts w:hint="eastAsia" w:hAnsi="宋体"/>
                <w:szCs w:val="24"/>
              </w:rPr>
              <w:t>250</w:t>
            </w:r>
          </w:p>
        </w:tc>
        <w:tc>
          <w:tcPr>
            <w:tcW w:w="2322" w:type="dxa"/>
            <w:vAlign w:val="center"/>
          </w:tcPr>
          <w:p>
            <w:pPr>
              <w:pStyle w:val="13"/>
              <w:adjustRightInd w:val="0"/>
              <w:snapToGrid w:val="0"/>
              <w:rPr>
                <w:rFonts w:hAnsi="宋体"/>
                <w:szCs w:val="24"/>
              </w:rPr>
            </w:pPr>
            <w:r>
              <w:rPr>
                <w:rFonts w:hint="eastAsia" w:hAnsi="宋体"/>
                <w:szCs w:val="24"/>
              </w:rPr>
              <w:t>60≤U≤250</w:t>
            </w:r>
          </w:p>
        </w:tc>
        <w:tc>
          <w:tcPr>
            <w:tcW w:w="2322" w:type="dxa"/>
            <w:vAlign w:val="center"/>
          </w:tcPr>
          <w:p>
            <w:pPr>
              <w:pStyle w:val="13"/>
              <w:adjustRightInd w:val="0"/>
              <w:snapToGrid w:val="0"/>
              <w:rPr>
                <w:rFonts w:hAnsi="宋体"/>
                <w:szCs w:val="24"/>
              </w:rPr>
            </w:pPr>
            <w:r>
              <w:rPr>
                <w:rFonts w:hint="eastAsia" w:hAnsi="宋体"/>
                <w:szCs w:val="24"/>
              </w:rPr>
              <w:t>500</w:t>
            </w:r>
          </w:p>
        </w:tc>
      </w:tr>
    </w:tbl>
    <w:p>
      <w:pPr>
        <w:spacing w:line="360" w:lineRule="auto"/>
        <w:ind w:firstLine="420" w:firstLineChars="200"/>
        <w:textAlignment w:val="baseline"/>
        <w:rPr>
          <w:rFonts w:ascii="宋体" w:hAnsi="宋体"/>
        </w:rPr>
      </w:pPr>
      <w:r>
        <w:rPr>
          <w:rFonts w:hint="eastAsia" w:ascii="宋体" w:hAnsi="宋体"/>
        </w:rPr>
        <w:t>（3）绝缘强度试验</w:t>
      </w:r>
    </w:p>
    <w:p>
      <w:pPr>
        <w:spacing w:line="360" w:lineRule="auto"/>
        <w:ind w:firstLine="420" w:firstLineChars="200"/>
        <w:textAlignment w:val="baseline"/>
        <w:rPr>
          <w:rFonts w:ascii="宋体" w:hAnsi="宋体"/>
        </w:rPr>
      </w:pPr>
      <w:r>
        <w:rPr>
          <w:rFonts w:hint="eastAsia" w:ascii="宋体" w:hAnsi="宋体"/>
        </w:rPr>
        <w:t>在正常试验大气条件下控制装置被试部分应能承受2500V/50Hz交流电压历时1min绝缘强度试验,试验时不得出现击穿闪络及电压突然下降现象,泄漏电流应不大于3.5mA(交流有效值),按以上规定, 对无电气连接的每条回路之间、每条回路与外壳或接地金属零件之间进行绝缘强度试验。</w:t>
      </w:r>
    </w:p>
    <w:p>
      <w:pPr>
        <w:spacing w:line="360" w:lineRule="auto"/>
        <w:ind w:firstLine="420" w:firstLineChars="200"/>
        <w:textAlignment w:val="baseline"/>
        <w:rPr>
          <w:rFonts w:ascii="宋体" w:hAnsi="宋体"/>
        </w:rPr>
      </w:pPr>
      <w:r>
        <w:rPr>
          <w:rFonts w:hint="eastAsia" w:ascii="宋体" w:hAnsi="宋体"/>
        </w:rPr>
        <w:t>绝缘水平：</w:t>
      </w:r>
    </w:p>
    <w:p>
      <w:pPr>
        <w:spacing w:line="360" w:lineRule="auto"/>
        <w:ind w:firstLine="420" w:firstLineChars="200"/>
        <w:textAlignment w:val="baseline"/>
        <w:rPr>
          <w:rFonts w:ascii="宋体" w:hAnsi="宋体"/>
        </w:rPr>
      </w:pPr>
      <w:r>
        <w:rPr>
          <w:rFonts w:hint="eastAsia" w:ascii="宋体" w:hAnsi="宋体"/>
        </w:rPr>
        <w:t>控制屏：交流50Hz，2000V一分钟，无击穿或闪络；</w:t>
      </w:r>
    </w:p>
    <w:p>
      <w:pPr>
        <w:spacing w:line="360" w:lineRule="auto"/>
        <w:ind w:firstLine="420" w:firstLineChars="200"/>
        <w:textAlignment w:val="baseline"/>
        <w:rPr>
          <w:rFonts w:ascii="宋体" w:hAnsi="宋体"/>
        </w:rPr>
      </w:pPr>
      <w:r>
        <w:rPr>
          <w:rFonts w:hint="eastAsia" w:ascii="宋体" w:hAnsi="宋体"/>
        </w:rPr>
        <w:t>微机部分：交流50Hz，2000V一分钟，无击穿或闪络。</w:t>
      </w:r>
    </w:p>
    <w:p>
      <w:pPr>
        <w:spacing w:line="360" w:lineRule="auto"/>
        <w:textAlignment w:val="baseline"/>
        <w:rPr>
          <w:rFonts w:ascii="宋体" w:hAnsi="宋体"/>
        </w:rPr>
      </w:pPr>
      <w:r>
        <w:rPr>
          <w:rFonts w:hint="eastAsia" w:ascii="宋体" w:hAnsi="宋体"/>
        </w:rPr>
        <w:t>（4）功能试验</w:t>
      </w:r>
    </w:p>
    <w:p>
      <w:pPr>
        <w:spacing w:line="360" w:lineRule="auto"/>
        <w:ind w:firstLine="420" w:firstLineChars="200"/>
        <w:textAlignment w:val="baseline"/>
        <w:rPr>
          <w:rFonts w:ascii="宋体" w:hAnsi="宋体"/>
        </w:rPr>
      </w:pPr>
      <w:r>
        <w:rPr>
          <w:rFonts w:hint="eastAsia" w:ascii="宋体" w:hAnsi="宋体"/>
        </w:rPr>
        <w:t>看其测量是否在允许的误差之内,有没有误动作,信号量是否正确,闭锁功能是否可实现等。</w:t>
      </w:r>
    </w:p>
    <w:p>
      <w:pPr>
        <w:spacing w:line="360" w:lineRule="auto"/>
        <w:textAlignment w:val="baseline"/>
        <w:rPr>
          <w:rFonts w:ascii="宋体" w:hAnsi="宋体"/>
        </w:rPr>
      </w:pPr>
      <w:r>
        <w:rPr>
          <w:rFonts w:hint="eastAsia" w:ascii="宋体" w:hAnsi="宋体"/>
        </w:rPr>
        <w:t>6.2.3 成套装置的整体试验：</w:t>
      </w:r>
    </w:p>
    <w:p>
      <w:pPr>
        <w:spacing w:line="360" w:lineRule="auto"/>
        <w:ind w:firstLine="420" w:firstLineChars="200"/>
        <w:textAlignment w:val="baseline"/>
        <w:rPr>
          <w:rFonts w:ascii="宋体" w:hAnsi="宋体"/>
        </w:rPr>
      </w:pPr>
      <w:r>
        <w:rPr>
          <w:rFonts w:hint="eastAsia" w:ascii="宋体" w:hAnsi="宋体"/>
        </w:rPr>
        <w:t>控制器单独试验合格后可进行系统试验。将无功功率动作值输入微机控制器，用三相试验电源加入试验信号即可进行各种功能试验。</w:t>
      </w:r>
    </w:p>
    <w:p>
      <w:pPr>
        <w:spacing w:line="360" w:lineRule="auto"/>
        <w:textAlignment w:val="baseline"/>
        <w:rPr>
          <w:rFonts w:ascii="宋体" w:hAnsi="宋体"/>
        </w:rPr>
      </w:pPr>
      <w:bookmarkStart w:id="622" w:name="_Toc112492981"/>
      <w:bookmarkStart w:id="623" w:name="_Toc188214766"/>
      <w:bookmarkStart w:id="624" w:name="_Toc220138693"/>
      <w:bookmarkStart w:id="625" w:name="_Toc220144472"/>
      <w:r>
        <w:rPr>
          <w:rFonts w:ascii="宋体" w:hAnsi="宋体"/>
        </w:rPr>
        <w:t>6.2.</w:t>
      </w:r>
      <w:r>
        <w:rPr>
          <w:rFonts w:hint="eastAsia" w:ascii="宋体" w:hAnsi="宋体"/>
        </w:rPr>
        <w:t>4验收试验</w:t>
      </w:r>
      <w:bookmarkEnd w:id="622"/>
      <w:bookmarkEnd w:id="623"/>
      <w:bookmarkEnd w:id="624"/>
      <w:bookmarkEnd w:id="625"/>
    </w:p>
    <w:p>
      <w:pPr>
        <w:spacing w:line="360" w:lineRule="auto"/>
        <w:ind w:firstLine="420" w:firstLineChars="200"/>
        <w:textAlignment w:val="baseline"/>
        <w:rPr>
          <w:rFonts w:ascii="宋体" w:hAnsi="宋体"/>
        </w:rPr>
      </w:pPr>
      <w:r>
        <w:rPr>
          <w:rFonts w:hint="eastAsia" w:ascii="宋体" w:hAnsi="宋体"/>
        </w:rPr>
        <w:t>动态无功补偿成套装置和附属设备验收测试的基本项目至少包括如下各项，但不限于这些。如果这些试验已在现场试验中完成可不再进行测试。</w:t>
      </w:r>
    </w:p>
    <w:p>
      <w:pPr>
        <w:numPr>
          <w:ilvl w:val="0"/>
          <w:numId w:val="11"/>
        </w:numPr>
        <w:adjustRightInd w:val="0"/>
        <w:snapToGrid w:val="0"/>
        <w:spacing w:line="360" w:lineRule="auto"/>
        <w:rPr>
          <w:rFonts w:ascii="宋体" w:hAnsi="宋体"/>
          <w:color w:val="000000"/>
        </w:rPr>
      </w:pPr>
      <w:r>
        <w:rPr>
          <w:rFonts w:hint="eastAsia" w:ascii="宋体" w:hAnsi="宋体"/>
          <w:color w:val="000000"/>
        </w:rPr>
        <w:t>通电前试验</w:t>
      </w:r>
    </w:p>
    <w:p>
      <w:pPr>
        <w:numPr>
          <w:ilvl w:val="0"/>
          <w:numId w:val="11"/>
        </w:numPr>
        <w:adjustRightInd w:val="0"/>
        <w:snapToGrid w:val="0"/>
        <w:spacing w:line="360" w:lineRule="auto"/>
        <w:rPr>
          <w:rFonts w:ascii="宋体" w:hAnsi="宋体"/>
          <w:color w:val="000000"/>
        </w:rPr>
      </w:pPr>
      <w:r>
        <w:rPr>
          <w:rFonts w:hint="eastAsia" w:ascii="宋体" w:hAnsi="宋体"/>
          <w:color w:val="000000"/>
        </w:rPr>
        <w:t>容抗及起始失衡的测量</w:t>
      </w:r>
    </w:p>
    <w:p>
      <w:pPr>
        <w:numPr>
          <w:ilvl w:val="0"/>
          <w:numId w:val="11"/>
        </w:numPr>
        <w:adjustRightInd w:val="0"/>
        <w:snapToGrid w:val="0"/>
        <w:spacing w:line="360" w:lineRule="auto"/>
        <w:rPr>
          <w:rFonts w:ascii="宋体" w:hAnsi="宋体"/>
          <w:color w:val="000000"/>
        </w:rPr>
      </w:pPr>
      <w:r>
        <w:rPr>
          <w:rFonts w:hint="eastAsia" w:ascii="宋体" w:hAnsi="宋体"/>
          <w:color w:val="000000"/>
        </w:rPr>
        <w:t>信号回路的检验及测试</w:t>
      </w:r>
    </w:p>
    <w:p>
      <w:pPr>
        <w:numPr>
          <w:ilvl w:val="0"/>
          <w:numId w:val="11"/>
        </w:numPr>
        <w:adjustRightInd w:val="0"/>
        <w:snapToGrid w:val="0"/>
        <w:spacing w:line="360" w:lineRule="auto"/>
        <w:rPr>
          <w:rFonts w:ascii="宋体" w:hAnsi="宋体"/>
          <w:color w:val="000000"/>
        </w:rPr>
      </w:pPr>
      <w:r>
        <w:rPr>
          <w:rFonts w:hint="eastAsia" w:ascii="宋体" w:hAnsi="宋体"/>
          <w:color w:val="000000"/>
        </w:rPr>
        <w:t>光纤系统的衰耗试验</w:t>
      </w:r>
    </w:p>
    <w:p>
      <w:pPr>
        <w:numPr>
          <w:ilvl w:val="0"/>
          <w:numId w:val="11"/>
        </w:numPr>
        <w:adjustRightInd w:val="0"/>
        <w:snapToGrid w:val="0"/>
        <w:spacing w:line="360" w:lineRule="auto"/>
        <w:rPr>
          <w:rFonts w:ascii="宋体" w:hAnsi="宋体"/>
          <w:color w:val="000000"/>
        </w:rPr>
      </w:pPr>
      <w:r>
        <w:rPr>
          <w:rFonts w:hint="eastAsia" w:ascii="宋体" w:hAnsi="宋体"/>
          <w:color w:val="000000"/>
        </w:rPr>
        <w:t>继电保护、控制设备和通讯功能试验</w:t>
      </w:r>
    </w:p>
    <w:p>
      <w:pPr>
        <w:numPr>
          <w:ilvl w:val="0"/>
          <w:numId w:val="11"/>
        </w:numPr>
        <w:adjustRightInd w:val="0"/>
        <w:snapToGrid w:val="0"/>
        <w:spacing w:line="360" w:lineRule="auto"/>
        <w:rPr>
          <w:rFonts w:ascii="宋体" w:hAnsi="宋体"/>
          <w:color w:val="000000"/>
        </w:rPr>
      </w:pPr>
      <w:r>
        <w:rPr>
          <w:rFonts w:ascii="宋体" w:hAnsi="宋体"/>
          <w:color w:val="000000"/>
        </w:rPr>
        <w:t>保护、控制设备功能试验</w:t>
      </w:r>
    </w:p>
    <w:p>
      <w:pPr>
        <w:adjustRightInd w:val="0"/>
        <w:snapToGrid w:val="0"/>
        <w:spacing w:line="360" w:lineRule="auto"/>
        <w:ind w:firstLine="420" w:firstLineChars="200"/>
        <w:rPr>
          <w:rFonts w:ascii="宋体" w:hAnsi="宋体"/>
          <w:color w:val="000000"/>
        </w:rPr>
      </w:pPr>
      <w:r>
        <w:rPr>
          <w:rFonts w:hint="eastAsia" w:ascii="宋体" w:hAnsi="宋体"/>
          <w:color w:val="000000"/>
        </w:rPr>
        <w:t>验收测试也应包括与</w:t>
      </w:r>
      <w:r>
        <w:rPr>
          <w:rFonts w:ascii="宋体" w:hAnsi="宋体"/>
          <w:color w:val="000000"/>
        </w:rPr>
        <w:t>与保护、控制系统有关的功能特性测试</w:t>
      </w:r>
      <w:r>
        <w:rPr>
          <w:rFonts w:hint="eastAsia" w:ascii="宋体" w:hAnsi="宋体"/>
          <w:color w:val="000000"/>
        </w:rPr>
        <w:t>。</w:t>
      </w:r>
    </w:p>
    <w:p>
      <w:pPr>
        <w:spacing w:line="360" w:lineRule="auto"/>
        <w:textAlignment w:val="baseline"/>
        <w:rPr>
          <w:rFonts w:ascii="宋体" w:hAnsi="宋体"/>
        </w:rPr>
      </w:pPr>
      <w:r>
        <w:rPr>
          <w:rFonts w:hint="eastAsia" w:ascii="宋体" w:hAnsi="宋体"/>
        </w:rPr>
        <w:t>6.2.5  现场验收试验</w:t>
      </w:r>
    </w:p>
    <w:p>
      <w:pPr>
        <w:spacing w:line="360" w:lineRule="auto"/>
        <w:ind w:firstLine="420" w:firstLineChars="200"/>
        <w:textAlignment w:val="baseline"/>
        <w:rPr>
          <w:rFonts w:ascii="宋体" w:hAnsi="宋体"/>
        </w:rPr>
      </w:pPr>
      <w:r>
        <w:rPr>
          <w:rFonts w:hint="eastAsia" w:ascii="宋体" w:hAnsi="宋体"/>
        </w:rPr>
        <w:t>装置到达现场后，由安装单位按照相关国家标准的规定进行现场验收试验。试验结果应与产品型式试验和出厂试验结果或其规定值相符,否则应由投标方负责。</w:t>
      </w:r>
    </w:p>
    <w:p>
      <w:pPr>
        <w:spacing w:line="360" w:lineRule="auto"/>
        <w:ind w:firstLine="420" w:firstLineChars="200"/>
        <w:textAlignment w:val="baseline"/>
        <w:rPr>
          <w:rFonts w:ascii="宋体" w:hAnsi="宋体"/>
        </w:rPr>
      </w:pPr>
      <w:r>
        <w:rPr>
          <w:rFonts w:hint="eastAsia" w:ascii="宋体" w:hAnsi="宋体"/>
        </w:rPr>
        <w:t>乙方完成设备的开机调试，编制完成调试报告并连续运行7天之后，甲方应予验收，开具验收报告。</w:t>
      </w:r>
    </w:p>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626" w:name="_Toc253650937"/>
      <w:bookmarkStart w:id="627" w:name="_Toc9574"/>
      <w:bookmarkStart w:id="628" w:name="_Toc27127628"/>
      <w:r>
        <w:rPr>
          <w:rFonts w:hint="eastAsia"/>
          <w:iCs/>
          <w:kern w:val="36"/>
          <w:sz w:val="32"/>
          <w:szCs w:val="44"/>
          <w:lang w:eastAsia="ar-SA"/>
        </w:rPr>
        <w:t>技术服务</w:t>
      </w:r>
      <w:bookmarkEnd w:id="626"/>
      <w:bookmarkEnd w:id="627"/>
      <w:bookmarkEnd w:id="628"/>
    </w:p>
    <w:p>
      <w:pPr>
        <w:pStyle w:val="3"/>
        <w:keepNext/>
        <w:keepLines/>
        <w:numPr>
          <w:ilvl w:val="0"/>
          <w:numId w:val="0"/>
        </w:numPr>
        <w:spacing w:beforeLines="0" w:afterLines="0" w:line="360" w:lineRule="auto"/>
        <w:rPr>
          <w:rFonts w:ascii="宋体" w:hAnsi="宋体"/>
          <w:color w:val="auto"/>
          <w:sz w:val="24"/>
          <w:szCs w:val="20"/>
        </w:rPr>
      </w:pPr>
      <w:bookmarkStart w:id="629" w:name="_Toc253650938"/>
      <w:bookmarkStart w:id="630" w:name="_Toc17729"/>
      <w:bookmarkStart w:id="631" w:name="_Toc27127629"/>
      <w:r>
        <w:rPr>
          <w:rFonts w:hint="eastAsia" w:ascii="宋体" w:hAnsi="宋体"/>
          <w:color w:val="auto"/>
          <w:sz w:val="24"/>
          <w:szCs w:val="20"/>
        </w:rPr>
        <w:t>7.1 项目管理</w:t>
      </w:r>
      <w:bookmarkEnd w:id="629"/>
      <w:bookmarkEnd w:id="630"/>
      <w:bookmarkEnd w:id="631"/>
    </w:p>
    <w:p>
      <w:pPr>
        <w:spacing w:line="360" w:lineRule="auto"/>
        <w:textAlignment w:val="baseline"/>
        <w:rPr>
          <w:rFonts w:ascii="宋体" w:hAnsi="宋体"/>
        </w:rPr>
      </w:pPr>
      <w:r>
        <w:rPr>
          <w:rFonts w:hint="eastAsia" w:ascii="宋体" w:hAnsi="宋体"/>
        </w:rPr>
        <w:t xml:space="preserve">    合同签定后,投标方应指定负责本工程的项目经理,负责协调投标方在工程全过程的各项工作,如工程进度. 设计制造.图纸文件.包装运输.现场安装.调试验收等。</w:t>
      </w:r>
    </w:p>
    <w:p>
      <w:pPr>
        <w:pStyle w:val="3"/>
        <w:keepNext/>
        <w:keepLines/>
        <w:numPr>
          <w:ilvl w:val="0"/>
          <w:numId w:val="0"/>
        </w:numPr>
        <w:spacing w:beforeLines="0" w:afterLines="0" w:line="360" w:lineRule="auto"/>
        <w:rPr>
          <w:rFonts w:ascii="宋体" w:hAnsi="宋体"/>
          <w:color w:val="auto"/>
          <w:sz w:val="24"/>
          <w:szCs w:val="20"/>
        </w:rPr>
      </w:pPr>
      <w:bookmarkStart w:id="632" w:name="_Toc253650939"/>
      <w:bookmarkStart w:id="633" w:name="_Toc22361"/>
      <w:bookmarkStart w:id="634" w:name="_Toc27127630"/>
      <w:r>
        <w:rPr>
          <w:rFonts w:hint="eastAsia" w:ascii="宋体" w:hAnsi="宋体"/>
          <w:color w:val="auto"/>
          <w:sz w:val="24"/>
          <w:szCs w:val="20"/>
        </w:rPr>
        <w:t>7.2 技术文件</w:t>
      </w:r>
      <w:bookmarkEnd w:id="632"/>
      <w:bookmarkEnd w:id="633"/>
      <w:bookmarkEnd w:id="634"/>
    </w:p>
    <w:p>
      <w:pPr>
        <w:spacing w:line="360" w:lineRule="auto"/>
        <w:rPr>
          <w:rFonts w:hint="eastAsia" w:hAnsi="宋体"/>
        </w:rPr>
      </w:pPr>
      <w:r>
        <w:rPr>
          <w:rFonts w:hint="eastAsia" w:ascii="宋体" w:hAnsi="宋体"/>
        </w:rPr>
        <w:t xml:space="preserve">7.2.1  </w:t>
      </w:r>
      <w:r>
        <w:rPr>
          <w:rFonts w:hAnsi="宋体"/>
        </w:rPr>
        <w:t>投标方在</w:t>
      </w:r>
      <w:r>
        <w:rPr>
          <w:rFonts w:hint="eastAsia" w:hAnsi="宋体"/>
        </w:rPr>
        <w:t>签订技术协议</w:t>
      </w:r>
      <w:r>
        <w:rPr>
          <w:rFonts w:hAnsi="宋体"/>
        </w:rPr>
        <w:t>前应向招标方提供一般性资料，如典型说明书、外形图和主要技术参数</w:t>
      </w:r>
      <w:r>
        <w:rPr>
          <w:rFonts w:hint="eastAsia" w:hAnsi="宋体"/>
        </w:rPr>
        <w:t>，资料内容应清晰正确；图纸应详细、规范</w:t>
      </w:r>
      <w:r>
        <w:rPr>
          <w:rFonts w:hAnsi="宋体"/>
        </w:rPr>
        <w:t>。</w:t>
      </w:r>
    </w:p>
    <w:p>
      <w:pPr>
        <w:spacing w:line="360" w:lineRule="auto"/>
        <w:jc w:val="center"/>
        <w:rPr>
          <w:rFonts w:hint="eastAsia" w:hAnsi="宋体"/>
        </w:rPr>
      </w:pPr>
      <w:r>
        <w:rPr>
          <w:rFonts w:hint="eastAsia" w:hAnsi="宋体"/>
        </w:rPr>
        <w:t>图纸和资料提供表</w:t>
      </w:r>
    </w:p>
    <w:tbl>
      <w:tblPr>
        <w:tblStyle w:val="2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3"/>
        <w:gridCol w:w="1635"/>
        <w:gridCol w:w="1129"/>
        <w:gridCol w:w="1662"/>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3763" w:type="dxa"/>
            <w:vMerge w:val="restart"/>
            <w:vAlign w:val="center"/>
          </w:tcPr>
          <w:p>
            <w:pPr>
              <w:adjustRightInd w:val="0"/>
              <w:jc w:val="center"/>
              <w:rPr>
                <w:rFonts w:ascii="Calibri" w:hAnsi="Calibri"/>
                <w:szCs w:val="21"/>
              </w:rPr>
            </w:pPr>
            <w:r>
              <w:rPr>
                <w:rFonts w:ascii="Calibri" w:hAnsi="Calibri"/>
                <w:szCs w:val="21"/>
              </w:rPr>
              <w:t>项目</w:t>
            </w:r>
          </w:p>
        </w:tc>
        <w:tc>
          <w:tcPr>
            <w:tcW w:w="5524" w:type="dxa"/>
            <w:gridSpan w:val="4"/>
            <w:vAlign w:val="center"/>
          </w:tcPr>
          <w:p>
            <w:pPr>
              <w:adjustRightInd w:val="0"/>
              <w:jc w:val="center"/>
              <w:rPr>
                <w:rFonts w:ascii="Calibri" w:hAnsi="Calibri"/>
                <w:szCs w:val="21"/>
              </w:rPr>
            </w:pPr>
            <w:r>
              <w:rPr>
                <w:rFonts w:ascii="Calibri" w:hAnsi="Calibri"/>
                <w:szCs w:val="21"/>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3763" w:type="dxa"/>
            <w:vMerge w:val="continue"/>
            <w:vAlign w:val="center"/>
          </w:tcPr>
          <w:p>
            <w:pPr>
              <w:adjustRightInd w:val="0"/>
              <w:rPr>
                <w:rFonts w:ascii="Calibri" w:hAnsi="Calibri"/>
                <w:szCs w:val="21"/>
              </w:rPr>
            </w:pPr>
          </w:p>
        </w:tc>
        <w:tc>
          <w:tcPr>
            <w:tcW w:w="2764" w:type="dxa"/>
            <w:gridSpan w:val="2"/>
            <w:vAlign w:val="center"/>
          </w:tcPr>
          <w:p>
            <w:pPr>
              <w:adjustRightInd w:val="0"/>
              <w:jc w:val="center"/>
              <w:rPr>
                <w:rFonts w:ascii="Calibri" w:hAnsi="Calibri"/>
                <w:szCs w:val="21"/>
              </w:rPr>
            </w:pPr>
            <w:r>
              <w:rPr>
                <w:rFonts w:ascii="Calibri" w:hAnsi="Calibri"/>
                <w:szCs w:val="21"/>
              </w:rPr>
              <w:t>招标方</w:t>
            </w:r>
          </w:p>
        </w:tc>
        <w:tc>
          <w:tcPr>
            <w:tcW w:w="2760" w:type="dxa"/>
            <w:gridSpan w:val="2"/>
            <w:vAlign w:val="center"/>
          </w:tcPr>
          <w:p>
            <w:pPr>
              <w:adjustRightInd w:val="0"/>
              <w:jc w:val="center"/>
              <w:rPr>
                <w:rFonts w:ascii="Calibri" w:hAnsi="Calibri"/>
                <w:szCs w:val="21"/>
              </w:rPr>
            </w:pPr>
            <w:r>
              <w:rPr>
                <w:rFonts w:ascii="Calibri" w:hAnsi="Calibri"/>
                <w:szCs w:val="21"/>
              </w:rPr>
              <w:t>工程设计单位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3763" w:type="dxa"/>
            <w:vMerge w:val="continue"/>
            <w:vAlign w:val="center"/>
          </w:tcPr>
          <w:p>
            <w:pPr>
              <w:adjustRightInd w:val="0"/>
              <w:rPr>
                <w:rFonts w:ascii="Calibri" w:hAnsi="Calibri"/>
                <w:szCs w:val="21"/>
              </w:rPr>
            </w:pPr>
          </w:p>
        </w:tc>
        <w:tc>
          <w:tcPr>
            <w:tcW w:w="1635" w:type="dxa"/>
            <w:vAlign w:val="center"/>
          </w:tcPr>
          <w:p>
            <w:pPr>
              <w:adjustRightInd w:val="0"/>
              <w:jc w:val="center"/>
              <w:rPr>
                <w:rFonts w:ascii="Calibri" w:hAnsi="Calibri"/>
                <w:szCs w:val="21"/>
              </w:rPr>
            </w:pPr>
            <w:r>
              <w:rPr>
                <w:rFonts w:hint="eastAsia" w:ascii="Calibri" w:hAnsi="Calibri"/>
                <w:szCs w:val="21"/>
              </w:rPr>
              <w:t>蓝</w:t>
            </w:r>
            <w:r>
              <w:rPr>
                <w:rFonts w:ascii="Calibri" w:hAnsi="Calibri"/>
                <w:szCs w:val="21"/>
              </w:rPr>
              <w:t>图和资料（份）</w:t>
            </w:r>
          </w:p>
        </w:tc>
        <w:tc>
          <w:tcPr>
            <w:tcW w:w="1129" w:type="dxa"/>
            <w:vAlign w:val="center"/>
          </w:tcPr>
          <w:p>
            <w:pPr>
              <w:adjustRightInd w:val="0"/>
              <w:jc w:val="center"/>
              <w:rPr>
                <w:rFonts w:ascii="Calibri" w:hAnsi="Calibri"/>
                <w:szCs w:val="21"/>
              </w:rPr>
            </w:pPr>
            <w:r>
              <w:rPr>
                <w:rFonts w:ascii="Calibri" w:hAnsi="Calibri"/>
                <w:szCs w:val="21"/>
              </w:rPr>
              <w:t>U盘或光盘</w:t>
            </w:r>
          </w:p>
        </w:tc>
        <w:tc>
          <w:tcPr>
            <w:tcW w:w="1662" w:type="dxa"/>
            <w:vAlign w:val="center"/>
          </w:tcPr>
          <w:p>
            <w:pPr>
              <w:adjustRightInd w:val="0"/>
              <w:jc w:val="center"/>
              <w:rPr>
                <w:rFonts w:ascii="Calibri" w:hAnsi="Calibri"/>
                <w:szCs w:val="21"/>
              </w:rPr>
            </w:pPr>
            <w:r>
              <w:rPr>
                <w:rFonts w:hint="eastAsia" w:ascii="Calibri" w:hAnsi="Calibri"/>
                <w:szCs w:val="21"/>
              </w:rPr>
              <w:t>蓝</w:t>
            </w:r>
            <w:r>
              <w:rPr>
                <w:rFonts w:ascii="Calibri" w:hAnsi="Calibri"/>
                <w:szCs w:val="21"/>
              </w:rPr>
              <w:t>图和资料（份）</w:t>
            </w:r>
          </w:p>
        </w:tc>
        <w:tc>
          <w:tcPr>
            <w:tcW w:w="1098" w:type="dxa"/>
            <w:vAlign w:val="center"/>
          </w:tcPr>
          <w:p>
            <w:pPr>
              <w:adjustRightInd w:val="0"/>
              <w:jc w:val="center"/>
              <w:rPr>
                <w:rFonts w:ascii="Calibri" w:hAnsi="Calibri"/>
                <w:szCs w:val="21"/>
              </w:rPr>
            </w:pPr>
            <w:r>
              <w:rPr>
                <w:rFonts w:ascii="Calibri" w:hAnsi="Calibri"/>
                <w:szCs w:val="21"/>
              </w:rPr>
              <w:t>U盘或光盘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3763" w:type="dxa"/>
            <w:vAlign w:val="center"/>
          </w:tcPr>
          <w:p>
            <w:pPr>
              <w:adjustRightInd w:val="0"/>
              <w:rPr>
                <w:rFonts w:ascii="Calibri" w:hAnsi="Calibri"/>
                <w:szCs w:val="21"/>
              </w:rPr>
            </w:pPr>
            <w:r>
              <w:rPr>
                <w:rFonts w:hint="eastAsia"/>
                <w:szCs w:val="21"/>
              </w:rPr>
              <w:t>配合设计</w:t>
            </w:r>
            <w:r>
              <w:rPr>
                <w:rFonts w:ascii="Calibri" w:hAnsi="Calibri"/>
                <w:szCs w:val="21"/>
              </w:rPr>
              <w:t>的工厂图纸资料</w:t>
            </w:r>
          </w:p>
        </w:tc>
        <w:tc>
          <w:tcPr>
            <w:tcW w:w="1635" w:type="dxa"/>
            <w:vAlign w:val="center"/>
          </w:tcPr>
          <w:p>
            <w:pPr>
              <w:adjustRightInd w:val="0"/>
              <w:jc w:val="center"/>
              <w:rPr>
                <w:rFonts w:ascii="Calibri" w:hAnsi="Calibri"/>
                <w:szCs w:val="21"/>
              </w:rPr>
            </w:pPr>
            <w:r>
              <w:rPr>
                <w:rFonts w:ascii="Calibri" w:hAnsi="Calibri"/>
                <w:szCs w:val="21"/>
              </w:rPr>
              <w:t>2</w:t>
            </w:r>
          </w:p>
        </w:tc>
        <w:tc>
          <w:tcPr>
            <w:tcW w:w="1129" w:type="dxa"/>
            <w:vAlign w:val="center"/>
          </w:tcPr>
          <w:p>
            <w:pPr>
              <w:adjustRightInd w:val="0"/>
              <w:jc w:val="center"/>
              <w:rPr>
                <w:rFonts w:ascii="Calibri" w:hAnsi="Calibri"/>
                <w:szCs w:val="21"/>
              </w:rPr>
            </w:pPr>
            <w:r>
              <w:rPr>
                <w:rFonts w:ascii="Calibri" w:hAnsi="Calibri"/>
                <w:szCs w:val="21"/>
              </w:rPr>
              <w:t>1</w:t>
            </w:r>
          </w:p>
        </w:tc>
        <w:tc>
          <w:tcPr>
            <w:tcW w:w="1662" w:type="dxa"/>
            <w:vAlign w:val="center"/>
          </w:tcPr>
          <w:p>
            <w:pPr>
              <w:adjustRightInd w:val="0"/>
              <w:jc w:val="center"/>
              <w:rPr>
                <w:rFonts w:ascii="Calibri" w:hAnsi="Calibri"/>
                <w:szCs w:val="21"/>
              </w:rPr>
            </w:pPr>
            <w:r>
              <w:rPr>
                <w:rFonts w:ascii="Calibri" w:hAnsi="Calibri"/>
                <w:szCs w:val="21"/>
              </w:rPr>
              <w:t>2</w:t>
            </w:r>
          </w:p>
        </w:tc>
        <w:tc>
          <w:tcPr>
            <w:tcW w:w="1098" w:type="dxa"/>
            <w:vAlign w:val="center"/>
          </w:tcPr>
          <w:p>
            <w:pPr>
              <w:adjustRightInd w:val="0"/>
              <w:jc w:val="center"/>
              <w:rPr>
                <w:rFonts w:ascii="Calibri" w:hAnsi="Calibri"/>
                <w:szCs w:val="21"/>
              </w:rPr>
            </w:pPr>
            <w:r>
              <w:rPr>
                <w:rFonts w:ascii="Calibri" w:hAnsi="Calibri"/>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3763" w:type="dxa"/>
            <w:vAlign w:val="center"/>
          </w:tcPr>
          <w:p>
            <w:pPr>
              <w:adjustRightInd w:val="0"/>
              <w:rPr>
                <w:rFonts w:ascii="Calibri" w:hAnsi="Calibri"/>
                <w:szCs w:val="21"/>
              </w:rPr>
            </w:pPr>
            <w:r>
              <w:rPr>
                <w:rFonts w:ascii="Calibri" w:hAnsi="Calibri"/>
                <w:szCs w:val="21"/>
              </w:rPr>
              <w:t>最终工厂图纸</w:t>
            </w:r>
          </w:p>
        </w:tc>
        <w:tc>
          <w:tcPr>
            <w:tcW w:w="1635" w:type="dxa"/>
            <w:vAlign w:val="center"/>
          </w:tcPr>
          <w:p>
            <w:pPr>
              <w:adjustRightInd w:val="0"/>
              <w:jc w:val="center"/>
              <w:rPr>
                <w:rFonts w:ascii="Calibri" w:hAnsi="Calibri"/>
                <w:szCs w:val="21"/>
              </w:rPr>
            </w:pPr>
            <w:r>
              <w:rPr>
                <w:rFonts w:ascii="Calibri" w:hAnsi="Calibri"/>
                <w:szCs w:val="21"/>
              </w:rPr>
              <w:t>20</w:t>
            </w:r>
          </w:p>
        </w:tc>
        <w:tc>
          <w:tcPr>
            <w:tcW w:w="1129" w:type="dxa"/>
            <w:vAlign w:val="center"/>
          </w:tcPr>
          <w:p>
            <w:pPr>
              <w:adjustRightInd w:val="0"/>
              <w:jc w:val="center"/>
              <w:rPr>
                <w:rFonts w:ascii="Calibri" w:hAnsi="Calibri"/>
                <w:szCs w:val="21"/>
              </w:rPr>
            </w:pPr>
            <w:r>
              <w:rPr>
                <w:rFonts w:ascii="Calibri" w:hAnsi="Calibri"/>
                <w:szCs w:val="21"/>
              </w:rPr>
              <w:t>1</w:t>
            </w:r>
          </w:p>
        </w:tc>
        <w:tc>
          <w:tcPr>
            <w:tcW w:w="1662" w:type="dxa"/>
            <w:vAlign w:val="center"/>
          </w:tcPr>
          <w:p>
            <w:pPr>
              <w:adjustRightInd w:val="0"/>
              <w:jc w:val="center"/>
              <w:rPr>
                <w:rFonts w:ascii="Calibri" w:hAnsi="Calibri"/>
                <w:szCs w:val="21"/>
              </w:rPr>
            </w:pPr>
            <w:r>
              <w:rPr>
                <w:rFonts w:ascii="Calibri" w:hAnsi="Calibri"/>
                <w:szCs w:val="21"/>
              </w:rPr>
              <w:t>2</w:t>
            </w:r>
          </w:p>
        </w:tc>
        <w:tc>
          <w:tcPr>
            <w:tcW w:w="1098" w:type="dxa"/>
            <w:vAlign w:val="center"/>
          </w:tcPr>
          <w:p>
            <w:pPr>
              <w:adjustRightInd w:val="0"/>
              <w:jc w:val="center"/>
              <w:rPr>
                <w:rFonts w:ascii="Calibri" w:hAnsi="Calibri"/>
                <w:szCs w:val="21"/>
              </w:rPr>
            </w:pPr>
            <w:r>
              <w:rPr>
                <w:rFonts w:ascii="Calibri" w:hAnsi="Calibri"/>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3763" w:type="dxa"/>
            <w:vAlign w:val="center"/>
          </w:tcPr>
          <w:p>
            <w:pPr>
              <w:adjustRightInd w:val="0"/>
              <w:rPr>
                <w:rFonts w:ascii="Calibri" w:hAnsi="Calibri"/>
                <w:szCs w:val="21"/>
              </w:rPr>
            </w:pPr>
            <w:r>
              <w:rPr>
                <w:rFonts w:ascii="Calibri" w:hAnsi="Calibri"/>
                <w:szCs w:val="21"/>
              </w:rPr>
              <w:t>试验报告、安装维护说明</w:t>
            </w:r>
          </w:p>
        </w:tc>
        <w:tc>
          <w:tcPr>
            <w:tcW w:w="1635" w:type="dxa"/>
            <w:vAlign w:val="center"/>
          </w:tcPr>
          <w:p>
            <w:pPr>
              <w:adjustRightInd w:val="0"/>
              <w:jc w:val="center"/>
              <w:rPr>
                <w:rFonts w:ascii="Calibri" w:hAnsi="Calibri"/>
                <w:szCs w:val="21"/>
              </w:rPr>
            </w:pPr>
            <w:r>
              <w:rPr>
                <w:rFonts w:ascii="Calibri" w:hAnsi="Calibri"/>
                <w:szCs w:val="21"/>
              </w:rPr>
              <w:t>10</w:t>
            </w:r>
          </w:p>
        </w:tc>
        <w:tc>
          <w:tcPr>
            <w:tcW w:w="1129" w:type="dxa"/>
            <w:vAlign w:val="center"/>
          </w:tcPr>
          <w:p>
            <w:pPr>
              <w:adjustRightInd w:val="0"/>
              <w:jc w:val="center"/>
              <w:rPr>
                <w:rFonts w:ascii="Calibri" w:hAnsi="Calibri"/>
                <w:szCs w:val="21"/>
              </w:rPr>
            </w:pPr>
          </w:p>
        </w:tc>
        <w:tc>
          <w:tcPr>
            <w:tcW w:w="1662" w:type="dxa"/>
            <w:vAlign w:val="center"/>
          </w:tcPr>
          <w:p>
            <w:pPr>
              <w:adjustRightInd w:val="0"/>
              <w:jc w:val="center"/>
              <w:rPr>
                <w:rFonts w:ascii="Calibri" w:hAnsi="Calibri"/>
                <w:szCs w:val="21"/>
              </w:rPr>
            </w:pPr>
            <w:r>
              <w:rPr>
                <w:rFonts w:ascii="Calibri" w:hAnsi="Calibri"/>
                <w:szCs w:val="21"/>
              </w:rPr>
              <w:t>2</w:t>
            </w:r>
          </w:p>
        </w:tc>
        <w:tc>
          <w:tcPr>
            <w:tcW w:w="1098" w:type="dxa"/>
            <w:vAlign w:val="center"/>
          </w:tcPr>
          <w:p>
            <w:pPr>
              <w:adjustRightInd w:val="0"/>
              <w:jc w:val="center"/>
              <w:rPr>
                <w:rFonts w:ascii="Calibri" w:hAnsi="Calibri"/>
                <w:szCs w:val="21"/>
              </w:rPr>
            </w:pPr>
          </w:p>
        </w:tc>
      </w:tr>
    </w:tbl>
    <w:p>
      <w:pPr>
        <w:spacing w:line="360" w:lineRule="auto"/>
      </w:pPr>
    </w:p>
    <w:p>
      <w:pPr>
        <w:spacing w:line="360" w:lineRule="auto"/>
      </w:pPr>
      <w:r>
        <w:rPr>
          <w:rFonts w:hint="eastAsia" w:ascii="宋体" w:hAnsi="宋体"/>
        </w:rPr>
        <w:t>7.2.2</w:t>
      </w:r>
      <w:r>
        <w:t xml:space="preserve">  </w:t>
      </w:r>
      <w:r>
        <w:rPr>
          <w:rFonts w:hAnsi="宋体"/>
        </w:rPr>
        <w:t>在技术协议签订</w:t>
      </w:r>
      <w:r>
        <w:rPr>
          <w:rFonts w:hint="eastAsia"/>
        </w:rPr>
        <w:t>_</w:t>
      </w:r>
      <w:r>
        <w:rPr>
          <w:rFonts w:hint="eastAsia"/>
          <w:u w:val="single"/>
        </w:rPr>
        <w:t xml:space="preserve">3 </w:t>
      </w:r>
      <w:r>
        <w:rPr>
          <w:rFonts w:hint="eastAsia" w:hAnsi="宋体"/>
        </w:rPr>
        <w:t>天内</w:t>
      </w:r>
      <w:r>
        <w:rPr>
          <w:rFonts w:hAnsi="宋体"/>
        </w:rPr>
        <w:t>，投标方向设计院提供下列</w:t>
      </w:r>
      <w:r>
        <w:rPr>
          <w:rFonts w:hint="eastAsia" w:hAnsi="宋体"/>
        </w:rPr>
        <w:t>正式</w:t>
      </w:r>
      <w:r>
        <w:rPr>
          <w:rFonts w:hAnsi="宋体"/>
        </w:rPr>
        <w:t>资料。</w:t>
      </w:r>
    </w:p>
    <w:p>
      <w:pPr>
        <w:spacing w:line="360" w:lineRule="auto"/>
        <w:ind w:firstLine="420" w:firstLineChars="200"/>
      </w:pPr>
      <w:r>
        <w:rPr>
          <w:rFonts w:hint="eastAsia"/>
        </w:rPr>
        <w:t>a</w:t>
      </w:r>
      <w:r>
        <w:rPr>
          <w:rFonts w:hint="eastAsia" w:hAnsi="宋体"/>
        </w:rPr>
        <w:t>、组装图：应表示成套装置总的装配情况。包括外型尺寸、总重量、及其它附件。</w:t>
      </w:r>
    </w:p>
    <w:p>
      <w:pPr>
        <w:spacing w:line="360" w:lineRule="auto"/>
        <w:ind w:firstLine="420" w:firstLineChars="200"/>
      </w:pPr>
      <w:r>
        <w:rPr>
          <w:rFonts w:hint="eastAsia"/>
        </w:rPr>
        <w:t>b</w:t>
      </w:r>
      <w:r>
        <w:rPr>
          <w:rFonts w:hint="eastAsia" w:hAnsi="宋体"/>
        </w:rPr>
        <w:t>、基础图：应标明成套装置的尺寸、基础的位置和尺寸等。</w:t>
      </w:r>
    </w:p>
    <w:p>
      <w:pPr>
        <w:spacing w:line="360" w:lineRule="auto"/>
        <w:ind w:firstLine="420" w:firstLineChars="200"/>
      </w:pPr>
      <w:r>
        <w:rPr>
          <w:rFonts w:hint="eastAsia"/>
        </w:rPr>
        <w:t>c</w:t>
      </w:r>
      <w:r>
        <w:rPr>
          <w:rFonts w:hint="eastAsia" w:hAnsi="宋体"/>
        </w:rPr>
        <w:t>、电气原理图：应包括成套装置的内部、外部接线；电抗器、控制器的外型尺寸安装图及原理图、端子排图等。</w:t>
      </w:r>
    </w:p>
    <w:p>
      <w:pPr>
        <w:spacing w:line="360" w:lineRule="auto"/>
      </w:pPr>
      <w:r>
        <w:rPr>
          <w:rFonts w:hint="eastAsia" w:ascii="宋体" w:hAnsi="宋体"/>
        </w:rPr>
        <w:t>7.2.3</w:t>
      </w:r>
      <w:r>
        <w:t xml:space="preserve">  </w:t>
      </w:r>
      <w:r>
        <w:rPr>
          <w:rFonts w:hAnsi="宋体"/>
        </w:rPr>
        <w:t>设备供货时提供下列资料</w:t>
      </w:r>
      <w:r>
        <w:rPr>
          <w:rFonts w:hint="eastAsia" w:hAnsi="宋体"/>
        </w:rPr>
        <w:t>（另附电子版</w:t>
      </w:r>
      <w:r>
        <w:rPr>
          <w:rFonts w:hint="eastAsia"/>
        </w:rPr>
        <w:t>AUTO CAD</w:t>
      </w:r>
      <w:r>
        <w:rPr>
          <w:rFonts w:hint="eastAsia" w:hAnsi="宋体"/>
        </w:rPr>
        <w:t>一份）</w:t>
      </w:r>
      <w:r>
        <w:rPr>
          <w:rFonts w:hAnsi="宋体"/>
        </w:rPr>
        <w:t>：设备的开箱资料除了</w:t>
      </w:r>
      <w:r>
        <w:rPr>
          <w:rFonts w:hint="eastAsia"/>
        </w:rPr>
        <w:t>7</w:t>
      </w:r>
      <w:r>
        <w:t>.2.2</w:t>
      </w:r>
      <w:r>
        <w:rPr>
          <w:rFonts w:hAnsi="宋体"/>
        </w:rPr>
        <w:t>条所述图纸资料外，还应包括安装、运行、维护、修理说明书，部件清单，工厂试验报告，产品合格证，内部安装接线图。</w:t>
      </w:r>
    </w:p>
    <w:p>
      <w:pPr>
        <w:spacing w:line="360" w:lineRule="auto"/>
      </w:pPr>
      <w:r>
        <w:rPr>
          <w:rFonts w:hint="eastAsia" w:ascii="宋体" w:hAnsi="宋体"/>
        </w:rPr>
        <w:t>7.2.4</w:t>
      </w:r>
      <w:r>
        <w:t xml:space="preserve">  </w:t>
      </w:r>
      <w:r>
        <w:rPr>
          <w:rFonts w:hint="eastAsia" w:hAnsi="宋体"/>
        </w:rPr>
        <w:t>最终图纸应注明投标方、招标方的订货合同号并有明显最终版标记。最终资料提交后不得任意修改，设备到货后与所提资料不符所造成的一切返工和损失由投标方负责赔偿。</w:t>
      </w:r>
    </w:p>
    <w:p>
      <w:pPr>
        <w:pStyle w:val="3"/>
        <w:keepNext/>
        <w:keepLines/>
        <w:numPr>
          <w:ilvl w:val="0"/>
          <w:numId w:val="0"/>
        </w:numPr>
        <w:spacing w:beforeLines="0" w:afterLines="0" w:line="360" w:lineRule="auto"/>
        <w:rPr>
          <w:rFonts w:ascii="宋体" w:hAnsi="宋体"/>
          <w:color w:val="auto"/>
          <w:sz w:val="24"/>
          <w:szCs w:val="20"/>
        </w:rPr>
      </w:pPr>
      <w:bookmarkStart w:id="635" w:name="_Toc21641"/>
      <w:bookmarkStart w:id="636" w:name="_Toc27127631"/>
      <w:bookmarkStart w:id="637" w:name="_Toc253650940"/>
      <w:r>
        <w:rPr>
          <w:rFonts w:hint="eastAsia" w:ascii="宋体" w:hAnsi="宋体"/>
          <w:color w:val="auto"/>
          <w:sz w:val="24"/>
          <w:szCs w:val="20"/>
        </w:rPr>
        <w:t>7.3 现场服务</w:t>
      </w:r>
      <w:bookmarkEnd w:id="635"/>
      <w:bookmarkEnd w:id="636"/>
      <w:bookmarkEnd w:id="637"/>
    </w:p>
    <w:p>
      <w:pPr>
        <w:spacing w:line="360" w:lineRule="auto"/>
        <w:ind w:firstLine="420"/>
      </w:pPr>
      <w:r>
        <w:rPr>
          <w:rFonts w:hAnsi="宋体"/>
        </w:rPr>
        <w:t>在设备安装过程中投标方应派有经验的技术人员常住现场，开关柜母线由制造厂安装，免费提供现场服务。常住人员协助招标方按标准检查安装质量，处理调试投运过程中出现的问题。投标方应选派有经验的技术人员，对安装和运行人员免费培训。</w:t>
      </w:r>
    </w:p>
    <w:p>
      <w:pPr>
        <w:pStyle w:val="3"/>
        <w:keepNext/>
        <w:keepLines/>
        <w:numPr>
          <w:ilvl w:val="0"/>
          <w:numId w:val="0"/>
        </w:numPr>
        <w:spacing w:beforeLines="0" w:afterLines="0" w:line="360" w:lineRule="auto"/>
        <w:rPr>
          <w:rFonts w:ascii="宋体" w:hAnsi="宋体"/>
          <w:color w:val="auto"/>
          <w:sz w:val="24"/>
          <w:szCs w:val="20"/>
        </w:rPr>
      </w:pPr>
      <w:bookmarkStart w:id="638" w:name="_Toc253650941"/>
      <w:bookmarkStart w:id="639" w:name="_Toc26941"/>
      <w:bookmarkStart w:id="640" w:name="_Toc27127632"/>
      <w:r>
        <w:rPr>
          <w:rFonts w:hint="eastAsia" w:ascii="宋体" w:hAnsi="宋体"/>
          <w:color w:val="auto"/>
          <w:sz w:val="24"/>
          <w:szCs w:val="20"/>
        </w:rPr>
        <w:t>7.4 使用期限</w:t>
      </w:r>
      <w:bookmarkEnd w:id="638"/>
      <w:bookmarkEnd w:id="639"/>
      <w:bookmarkEnd w:id="640"/>
    </w:p>
    <w:p>
      <w:pPr>
        <w:spacing w:line="360" w:lineRule="auto"/>
        <w:ind w:firstLine="480"/>
        <w:textAlignment w:val="baseline"/>
        <w:rPr>
          <w:rFonts w:ascii="宋体" w:hAnsi="宋体"/>
        </w:rPr>
      </w:pPr>
      <w:r>
        <w:rPr>
          <w:rFonts w:hint="eastAsia" w:hAnsi="宋体"/>
        </w:rPr>
        <w:t>保修期</w:t>
      </w:r>
      <w:r>
        <w:rPr>
          <w:rFonts w:hint="eastAsia" w:hAnsi="宋体"/>
          <w:u w:val="single"/>
        </w:rPr>
        <w:t xml:space="preserve"> 2 </w:t>
      </w:r>
      <w:r>
        <w:rPr>
          <w:rFonts w:hint="eastAsia" w:hAnsi="宋体"/>
        </w:rPr>
        <w:t>年，</w:t>
      </w:r>
      <w:r>
        <w:rPr>
          <w:rFonts w:hAnsi="宋体"/>
        </w:rPr>
        <w:t>使用年限不少于</w:t>
      </w:r>
      <w:r>
        <w:rPr>
          <w:rFonts w:hint="eastAsia"/>
        </w:rPr>
        <w:t>3</w:t>
      </w:r>
      <w:r>
        <w:t>0</w:t>
      </w:r>
      <w:r>
        <w:rPr>
          <w:rFonts w:hAnsi="宋体"/>
        </w:rPr>
        <w:t>年</w:t>
      </w:r>
      <w:r>
        <w:rPr>
          <w:rFonts w:hint="eastAsia" w:hAnsi="宋体"/>
        </w:rPr>
        <w:t>，</w:t>
      </w:r>
      <w:r>
        <w:rPr>
          <w:rFonts w:hint="eastAsia" w:ascii="宋体" w:hAnsi="宋体"/>
        </w:rPr>
        <w:t>在保修期内，无论任何部分(包括外协件)属于质量问题而损坏的，制造厂无偿修理或更换。</w:t>
      </w:r>
    </w:p>
    <w:p>
      <w:pPr>
        <w:spacing w:line="360" w:lineRule="auto"/>
        <w:ind w:firstLine="420"/>
      </w:pPr>
      <w:r>
        <w:rPr>
          <w:rFonts w:hint="eastAsia" w:hAnsi="宋体"/>
        </w:rPr>
        <w:t>投标方</w:t>
      </w:r>
      <w:r>
        <w:rPr>
          <w:rFonts w:hint="eastAsia"/>
        </w:rPr>
        <w:t>12</w:t>
      </w:r>
      <w:r>
        <w:rPr>
          <w:rFonts w:hint="eastAsia" w:hAnsi="宋体"/>
        </w:rPr>
        <w:t>工作小时内响应招标方及用户要求，如有必要</w:t>
      </w:r>
      <w:r>
        <w:rPr>
          <w:rFonts w:hint="eastAsia"/>
        </w:rPr>
        <w:t>24</w:t>
      </w:r>
      <w:r>
        <w:rPr>
          <w:rFonts w:hint="eastAsia" w:hAnsi="宋体"/>
        </w:rPr>
        <w:t>小时内赶到现场进行处理。</w:t>
      </w:r>
    </w:p>
    <w:p>
      <w:pPr>
        <w:pStyle w:val="17"/>
        <w:spacing w:line="360" w:lineRule="auto"/>
        <w:ind w:firstLine="220"/>
        <w:rPr>
          <w:rFonts w:hint="eastAsia" w:hAnsi="宋体"/>
          <w:sz w:val="24"/>
        </w:rPr>
      </w:pPr>
      <w:r>
        <w:rPr>
          <w:rFonts w:hint="eastAsia" w:hAnsi="宋体"/>
          <w:sz w:val="24"/>
        </w:rPr>
        <w:t>投标方应保证及时提供合格的备品备件，并应给予价格优惠。</w:t>
      </w:r>
    </w:p>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641" w:name="_Toc317757069"/>
      <w:bookmarkStart w:id="642" w:name="_Toc21066"/>
      <w:bookmarkStart w:id="643" w:name="_Toc27127633"/>
      <w:r>
        <w:rPr>
          <w:iCs/>
          <w:kern w:val="36"/>
          <w:sz w:val="32"/>
          <w:szCs w:val="44"/>
          <w:lang w:eastAsia="ar-SA"/>
        </w:rPr>
        <w:t>工作安排</w:t>
      </w:r>
      <w:bookmarkEnd w:id="641"/>
      <w:bookmarkEnd w:id="642"/>
      <w:bookmarkEnd w:id="643"/>
    </w:p>
    <w:p>
      <w:pPr>
        <w:spacing w:line="360" w:lineRule="auto"/>
        <w:textAlignment w:val="baseline"/>
        <w:rPr>
          <w:rFonts w:ascii="宋体" w:hAnsi="宋体"/>
        </w:rPr>
      </w:pPr>
      <w:bookmarkStart w:id="644" w:name="_Toc248720734"/>
      <w:bookmarkStart w:id="645" w:name="_Toc281546737"/>
      <w:r>
        <w:rPr>
          <w:rFonts w:hint="eastAsia" w:ascii="宋体" w:hAnsi="宋体"/>
        </w:rPr>
        <w:t>8</w:t>
      </w:r>
      <w:r>
        <w:rPr>
          <w:rFonts w:ascii="宋体" w:hAnsi="宋体"/>
        </w:rPr>
        <w:t>.1 投标方的工作范围包括动态无功补偿及成套装置的设计、制造和指导调试；</w:t>
      </w:r>
    </w:p>
    <w:p>
      <w:pPr>
        <w:spacing w:line="360" w:lineRule="auto"/>
        <w:textAlignment w:val="baseline"/>
        <w:rPr>
          <w:rFonts w:ascii="宋体" w:hAnsi="宋体"/>
        </w:rPr>
      </w:pPr>
      <w:r>
        <w:rPr>
          <w:rFonts w:hint="eastAsia" w:ascii="宋体" w:hAnsi="宋体"/>
        </w:rPr>
        <w:t>8</w:t>
      </w:r>
      <w:r>
        <w:rPr>
          <w:rFonts w:ascii="宋体" w:hAnsi="宋体"/>
        </w:rPr>
        <w:t>.</w:t>
      </w:r>
      <w:r>
        <w:rPr>
          <w:rFonts w:hint="eastAsia" w:ascii="宋体" w:hAnsi="宋体"/>
        </w:rPr>
        <w:t>2</w:t>
      </w:r>
      <w:r>
        <w:rPr>
          <w:rFonts w:ascii="宋体" w:hAnsi="宋体"/>
        </w:rPr>
        <w:t xml:space="preserve"> 招标方的工作范围如下：</w:t>
      </w:r>
    </w:p>
    <w:p>
      <w:pPr>
        <w:spacing w:line="360" w:lineRule="auto"/>
        <w:textAlignment w:val="baseline"/>
        <w:rPr>
          <w:rFonts w:hint="eastAsia" w:ascii="宋体" w:hAnsi="宋体"/>
        </w:rPr>
      </w:pPr>
      <w:r>
        <w:rPr>
          <w:rFonts w:hint="eastAsia" w:ascii="宋体" w:hAnsi="宋体"/>
        </w:rPr>
        <w:t>8.2.1 招标方负责为SVG装置提供必要的空调、风机等冷却、通风设备（含风道），保证SVG补偿室的温度在0℃～40℃，控制室湿度≤65%（25℃）。</w:t>
      </w:r>
    </w:p>
    <w:p>
      <w:pPr>
        <w:spacing w:line="360" w:lineRule="auto"/>
        <w:textAlignment w:val="baseline"/>
        <w:rPr>
          <w:rFonts w:ascii="宋体" w:hAnsi="宋体"/>
        </w:rPr>
      </w:pPr>
      <w:r>
        <w:rPr>
          <w:rFonts w:hint="eastAsia" w:ascii="宋体" w:hAnsi="宋体"/>
        </w:rPr>
        <w:t>8</w:t>
      </w:r>
      <w:r>
        <w:rPr>
          <w:rFonts w:ascii="宋体" w:hAnsi="宋体"/>
        </w:rPr>
        <w:t>.</w:t>
      </w:r>
      <w:r>
        <w:rPr>
          <w:rFonts w:hint="eastAsia" w:ascii="宋体" w:hAnsi="宋体"/>
        </w:rPr>
        <w:t>2</w:t>
      </w:r>
      <w:r>
        <w:rPr>
          <w:rFonts w:ascii="宋体" w:hAnsi="宋体"/>
        </w:rPr>
        <w:t>.</w:t>
      </w:r>
      <w:r>
        <w:rPr>
          <w:rFonts w:hint="eastAsia" w:ascii="宋体" w:hAnsi="宋体"/>
        </w:rPr>
        <w:t>2</w:t>
      </w:r>
      <w:r>
        <w:rPr>
          <w:rFonts w:ascii="宋体" w:hAnsi="宋体"/>
        </w:rPr>
        <w:t xml:space="preserve"> 设备收货卸货</w:t>
      </w:r>
    </w:p>
    <w:p>
      <w:pPr>
        <w:spacing w:line="360" w:lineRule="auto"/>
        <w:ind w:firstLine="420" w:firstLineChars="200"/>
        <w:textAlignment w:val="baseline"/>
        <w:rPr>
          <w:rFonts w:ascii="宋体" w:hAnsi="宋体"/>
        </w:rPr>
      </w:pPr>
      <w:r>
        <w:rPr>
          <w:rFonts w:ascii="宋体" w:hAnsi="宋体"/>
        </w:rPr>
        <w:t>投标方设备到达现场后招标方负责收货、卸货工作，设备开箱时需招标方、投标方人员同时在场，并对照发货清单进行清点，清点无误后由招标方确认签字。</w:t>
      </w:r>
    </w:p>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646" w:name="_Toc317757070"/>
      <w:bookmarkStart w:id="647" w:name="_Toc32216"/>
      <w:bookmarkStart w:id="648" w:name="_Toc27127634"/>
      <w:r>
        <w:rPr>
          <w:iCs/>
          <w:kern w:val="36"/>
          <w:sz w:val="32"/>
          <w:szCs w:val="44"/>
          <w:lang w:eastAsia="ar-SA"/>
        </w:rPr>
        <w:t>质量保证</w:t>
      </w:r>
      <w:bookmarkEnd w:id="644"/>
      <w:bookmarkEnd w:id="645"/>
      <w:bookmarkEnd w:id="646"/>
      <w:bookmarkEnd w:id="647"/>
      <w:bookmarkEnd w:id="648"/>
    </w:p>
    <w:p>
      <w:pPr>
        <w:spacing w:line="360" w:lineRule="auto"/>
        <w:textAlignment w:val="baseline"/>
        <w:rPr>
          <w:rFonts w:ascii="宋体" w:hAnsi="宋体"/>
        </w:rPr>
      </w:pPr>
      <w:r>
        <w:rPr>
          <w:rFonts w:hint="eastAsia" w:ascii="宋体" w:hAnsi="宋体"/>
        </w:rPr>
        <w:t>9</w:t>
      </w:r>
      <w:r>
        <w:rPr>
          <w:rFonts w:ascii="宋体" w:hAnsi="宋体"/>
        </w:rPr>
        <w:t>.</w:t>
      </w:r>
      <w:r>
        <w:rPr>
          <w:rFonts w:hint="eastAsia" w:ascii="宋体" w:hAnsi="宋体"/>
        </w:rPr>
        <w:t>1</w:t>
      </w:r>
      <w:r>
        <w:rPr>
          <w:rFonts w:ascii="宋体" w:hAnsi="宋体"/>
        </w:rPr>
        <w:t xml:space="preserve"> 投标方应保证制造过程中的所有工艺、材料等(包括投标方的外购件在内)均应符合本规范的规定。</w:t>
      </w:r>
    </w:p>
    <w:p>
      <w:pPr>
        <w:spacing w:line="360" w:lineRule="auto"/>
        <w:textAlignment w:val="baseline"/>
        <w:rPr>
          <w:rFonts w:hint="eastAsia" w:ascii="宋体" w:hAnsi="宋体"/>
        </w:rPr>
      </w:pPr>
      <w:r>
        <w:rPr>
          <w:rFonts w:hint="eastAsia" w:ascii="宋体" w:hAnsi="宋体"/>
        </w:rPr>
        <w:t>9</w:t>
      </w:r>
      <w:r>
        <w:rPr>
          <w:rFonts w:ascii="宋体" w:hAnsi="宋体"/>
        </w:rPr>
        <w:t>.</w:t>
      </w:r>
      <w:r>
        <w:rPr>
          <w:rFonts w:hint="eastAsia" w:ascii="宋体" w:hAnsi="宋体"/>
        </w:rPr>
        <w:t>2</w:t>
      </w:r>
      <w:r>
        <w:rPr>
          <w:rFonts w:ascii="宋体" w:hAnsi="宋体"/>
        </w:rPr>
        <w:t xml:space="preserve"> 投标方应有遵守本规范中各条款和工作项目的ISO900-GB/T1900质量保证体系</w:t>
      </w:r>
      <w:r>
        <w:rPr>
          <w:rFonts w:hint="eastAsia" w:ascii="宋体" w:hAnsi="宋体"/>
        </w:rPr>
        <w:t>，</w:t>
      </w:r>
      <w:r>
        <w:rPr>
          <w:rFonts w:ascii="宋体" w:hAnsi="宋体"/>
        </w:rPr>
        <w:t>且该质量保证体系已经过国家认证和正常运转。</w:t>
      </w:r>
    </w:p>
    <w:p>
      <w:pPr>
        <w:spacing w:line="360" w:lineRule="auto"/>
        <w:textAlignment w:val="baseline"/>
        <w:rPr>
          <w:rFonts w:hint="eastAsia" w:ascii="宋体" w:hAnsi="宋体"/>
        </w:rPr>
      </w:pPr>
      <w:r>
        <w:rPr>
          <w:rFonts w:hint="eastAsia"/>
        </w:rPr>
        <w:t>9.3 防污等级：Ⅲ级；能够完全满足防盐雾、凝露、沙尘等性能要求。</w:t>
      </w:r>
    </w:p>
    <w:p>
      <w:pPr>
        <w:pStyle w:val="2"/>
        <w:keepNext/>
        <w:keepLines/>
        <w:widowControl/>
        <w:numPr>
          <w:ilvl w:val="0"/>
          <w:numId w:val="6"/>
        </w:numPr>
        <w:spacing w:before="120" w:beforeLines="0" w:after="120" w:afterLines="0" w:line="240" w:lineRule="auto"/>
        <w:jc w:val="left"/>
        <w:rPr>
          <w:iCs/>
          <w:kern w:val="36"/>
          <w:sz w:val="32"/>
          <w:szCs w:val="44"/>
          <w:lang w:eastAsia="ar-SA"/>
        </w:rPr>
      </w:pPr>
      <w:bookmarkStart w:id="649" w:name="_Toc253650942"/>
      <w:bookmarkStart w:id="650" w:name="_Toc29312"/>
      <w:bookmarkStart w:id="651" w:name="_Toc27127635"/>
      <w:r>
        <w:rPr>
          <w:rFonts w:hint="eastAsia"/>
          <w:iCs/>
          <w:kern w:val="36"/>
          <w:sz w:val="32"/>
          <w:szCs w:val="44"/>
          <w:lang w:eastAsia="ar-SA"/>
        </w:rPr>
        <w:t>包装、运输和贮存</w:t>
      </w:r>
      <w:bookmarkEnd w:id="649"/>
      <w:bookmarkEnd w:id="650"/>
      <w:bookmarkEnd w:id="651"/>
    </w:p>
    <w:p>
      <w:pPr>
        <w:spacing w:line="360" w:lineRule="auto"/>
        <w:textAlignment w:val="baseline"/>
        <w:rPr>
          <w:rFonts w:ascii="宋体" w:hAnsi="宋体"/>
        </w:rPr>
      </w:pPr>
      <w:r>
        <w:rPr>
          <w:rFonts w:hint="eastAsia" w:ascii="宋体" w:hAnsi="宋体"/>
        </w:rPr>
        <w:t>10.1 设备制造完成并通过试验后,及时包装,否则应得到切实的保护,确保其不受污损。</w:t>
      </w:r>
    </w:p>
    <w:p>
      <w:pPr>
        <w:spacing w:line="360" w:lineRule="auto"/>
        <w:textAlignment w:val="baseline"/>
        <w:rPr>
          <w:rFonts w:ascii="宋体" w:hAnsi="宋体"/>
        </w:rPr>
      </w:pPr>
      <w:r>
        <w:rPr>
          <w:rFonts w:hint="eastAsia" w:ascii="宋体" w:hAnsi="宋体"/>
        </w:rPr>
        <w:t>10.2 所有部件经妥善包装或装箱后,在运输过程中尚应采取其它防护措施,以免散失损坏或被盗。</w:t>
      </w:r>
    </w:p>
    <w:p>
      <w:pPr>
        <w:spacing w:line="360" w:lineRule="auto"/>
        <w:textAlignment w:val="baseline"/>
        <w:rPr>
          <w:rFonts w:ascii="宋体" w:hAnsi="宋体"/>
        </w:rPr>
      </w:pPr>
      <w:r>
        <w:rPr>
          <w:rFonts w:hint="eastAsia" w:ascii="宋体" w:hAnsi="宋体"/>
        </w:rPr>
        <w:t>10.3 在包装箱外标明招标方的定货号、发货号。</w:t>
      </w:r>
    </w:p>
    <w:p>
      <w:pPr>
        <w:spacing w:line="360" w:lineRule="auto"/>
        <w:textAlignment w:val="baseline"/>
        <w:rPr>
          <w:rFonts w:ascii="宋体" w:hAnsi="宋体"/>
        </w:rPr>
      </w:pPr>
      <w:r>
        <w:rPr>
          <w:rFonts w:hint="eastAsia" w:ascii="宋体" w:hAnsi="宋体"/>
        </w:rPr>
        <w:t>10.4 各种包装能确保各零部件在运输过程中不致遭到损坏.丢失.变形.受潮和腐蚀。</w:t>
      </w:r>
    </w:p>
    <w:p>
      <w:pPr>
        <w:spacing w:line="360" w:lineRule="auto"/>
        <w:textAlignment w:val="baseline"/>
        <w:rPr>
          <w:rFonts w:ascii="宋体" w:hAnsi="宋体"/>
        </w:rPr>
      </w:pPr>
      <w:r>
        <w:rPr>
          <w:rFonts w:hint="eastAsia" w:ascii="宋体" w:hAnsi="宋体"/>
        </w:rPr>
        <w:t>10.5 包装箱上有明显的包装储运图示标志(按GB191)。</w:t>
      </w:r>
    </w:p>
    <w:p>
      <w:pPr>
        <w:spacing w:line="360" w:lineRule="auto"/>
        <w:textAlignment w:val="baseline"/>
        <w:rPr>
          <w:rFonts w:ascii="宋体" w:hAnsi="宋体"/>
        </w:rPr>
      </w:pPr>
      <w:r>
        <w:rPr>
          <w:rFonts w:hint="eastAsia" w:ascii="宋体" w:hAnsi="宋体"/>
        </w:rPr>
        <w:t>10.6 整体产品或分别运输的部件都要适合运输和装载的要求。</w:t>
      </w:r>
    </w:p>
    <w:p>
      <w:pPr>
        <w:pStyle w:val="13"/>
        <w:rPr>
          <w:rFonts w:hAnsi="宋体"/>
          <w:sz w:val="24"/>
        </w:rPr>
      </w:pPr>
      <w:r>
        <w:rPr>
          <w:rFonts w:hint="eastAsia" w:hAnsi="宋体"/>
          <w:sz w:val="24"/>
        </w:rPr>
        <w:t>10.7 随产品提供的技术资料完整无缺,提供份数符合GB11032的要求。</w:t>
      </w:r>
    </w:p>
    <w:p>
      <w:pPr>
        <w:spacing w:line="360" w:lineRule="auto"/>
      </w:pPr>
      <w:r>
        <w:rPr>
          <w:rFonts w:hAnsi="宋体"/>
        </w:rPr>
        <w:br w:type="page"/>
      </w:r>
      <w:r>
        <w:rPr>
          <w:color w:val="000000"/>
        </w:rPr>
        <w:t>签字页</w:t>
      </w:r>
      <w:r>
        <w:rPr>
          <w:rFonts w:hint="eastAsia"/>
          <w:color w:val="000000"/>
        </w:rPr>
        <w:t>（此页无正文）</w:t>
      </w:r>
    </w:p>
    <w:p>
      <w:pPr>
        <w:spacing w:line="360" w:lineRule="auto"/>
        <w:rPr>
          <w:szCs w:val="28"/>
        </w:rPr>
      </w:pPr>
    </w:p>
    <w:p>
      <w:pPr>
        <w:spacing w:line="360" w:lineRule="auto"/>
        <w:rPr>
          <w:szCs w:val="28"/>
        </w:rPr>
      </w:pPr>
      <w:r>
        <w:rPr>
          <w:rFonts w:hint="eastAsia"/>
          <w:szCs w:val="28"/>
        </w:rPr>
        <w:t>买</w:t>
      </w:r>
      <w:r>
        <w:rPr>
          <w:szCs w:val="28"/>
        </w:rPr>
        <w:t>方</w:t>
      </w:r>
      <w:r>
        <w:rPr>
          <w:rFonts w:hint="eastAsia"/>
          <w:szCs w:val="28"/>
        </w:rPr>
        <w:t>（盖章）</w:t>
      </w:r>
      <w:r>
        <w:rPr>
          <w:szCs w:val="28"/>
        </w:rPr>
        <w:t>：</w:t>
      </w:r>
    </w:p>
    <w:p>
      <w:pPr>
        <w:spacing w:line="360" w:lineRule="auto"/>
        <w:rPr>
          <w:szCs w:val="28"/>
        </w:rPr>
      </w:pPr>
    </w:p>
    <w:p>
      <w:pPr>
        <w:spacing w:line="360" w:lineRule="auto"/>
        <w:rPr>
          <w:szCs w:val="28"/>
        </w:rPr>
      </w:pPr>
      <w:r>
        <w:rPr>
          <w:rFonts w:hint="eastAsia"/>
          <w:szCs w:val="28"/>
        </w:rPr>
        <w:t>买方</w:t>
      </w:r>
      <w:r>
        <w:rPr>
          <w:szCs w:val="28"/>
        </w:rPr>
        <w:t>代表：</w:t>
      </w:r>
    </w:p>
    <w:p>
      <w:pPr>
        <w:spacing w:line="360" w:lineRule="auto"/>
        <w:rPr>
          <w:szCs w:val="28"/>
        </w:rPr>
      </w:pPr>
      <w:r>
        <w:rPr>
          <w:szCs w:val="28"/>
        </w:rPr>
        <w:t>联系</w:t>
      </w:r>
      <w:r>
        <w:rPr>
          <w:rFonts w:hint="eastAsia"/>
          <w:szCs w:val="28"/>
        </w:rPr>
        <w:t>电话</w:t>
      </w:r>
      <w:r>
        <w:rPr>
          <w:szCs w:val="28"/>
        </w:rPr>
        <w:t xml:space="preserve">： </w:t>
      </w:r>
    </w:p>
    <w:p>
      <w:pPr>
        <w:spacing w:line="360" w:lineRule="auto"/>
        <w:rPr>
          <w:szCs w:val="28"/>
        </w:rPr>
      </w:pPr>
      <w:r>
        <w:rPr>
          <w:szCs w:val="28"/>
        </w:rPr>
        <w:t>传真：</w:t>
      </w:r>
    </w:p>
    <w:p>
      <w:pPr>
        <w:spacing w:line="360" w:lineRule="auto"/>
        <w:rPr>
          <w:szCs w:val="28"/>
        </w:rPr>
      </w:pPr>
      <w:r>
        <w:rPr>
          <w:szCs w:val="28"/>
        </w:rPr>
        <w:t>邮箱：</w:t>
      </w:r>
    </w:p>
    <w:p>
      <w:pPr>
        <w:spacing w:line="360" w:lineRule="auto"/>
        <w:rPr>
          <w:szCs w:val="28"/>
        </w:rPr>
      </w:pPr>
      <w:r>
        <w:rPr>
          <w:szCs w:val="28"/>
        </w:rPr>
        <w:t xml:space="preserve">地址： </w:t>
      </w:r>
    </w:p>
    <w:p>
      <w:pPr>
        <w:spacing w:line="360" w:lineRule="auto"/>
        <w:rPr>
          <w:szCs w:val="28"/>
        </w:rPr>
      </w:pPr>
    </w:p>
    <w:p>
      <w:pPr>
        <w:spacing w:line="360" w:lineRule="auto"/>
        <w:rPr>
          <w:szCs w:val="28"/>
        </w:rPr>
      </w:pPr>
    </w:p>
    <w:p>
      <w:pPr>
        <w:spacing w:line="360" w:lineRule="auto"/>
        <w:rPr>
          <w:szCs w:val="28"/>
        </w:rPr>
      </w:pPr>
      <w:r>
        <w:rPr>
          <w:szCs w:val="28"/>
        </w:rPr>
        <w:t>卖方</w:t>
      </w:r>
      <w:r>
        <w:rPr>
          <w:rFonts w:hint="eastAsia"/>
          <w:szCs w:val="28"/>
        </w:rPr>
        <w:t>（盖章）</w:t>
      </w:r>
      <w:r>
        <w:rPr>
          <w:szCs w:val="28"/>
        </w:rPr>
        <w:t>：</w:t>
      </w:r>
    </w:p>
    <w:p>
      <w:pPr>
        <w:spacing w:line="360" w:lineRule="auto"/>
        <w:rPr>
          <w:szCs w:val="28"/>
        </w:rPr>
      </w:pPr>
      <w:r>
        <w:rPr>
          <w:szCs w:val="28"/>
        </w:rPr>
        <w:t>卖方代表：</w:t>
      </w:r>
    </w:p>
    <w:p>
      <w:pPr>
        <w:spacing w:line="360" w:lineRule="auto"/>
        <w:rPr>
          <w:color w:val="000000"/>
          <w:szCs w:val="28"/>
        </w:rPr>
      </w:pPr>
      <w:r>
        <w:rPr>
          <w:color w:val="000000"/>
          <w:szCs w:val="28"/>
        </w:rPr>
        <w:t>联系电话：</w:t>
      </w:r>
    </w:p>
    <w:p>
      <w:pPr>
        <w:spacing w:line="360" w:lineRule="auto"/>
        <w:rPr>
          <w:color w:val="000000"/>
          <w:szCs w:val="28"/>
        </w:rPr>
      </w:pPr>
      <w:r>
        <w:rPr>
          <w:color w:val="000000"/>
          <w:szCs w:val="28"/>
        </w:rPr>
        <w:t>传真：</w:t>
      </w:r>
    </w:p>
    <w:p>
      <w:pPr>
        <w:spacing w:line="360" w:lineRule="auto"/>
        <w:rPr>
          <w:color w:val="000000"/>
          <w:szCs w:val="28"/>
        </w:rPr>
      </w:pPr>
      <w:r>
        <w:rPr>
          <w:color w:val="000000"/>
          <w:szCs w:val="28"/>
        </w:rPr>
        <w:t>邮箱：</w:t>
      </w:r>
    </w:p>
    <w:p>
      <w:pPr>
        <w:spacing w:line="360" w:lineRule="auto"/>
        <w:rPr>
          <w:color w:val="000000"/>
          <w:szCs w:val="28"/>
        </w:rPr>
      </w:pPr>
      <w:r>
        <w:rPr>
          <w:color w:val="000000"/>
          <w:szCs w:val="28"/>
        </w:rPr>
        <w:t>地址：</w:t>
      </w:r>
    </w:p>
    <w:p>
      <w:pPr>
        <w:pStyle w:val="13"/>
        <w:rPr>
          <w:rFonts w:hint="eastAsia" w:hAnsi="宋体"/>
          <w:sz w:val="24"/>
        </w:rPr>
      </w:pPr>
    </w:p>
    <w:p>
      <w:pPr>
        <w:spacing w:line="360" w:lineRule="auto"/>
        <w:ind w:firstLine="0"/>
        <w:jc w:val="right"/>
        <w:rPr>
          <w:rFonts w:ascii="宋体" w:hAnsi="宋体"/>
          <w:sz w:val="24"/>
          <w:lang w:eastAsia="zh-CN"/>
        </w:rPr>
      </w:pPr>
    </w:p>
    <w:p>
      <w:pPr>
        <w:pStyle w:val="29"/>
        <w:numPr>
          <w:ilvl w:val="0"/>
          <w:numId w:val="0"/>
        </w:numPr>
        <w:rPr>
          <w:rFonts w:hint="eastAsia"/>
          <w:bCs/>
          <w:sz w:val="24"/>
          <w:szCs w:val="28"/>
          <w:lang w:eastAsia="zh-CN"/>
        </w:rPr>
      </w:pPr>
      <w:r>
        <w:rPr>
          <w:rFonts w:hint="eastAsia" w:ascii="宋体" w:hAnsi="宋体" w:cs="宋体"/>
          <w:b/>
          <w:bCs w:val="0"/>
          <w:color w:val="FF0000"/>
          <w:kern w:val="0"/>
          <w:sz w:val="32"/>
          <w:szCs w:val="32"/>
        </w:rPr>
        <w:t>技术问题请与该项目主设</w:t>
      </w:r>
      <w:r>
        <w:rPr>
          <w:rFonts w:hint="eastAsia" w:ascii="宋体" w:hAnsi="宋体" w:cs="宋体"/>
          <w:b/>
          <w:bCs w:val="0"/>
          <w:color w:val="FF0000"/>
          <w:kern w:val="0"/>
          <w:sz w:val="32"/>
          <w:szCs w:val="32"/>
          <w:lang w:val="en-US" w:eastAsia="zh-CN"/>
        </w:rPr>
        <w:t>--方浩联系。电话:18797819774</w:t>
      </w:r>
    </w:p>
    <w:p>
      <w:pPr>
        <w:pStyle w:val="2"/>
        <w:rPr>
          <w:rFonts w:hint="eastAsia"/>
        </w:rPr>
      </w:pPr>
    </w:p>
    <w:p>
      <w:pPr>
        <w:pStyle w:val="2"/>
        <w:rPr>
          <w:rFonts w:hint="eastAsia" w:ascii="仿宋" w:hAnsi="仿宋" w:eastAsia="仿宋"/>
          <w:color w:val="000000"/>
          <w:sz w:val="24"/>
        </w:rPr>
      </w:pPr>
    </w:p>
    <w:p>
      <w:pPr>
        <w:spacing w:before="156" w:beforeLines="50" w:after="156" w:afterLines="50" w:line="360" w:lineRule="auto"/>
        <w:rPr>
          <w:rFonts w:hint="eastAsia" w:ascii="宋体"/>
          <w:sz w:val="24"/>
        </w:rPr>
      </w:pPr>
    </w:p>
    <w:p>
      <w:pPr>
        <w:rPr>
          <w:rFonts w:hint="eastAsia"/>
        </w:rPr>
      </w:pPr>
    </w:p>
    <w:p>
      <w:pPr>
        <w:pStyle w:val="3"/>
        <w:rPr>
          <w:rFonts w:hint="eastAsia"/>
        </w:rPr>
      </w:pPr>
    </w:p>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14</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3"/>
      <w:rPr>
        <w:rStyle w:val="23"/>
      </w:rPr>
    </w:pPr>
    <w:r>
      <w:fldChar w:fldCharType="begin"/>
    </w:r>
    <w:r>
      <w:rPr>
        <w:rStyle w:val="23"/>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819"/>
        <w:tab w:val="right" w:pos="9071"/>
        <w:tab w:val="clear" w:pos="4153"/>
        <w:tab w:val="clear" w:pos="8306"/>
      </w:tabs>
      <w:jc w:val="center"/>
    </w:pPr>
    <w:r>
      <w:fldChar w:fldCharType="begin"/>
    </w:r>
    <w:r>
      <w:instrText xml:space="preserve">PAGE   \* MERGEFORMAT</w:instrText>
    </w:r>
    <w:r>
      <w:fldChar w:fldCharType="separate"/>
    </w:r>
    <w:r>
      <w:rPr>
        <w:lang w:val="zh-CN"/>
      </w:rPr>
      <w:t>1</w:t>
    </w:r>
    <w:r>
      <w:fldChar w:fldCharType="end"/>
    </w:r>
  </w:p>
  <w:p>
    <w:pPr>
      <w:pStyle w:val="14"/>
      <w:tabs>
        <w:tab w:val="center" w:pos="4819"/>
        <w:tab w:val="right" w:pos="9071"/>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29</w:t>
    </w:r>
    <w:r>
      <w:fldChar w:fldCharType="end"/>
    </w:r>
  </w:p>
  <w:p>
    <w:pPr>
      <w:jc w:val="cen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center" w:pos="4819"/>
        <w:tab w:val="right" w:pos="9071"/>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1"/>
        <w:szCs w:val="21"/>
      </w:rPr>
    </w:pPr>
    <w:r>
      <w:rPr>
        <w:rFonts w:hint="eastAsia" w:ascii="宋体" w:hAnsi="宋体"/>
        <w:sz w:val="21"/>
        <w:szCs w:val="21"/>
      </w:rPr>
      <w:t>内丘县禹川新能源科技有限公司300MWp光伏发电项目      35kV动态无功补偿装置技术规范书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3269C"/>
    <w:multiLevelType w:val="singleLevel"/>
    <w:tmpl w:val="FDF3269C"/>
    <w:lvl w:ilvl="0" w:tentative="0">
      <w:start w:val="6"/>
      <w:numFmt w:val="chineseCounting"/>
      <w:suff w:val="nothing"/>
      <w:lvlText w:val="%1、"/>
      <w:lvlJc w:val="left"/>
      <w:rPr>
        <w:rFonts w:hint="eastAsia"/>
      </w:rPr>
    </w:lvl>
  </w:abstractNum>
  <w:abstractNum w:abstractNumId="1">
    <w:nsid w:val="00000002"/>
    <w:multiLevelType w:val="singleLevel"/>
    <w:tmpl w:val="00000002"/>
    <w:lvl w:ilvl="0" w:tentative="0">
      <w:start w:val="3"/>
      <w:numFmt w:val="decimal"/>
      <w:suff w:val="space"/>
      <w:lvlText w:val="%1)"/>
      <w:lvlJc w:val="left"/>
    </w:lvl>
  </w:abstractNum>
  <w:abstractNum w:abstractNumId="2">
    <w:nsid w:val="0000000A"/>
    <w:multiLevelType w:val="multilevel"/>
    <w:tmpl w:val="0000000A"/>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B"/>
    <w:multiLevelType w:val="multilevel"/>
    <w:tmpl w:val="0000000B"/>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1200"/>
        </w:tabs>
        <w:ind w:left="12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12"/>
    <w:multiLevelType w:val="multilevel"/>
    <w:tmpl w:val="00000012"/>
    <w:lvl w:ilvl="0" w:tentative="0">
      <w:start w:val="1"/>
      <w:numFmt w:val="bullet"/>
      <w:lvlText w:val=""/>
      <w:lvlJc w:val="left"/>
      <w:pPr>
        <w:tabs>
          <w:tab w:val="left" w:pos="980"/>
        </w:tabs>
        <w:ind w:left="980" w:hanging="420"/>
      </w:pPr>
      <w:rPr>
        <w:rFonts w:hint="default" w:ascii="Wingdings" w:hAnsi="Wingding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5">
    <w:nsid w:val="00000015"/>
    <w:multiLevelType w:val="singleLevel"/>
    <w:tmpl w:val="00000015"/>
    <w:lvl w:ilvl="0" w:tentative="0">
      <w:start w:val="1"/>
      <w:numFmt w:val="decimal"/>
      <w:lvlText w:val="%1."/>
      <w:lvlJc w:val="left"/>
      <w:pPr>
        <w:tabs>
          <w:tab w:val="left" w:pos="57"/>
        </w:tabs>
        <w:ind w:left="420" w:hanging="420"/>
      </w:pPr>
      <w:rPr>
        <w:rFonts w:hint="eastAsia"/>
      </w:rPr>
    </w:lvl>
  </w:abstractNum>
  <w:abstractNum w:abstractNumId="6">
    <w:nsid w:val="00000016"/>
    <w:multiLevelType w:val="multilevel"/>
    <w:tmpl w:val="00000016"/>
    <w:lvl w:ilvl="0" w:tentative="0">
      <w:start w:val="1"/>
      <w:numFmt w:val="decimal"/>
      <w:lvlText w:val="%1."/>
      <w:legacy w:legacy="1" w:legacySpace="0" w:legacyIndent="425"/>
      <w:lvlJc w:val="left"/>
      <w:pPr>
        <w:ind w:left="425" w:hanging="425"/>
      </w:pPr>
      <w:rPr>
        <w:b/>
        <w:i w:val="0"/>
      </w:rPr>
    </w:lvl>
    <w:lvl w:ilvl="1" w:tentative="0">
      <w:start w:val="1"/>
      <w:numFmt w:val="upperLetter"/>
      <w:lvlText w:val="%2."/>
      <w:legacy w:legacy="1" w:legacySpace="0" w:legacyIndent="425"/>
      <w:lvlJc w:val="left"/>
      <w:pPr>
        <w:ind w:left="850" w:hanging="425"/>
      </w:pPr>
    </w:lvl>
    <w:lvl w:ilvl="2" w:tentative="0">
      <w:start w:val="1"/>
      <w:numFmt w:val="decimal"/>
      <w:pStyle w:val="27"/>
      <w:lvlText w:val="%3."/>
      <w:legacy w:legacy="1" w:legacySpace="0" w:legacyIndent="425"/>
      <w:lvlJc w:val="left"/>
      <w:pPr>
        <w:ind w:left="1275" w:hanging="425"/>
      </w:pPr>
    </w:lvl>
    <w:lvl w:ilvl="3" w:tentative="0">
      <w:start w:val="1"/>
      <w:numFmt w:val="lowerLetter"/>
      <w:lvlText w:val="%4)"/>
      <w:legacy w:legacy="1" w:legacySpace="0" w:legacyIndent="425"/>
      <w:lvlJc w:val="left"/>
      <w:pPr>
        <w:ind w:left="1700" w:hanging="425"/>
      </w:pPr>
    </w:lvl>
    <w:lvl w:ilvl="4" w:tentative="0">
      <w:start w:val="1"/>
      <w:numFmt w:val="decimal"/>
      <w:lvlText w:val="(%5)"/>
      <w:legacy w:legacy="1" w:legacySpace="0" w:legacyIndent="425"/>
      <w:lvlJc w:val="left"/>
      <w:pPr>
        <w:ind w:left="2125" w:hanging="425"/>
      </w:pPr>
    </w:lvl>
    <w:lvl w:ilvl="5" w:tentative="0">
      <w:start w:val="1"/>
      <w:numFmt w:val="lowerLetter"/>
      <w:lvlText w:val="(%6)"/>
      <w:legacy w:legacy="1" w:legacySpace="0" w:legacyIndent="425"/>
      <w:lvlJc w:val="left"/>
      <w:pPr>
        <w:ind w:left="2550" w:hanging="425"/>
      </w:pPr>
    </w:lvl>
    <w:lvl w:ilvl="6" w:tentative="0">
      <w:start w:val="1"/>
      <w:numFmt w:val="lowerRoman"/>
      <w:lvlText w:val="(%7)"/>
      <w:legacy w:legacy="1" w:legacySpace="0" w:legacyIndent="425"/>
      <w:lvlJc w:val="left"/>
      <w:pPr>
        <w:ind w:left="2975" w:hanging="425"/>
      </w:pPr>
    </w:lvl>
    <w:lvl w:ilvl="7" w:tentative="0">
      <w:start w:val="1"/>
      <w:numFmt w:val="lowerLetter"/>
      <w:lvlText w:val="(%8)"/>
      <w:legacy w:legacy="1" w:legacySpace="0" w:legacyIndent="425"/>
      <w:lvlJc w:val="left"/>
      <w:pPr>
        <w:ind w:left="3400" w:hanging="425"/>
      </w:pPr>
    </w:lvl>
    <w:lvl w:ilvl="8" w:tentative="0">
      <w:start w:val="1"/>
      <w:numFmt w:val="lowerRoman"/>
      <w:lvlText w:val="(%9)"/>
      <w:legacy w:legacy="1" w:legacySpace="0" w:legacyIndent="425"/>
      <w:lvlJc w:val="left"/>
      <w:pPr>
        <w:ind w:left="3825" w:hanging="425"/>
      </w:pPr>
    </w:lvl>
  </w:abstractNum>
  <w:abstractNum w:abstractNumId="7">
    <w:nsid w:val="03DEABC1"/>
    <w:multiLevelType w:val="singleLevel"/>
    <w:tmpl w:val="03DEABC1"/>
    <w:lvl w:ilvl="0" w:tentative="0">
      <w:start w:val="1"/>
      <w:numFmt w:val="decimal"/>
      <w:lvlText w:val="%1."/>
      <w:lvlJc w:val="left"/>
      <w:pPr>
        <w:tabs>
          <w:tab w:val="left" w:pos="312"/>
        </w:tabs>
      </w:pPr>
    </w:lvl>
  </w:abstractNum>
  <w:abstractNum w:abstractNumId="8">
    <w:nsid w:val="1136070C"/>
    <w:multiLevelType w:val="singleLevel"/>
    <w:tmpl w:val="1136070C"/>
    <w:lvl w:ilvl="0" w:tentative="0">
      <w:start w:val="1"/>
      <w:numFmt w:val="decimalEnclosedCircle"/>
      <w:pStyle w:val="29"/>
      <w:lvlText w:val="%1"/>
      <w:lvlJc w:val="left"/>
      <w:pPr>
        <w:tabs>
          <w:tab w:val="left" w:pos="840"/>
        </w:tabs>
        <w:ind w:left="840" w:hanging="240"/>
      </w:pPr>
      <w:rPr>
        <w:rFonts w:hint="eastAsia"/>
      </w:rPr>
    </w:lvl>
  </w:abstractNum>
  <w:abstractNum w:abstractNumId="9">
    <w:nsid w:val="33853015"/>
    <w:multiLevelType w:val="multilevel"/>
    <w:tmpl w:val="33853015"/>
    <w:lvl w:ilvl="0" w:tentative="0">
      <w:start w:val="1"/>
      <w:numFmt w:val="decimal"/>
      <w:lvlText w:val="附件%1"/>
      <w:lvlJc w:val="center"/>
      <w:pPr>
        <w:tabs>
          <w:tab w:val="left" w:pos="1134"/>
        </w:tabs>
        <w:ind w:left="1134" w:hanging="1134"/>
      </w:pPr>
      <w:rPr>
        <w:rFonts w:hint="default" w:ascii="Times New Roman" w:hAnsi="Times New Roman" w:eastAsia="宋体"/>
        <w:b/>
        <w:i w:val="0"/>
        <w:sz w:val="36"/>
      </w:rPr>
    </w:lvl>
    <w:lvl w:ilvl="1" w:tentative="0">
      <w:start w:val="1"/>
      <w:numFmt w:val="decimal"/>
      <w:lvlText w:val="%2"/>
      <w:lvlJc w:val="left"/>
      <w:pPr>
        <w:tabs>
          <w:tab w:val="left" w:pos="1021"/>
        </w:tabs>
        <w:ind w:left="1021" w:hanging="1021"/>
      </w:pPr>
      <w:rPr>
        <w:rFonts w:hint="default" w:ascii="Times New Roman" w:hAnsi="Times New Roman" w:eastAsia="宋体"/>
        <w:sz w:val="30"/>
      </w:rPr>
    </w:lvl>
    <w:lvl w:ilvl="2" w:tentative="0">
      <w:start w:val="1"/>
      <w:numFmt w:val="decimal"/>
      <w:lvlText w:val="%2.%3"/>
      <w:lvlJc w:val="left"/>
      <w:pPr>
        <w:tabs>
          <w:tab w:val="left" w:pos="1021"/>
        </w:tabs>
        <w:ind w:left="1021" w:hanging="1021"/>
      </w:pPr>
      <w:rPr>
        <w:b/>
      </w:rPr>
    </w:lvl>
    <w:lvl w:ilvl="3" w:tentative="0">
      <w:start w:val="1"/>
      <w:numFmt w:val="decimal"/>
      <w:pStyle w:val="5"/>
      <w:lvlText w:val="%2.%3.%4"/>
      <w:lvlJc w:val="left"/>
      <w:pPr>
        <w:tabs>
          <w:tab w:val="left" w:pos="1021"/>
        </w:tabs>
        <w:ind w:left="1021" w:hanging="1021"/>
      </w:pPr>
      <w:rPr>
        <w:rFonts w:hint="default" w:ascii="Times New Roman" w:hAnsi="Times New Roman" w:eastAsia="宋体"/>
        <w:b w:val="0"/>
        <w:i w:val="0"/>
      </w:rPr>
    </w:lvl>
    <w:lvl w:ilvl="4" w:tentative="0">
      <w:start w:val="1"/>
      <w:numFmt w:val="decimal"/>
      <w:lvlText w:val="%2.%3.%4.%5"/>
      <w:lvlJc w:val="left"/>
      <w:pPr>
        <w:tabs>
          <w:tab w:val="left" w:pos="1021"/>
        </w:tabs>
        <w:ind w:left="1021" w:hanging="1021"/>
      </w:pPr>
      <w:rPr>
        <w:rFonts w:hint="default" w:ascii="Times New Roman" w:hAnsi="Times New Roman" w:eastAsia="宋体"/>
      </w:rPr>
    </w:lvl>
    <w:lvl w:ilvl="5" w:tentative="0">
      <w:start w:val="1"/>
      <w:numFmt w:val="decimal"/>
      <w:lvlText w:val="%6)"/>
      <w:lvlJc w:val="left"/>
      <w:pPr>
        <w:tabs>
          <w:tab w:val="left" w:pos="1219"/>
        </w:tabs>
        <w:ind w:left="1219" w:hanging="368"/>
      </w:pPr>
      <w:rPr>
        <w:rFonts w:hint="default" w:ascii="Times New Roman" w:hAnsi="Times New Roman" w:eastAsia="宋体"/>
      </w:rPr>
    </w:lvl>
    <w:lvl w:ilvl="6" w:tentative="0">
      <w:start w:val="1"/>
      <w:numFmt w:val="decimal"/>
      <w:lvlText w:val="%7)"/>
      <w:lvlJc w:val="left"/>
      <w:pPr>
        <w:tabs>
          <w:tab w:val="left" w:pos="1219"/>
        </w:tabs>
        <w:ind w:left="1219" w:hanging="368"/>
      </w:pPr>
      <w:rPr>
        <w:rFonts w:hint="default" w:ascii="Times New Roman" w:hAnsi="Times New Roman" w:eastAsia="宋体"/>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61135263"/>
    <w:multiLevelType w:val="multilevel"/>
    <w:tmpl w:val="61135263"/>
    <w:lvl w:ilvl="0" w:tentative="0">
      <w:start w:val="1"/>
      <w:numFmt w:val="decimal"/>
      <w:lvlText w:val="(%1)"/>
      <w:lvlJc w:val="left"/>
      <w:pPr>
        <w:tabs>
          <w:tab w:val="left" w:pos="1211"/>
        </w:tabs>
        <w:ind w:left="567" w:firstLine="284"/>
      </w:pPr>
      <w:rPr>
        <w:rFonts w:hint="eastAsia"/>
      </w:rPr>
    </w:lvl>
    <w:lvl w:ilvl="1" w:tentative="0">
      <w:start w:val="1"/>
      <w:numFmt w:val="decimal"/>
      <w:lvlText w:val="%1.%2"/>
      <w:lvlJc w:val="left"/>
      <w:pPr>
        <w:tabs>
          <w:tab w:val="left" w:pos="425"/>
        </w:tabs>
        <w:ind w:left="425" w:hanging="567"/>
      </w:pPr>
      <w:rPr>
        <w:rFonts w:hint="eastAsia"/>
      </w:rPr>
    </w:lvl>
    <w:lvl w:ilvl="2" w:tentative="0">
      <w:start w:val="1"/>
      <w:numFmt w:val="decimal"/>
      <w:lvlText w:val="%1.%2.%3"/>
      <w:lvlJc w:val="left"/>
      <w:pPr>
        <w:tabs>
          <w:tab w:val="left" w:pos="851"/>
        </w:tabs>
        <w:ind w:left="851" w:hanging="567"/>
      </w:pPr>
      <w:rPr>
        <w:rFonts w:hint="eastAsia"/>
      </w:rPr>
    </w:lvl>
    <w:lvl w:ilvl="3" w:tentative="0">
      <w:start w:val="1"/>
      <w:numFmt w:val="decimal"/>
      <w:lvlText w:val="%1.%2.%3.%4"/>
      <w:lvlJc w:val="left"/>
      <w:pPr>
        <w:tabs>
          <w:tab w:val="left" w:pos="1417"/>
        </w:tabs>
        <w:ind w:left="1417" w:hanging="708"/>
      </w:pPr>
      <w:rPr>
        <w:rFonts w:hint="eastAsia"/>
      </w:rPr>
    </w:lvl>
    <w:lvl w:ilvl="4" w:tentative="0">
      <w:start w:val="1"/>
      <w:numFmt w:val="decimal"/>
      <w:lvlText w:val="%1.%2.%3.%4.%5"/>
      <w:lvlJc w:val="left"/>
      <w:pPr>
        <w:tabs>
          <w:tab w:val="left" w:pos="1984"/>
        </w:tabs>
        <w:ind w:left="1984" w:hanging="850"/>
      </w:pPr>
      <w:rPr>
        <w:rFonts w:hint="eastAsia"/>
      </w:rPr>
    </w:lvl>
    <w:lvl w:ilvl="5" w:tentative="0">
      <w:start w:val="1"/>
      <w:numFmt w:val="decimal"/>
      <w:pStyle w:val="8"/>
      <w:lvlText w:val="%6."/>
      <w:lvlJc w:val="left"/>
      <w:pPr>
        <w:tabs>
          <w:tab w:val="left" w:pos="1701"/>
        </w:tabs>
        <w:ind w:left="1701" w:hanging="397"/>
      </w:pPr>
      <w:rPr>
        <w:rFonts w:hint="default"/>
      </w:rPr>
    </w:lvl>
    <w:lvl w:ilvl="6" w:tentative="0">
      <w:start w:val="1"/>
      <w:numFmt w:val="decimal"/>
      <w:lvlText w:val="%7)"/>
      <w:lvlJc w:val="left"/>
      <w:pPr>
        <w:tabs>
          <w:tab w:val="left" w:pos="1948"/>
        </w:tabs>
        <w:ind w:left="1701" w:hanging="113"/>
      </w:pPr>
      <w:rPr>
        <w:rFonts w:hint="eastAsia"/>
      </w:rPr>
    </w:lvl>
    <w:lvl w:ilvl="7" w:tentative="0">
      <w:start w:val="1"/>
      <w:numFmt w:val="decimal"/>
      <w:lvlText w:val="%1.%2.%3.%4.%5.%6.%7.%8"/>
      <w:lvlJc w:val="left"/>
      <w:pPr>
        <w:tabs>
          <w:tab w:val="left" w:pos="3827"/>
        </w:tabs>
        <w:ind w:left="3827" w:hanging="1418"/>
      </w:pPr>
      <w:rPr>
        <w:rFonts w:hint="eastAsia"/>
      </w:rPr>
    </w:lvl>
    <w:lvl w:ilvl="8" w:tentative="0">
      <w:start w:val="1"/>
      <w:numFmt w:val="decimal"/>
      <w:lvlText w:val="%1.%2.%3.%4.%5.%6.%7.%8.%9"/>
      <w:lvlJc w:val="left"/>
      <w:pPr>
        <w:tabs>
          <w:tab w:val="left" w:pos="4535"/>
        </w:tabs>
        <w:ind w:left="4535" w:hanging="1700"/>
      </w:pPr>
      <w:rPr>
        <w:rFonts w:hint="eastAsia"/>
      </w:rPr>
    </w:lvl>
  </w:abstractNum>
  <w:num w:numId="1">
    <w:abstractNumId w:val="9"/>
  </w:num>
  <w:num w:numId="2">
    <w:abstractNumId w:val="10"/>
  </w:num>
  <w:num w:numId="3">
    <w:abstractNumId w:val="6"/>
  </w:num>
  <w:num w:numId="4">
    <w:abstractNumId w:val="8"/>
  </w:num>
  <w:num w:numId="5">
    <w:abstractNumId w:val="0"/>
  </w:num>
  <w:num w:numId="6">
    <w:abstractNumId w:val="5"/>
  </w:num>
  <w:num w:numId="7">
    <w:abstractNumId w:val="7"/>
  </w:num>
  <w:num w:numId="8">
    <w:abstractNumId w:val="3"/>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B92229"/>
    <w:rsid w:val="161D3E08"/>
    <w:rsid w:val="18C1338E"/>
    <w:rsid w:val="2619542E"/>
    <w:rsid w:val="2F3671B1"/>
    <w:rsid w:val="375D7AC6"/>
    <w:rsid w:val="43F51731"/>
    <w:rsid w:val="4A9362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20" w:after="120" w:line="360" w:lineRule="auto"/>
      <w:jc w:val="center"/>
      <w:outlineLvl w:val="0"/>
    </w:pPr>
    <w:rPr>
      <w:rFonts w:ascii="仿宋" w:hAnsi="仿宋" w:eastAsia="仿宋"/>
      <w:b/>
      <w:bCs/>
      <w:kern w:val="44"/>
      <w:sz w:val="36"/>
      <w:szCs w:val="36"/>
    </w:rPr>
  </w:style>
  <w:style w:type="paragraph" w:styleId="3">
    <w:name w:val="heading 2"/>
    <w:basedOn w:val="1"/>
    <w:next w:val="1"/>
    <w:unhideWhenUsed/>
    <w:qFormat/>
    <w:uiPriority w:val="0"/>
    <w:pPr>
      <w:keepNext/>
      <w:keepLines/>
      <w:spacing w:line="360" w:lineRule="auto"/>
      <w:outlineLvl w:val="1"/>
    </w:pPr>
    <w:rPr>
      <w:rFonts w:ascii="仿宋" w:hAnsi="仿宋" w:eastAsia="仿宋"/>
      <w:b/>
      <w:bCs/>
      <w:kern w:val="0"/>
      <w:sz w:val="28"/>
      <w:szCs w:val="28"/>
    </w:rPr>
  </w:style>
  <w:style w:type="paragraph" w:styleId="4">
    <w:name w:val="heading 3"/>
    <w:basedOn w:val="1"/>
    <w:next w:val="1"/>
    <w:unhideWhenUsed/>
    <w:qFormat/>
    <w:uiPriority w:val="0"/>
    <w:pPr>
      <w:keepNext/>
      <w:keepLines/>
      <w:spacing w:line="360" w:lineRule="auto"/>
      <w:outlineLvl w:val="2"/>
    </w:pPr>
    <w:rPr>
      <w:rFonts w:ascii="仿宋" w:hAnsi="仿宋" w:eastAsia="仿宋"/>
      <w:b/>
      <w:kern w:val="0"/>
      <w:sz w:val="28"/>
      <w:szCs w:val="28"/>
    </w:rPr>
  </w:style>
  <w:style w:type="paragraph" w:styleId="5">
    <w:name w:val="heading 4"/>
    <w:basedOn w:val="1"/>
    <w:next w:val="1"/>
    <w:qFormat/>
    <w:uiPriority w:val="0"/>
    <w:pPr>
      <w:numPr>
        <w:ilvl w:val="3"/>
        <w:numId w:val="1"/>
      </w:numPr>
      <w:overflowPunct w:val="0"/>
      <w:spacing w:beforeLines="50" w:line="300" w:lineRule="auto"/>
      <w:outlineLvl w:val="3"/>
    </w:pPr>
    <w:rPr>
      <w:bCs/>
    </w:rPr>
  </w:style>
  <w:style w:type="paragraph" w:styleId="6">
    <w:name w:val="heading 5"/>
    <w:basedOn w:val="1"/>
    <w:next w:val="7"/>
    <w:unhideWhenUsed/>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qFormat/>
    <w:uiPriority w:val="0"/>
    <w:pPr>
      <w:numPr>
        <w:ilvl w:val="5"/>
        <w:numId w:val="2"/>
      </w:numPr>
      <w:adjustRightInd w:val="0"/>
      <w:spacing w:before="60" w:after="60"/>
      <w:jc w:val="left"/>
      <w:textAlignment w:val="baseline"/>
      <w:outlineLvl w:val="5"/>
    </w:pPr>
    <w:rPr>
      <w:kern w:val="0"/>
    </w:rPr>
  </w:style>
  <w:style w:type="character" w:default="1" w:styleId="22">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spacing w:line="360" w:lineRule="auto"/>
      <w:ind w:firstLine="420" w:firstLineChars="200"/>
    </w:pPr>
    <w:rPr>
      <w:rFonts w:ascii="宋体" w:hAnsi="宋体" w:cs="宋体"/>
      <w:szCs w:val="21"/>
    </w:rPr>
  </w:style>
  <w:style w:type="paragraph" w:styleId="9">
    <w:name w:val="annotation text"/>
    <w:basedOn w:val="1"/>
    <w:qFormat/>
    <w:uiPriority w:val="0"/>
    <w:pPr>
      <w:adjustRightInd w:val="0"/>
      <w:spacing w:line="360" w:lineRule="atLeast"/>
      <w:jc w:val="left"/>
      <w:textAlignment w:val="baseline"/>
    </w:pPr>
    <w:rPr>
      <w:kern w:val="0"/>
      <w:sz w:val="24"/>
      <w:szCs w:val="20"/>
    </w:rPr>
  </w:style>
  <w:style w:type="paragraph" w:styleId="10">
    <w:name w:val="Body Text"/>
    <w:basedOn w:val="1"/>
    <w:qFormat/>
    <w:uiPriority w:val="0"/>
    <w:pPr>
      <w:spacing w:after="120"/>
    </w:pPr>
  </w:style>
  <w:style w:type="paragraph" w:styleId="11">
    <w:name w:val="Body Text Indent"/>
    <w:basedOn w:val="1"/>
    <w:qFormat/>
    <w:uiPriority w:val="0"/>
    <w:pPr>
      <w:ind w:left="750" w:leftChars="257" w:hanging="210" w:hangingChars="100"/>
    </w:pPr>
    <w:rPr>
      <w:rFonts w:ascii="Times New Roman" w:hAnsi="Times New Roman"/>
      <w:i/>
      <w:iCs/>
      <w:color w:val="FF0000"/>
      <w:kern w:val="0"/>
      <w:sz w:val="20"/>
      <w:szCs w:val="21"/>
    </w:rPr>
  </w:style>
  <w:style w:type="paragraph" w:styleId="12">
    <w:name w:val="toc 3"/>
    <w:basedOn w:val="1"/>
    <w:next w:val="1"/>
    <w:qFormat/>
    <w:uiPriority w:val="0"/>
    <w:pPr>
      <w:adjustRightInd w:val="0"/>
      <w:jc w:val="left"/>
      <w:textAlignment w:val="baseline"/>
    </w:pPr>
    <w:rPr>
      <w:rFonts w:cs="Calibri"/>
      <w:iCs/>
      <w:kern w:val="0"/>
      <w:sz w:val="20"/>
      <w:szCs w:val="20"/>
    </w:rPr>
  </w:style>
  <w:style w:type="paragraph" w:styleId="13">
    <w:name w:val="Plain Text"/>
    <w:basedOn w:val="1"/>
    <w:qFormat/>
    <w:uiPriority w:val="0"/>
    <w:rPr>
      <w:rFonts w:ascii="宋体" w:hAnsi="Courier New"/>
      <w:kern w:val="0"/>
      <w:sz w:val="20"/>
      <w:szCs w:val="21"/>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pPr>
      <w:adjustRightInd w:val="0"/>
      <w:spacing w:before="120" w:after="120" w:line="360" w:lineRule="atLeast"/>
      <w:jc w:val="left"/>
      <w:textAlignment w:val="baseline"/>
    </w:pPr>
    <w:rPr>
      <w:rFonts w:cs="Calibri"/>
      <w:b/>
      <w:bCs/>
      <w:caps/>
      <w:kern w:val="0"/>
      <w:sz w:val="20"/>
      <w:szCs w:val="20"/>
    </w:rPr>
  </w:style>
  <w:style w:type="paragraph" w:styleId="17">
    <w:name w:val="List"/>
    <w:basedOn w:val="1"/>
    <w:uiPriority w:val="0"/>
    <w:pPr>
      <w:ind w:left="200" w:hanging="200"/>
    </w:pPr>
    <w:rPr>
      <w:sz w:val="21"/>
    </w:rPr>
  </w:style>
  <w:style w:type="paragraph" w:styleId="18">
    <w:name w:val="toc 2"/>
    <w:basedOn w:val="1"/>
    <w:next w:val="1"/>
    <w:qFormat/>
    <w:uiPriority w:val="0"/>
    <w:pPr>
      <w:adjustRightInd w:val="0"/>
      <w:spacing w:line="360" w:lineRule="atLeast"/>
      <w:ind w:left="240"/>
      <w:jc w:val="left"/>
      <w:textAlignment w:val="baseline"/>
    </w:pPr>
    <w:rPr>
      <w:rFonts w:cs="Calibri"/>
      <w:smallCaps/>
      <w:kern w:val="0"/>
      <w:sz w:val="20"/>
      <w:szCs w:val="20"/>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0">
    <w:name w:val="Body Text First Indent 2"/>
    <w:basedOn w:val="11"/>
    <w:qFormat/>
    <w:uiPriority w:val="0"/>
    <w:pPr>
      <w:ind w:firstLine="420" w:firstLineChars="200"/>
    </w:pPr>
  </w:style>
  <w:style w:type="character" w:styleId="23">
    <w:name w:val="page number"/>
    <w:basedOn w:val="22"/>
    <w:qFormat/>
    <w:uiPriority w:val="0"/>
  </w:style>
  <w:style w:type="character" w:styleId="24">
    <w:name w:val="Hyperlink"/>
    <w:qFormat/>
    <w:uiPriority w:val="0"/>
    <w:rPr>
      <w:color w:val="0000FF"/>
      <w:u w:val="single"/>
    </w:rPr>
  </w:style>
  <w:style w:type="paragraph" w:customStyle="1" w:styleId="25">
    <w:name w:val="样式"/>
    <w:qFormat/>
    <w:uiPriority w:val="0"/>
    <w:pPr>
      <w:widowControl w:val="0"/>
      <w:autoSpaceDE w:val="0"/>
      <w:autoSpaceDN w:val="0"/>
      <w:adjustRightInd w:val="0"/>
    </w:pPr>
    <w:rPr>
      <w:rFonts w:ascii="宋体" w:hAnsi="宋体" w:eastAsia="Times New Roman" w:cstheme="minorBidi"/>
      <w:kern w:val="2"/>
      <w:sz w:val="24"/>
      <w:szCs w:val="24"/>
      <w:lang w:val="en-US" w:eastAsia="zh-CN" w:bidi="ar-SA"/>
    </w:rPr>
  </w:style>
  <w:style w:type="paragraph" w:customStyle="1" w:styleId="26">
    <w:name w:val="全文正文"/>
    <w:basedOn w:val="1"/>
    <w:qFormat/>
    <w:uiPriority w:val="0"/>
    <w:pPr>
      <w:widowControl w:val="0"/>
      <w:spacing w:line="360" w:lineRule="auto"/>
      <w:ind w:firstLine="480" w:firstLineChars="200"/>
      <w:jc w:val="both"/>
    </w:pPr>
    <w:rPr>
      <w:rFonts w:ascii="Times New Roman" w:hAnsi="Times New Roman"/>
      <w:kern w:val="2"/>
      <w:sz w:val="24"/>
      <w:szCs w:val="24"/>
      <w:lang w:bidi="ar-SA"/>
    </w:rPr>
  </w:style>
  <w:style w:type="paragraph" w:customStyle="1" w:styleId="27">
    <w:name w:val="样式 样式 标题 3 + 仿宋 黑色 + 段前: 0.5 行"/>
    <w:basedOn w:val="28"/>
    <w:qFormat/>
    <w:uiPriority w:val="0"/>
    <w:pPr>
      <w:numPr>
        <w:ilvl w:val="2"/>
        <w:numId w:val="3"/>
      </w:numPr>
      <w:tabs>
        <w:tab w:val="left" w:pos="525"/>
        <w:tab w:val="left" w:pos="1155"/>
      </w:tabs>
      <w:spacing w:before="120"/>
    </w:pPr>
    <w:rPr>
      <w:rFonts w:cs="宋体"/>
    </w:rPr>
  </w:style>
  <w:style w:type="paragraph" w:customStyle="1" w:styleId="28">
    <w:name w:val="样式 标题 3 + 仿宋 黑色"/>
    <w:basedOn w:val="4"/>
    <w:qFormat/>
    <w:uiPriority w:val="0"/>
    <w:pPr>
      <w:tabs>
        <w:tab w:val="left" w:pos="525"/>
        <w:tab w:val="left" w:pos="1155"/>
      </w:tabs>
      <w:spacing w:before="50"/>
      <w:ind w:left="0"/>
      <w:jc w:val="left"/>
    </w:pPr>
    <w:rPr>
      <w:rFonts w:ascii="仿宋" w:hAnsi="仿宋" w:eastAsia="仿宋"/>
      <w:color w:val="000000"/>
    </w:rPr>
  </w:style>
  <w:style w:type="paragraph" w:customStyle="1" w:styleId="29">
    <w:name w:val="1级标题"/>
    <w:basedOn w:val="2"/>
    <w:next w:val="1"/>
    <w:qFormat/>
    <w:uiPriority w:val="0"/>
    <w:pPr>
      <w:widowControl w:val="0"/>
      <w:numPr>
        <w:ilvl w:val="0"/>
        <w:numId w:val="4"/>
      </w:numPr>
      <w:spacing w:before="0" w:line="360" w:lineRule="auto"/>
      <w:jc w:val="both"/>
      <w:textAlignment w:val="baseline"/>
    </w:pPr>
    <w:rPr>
      <w:rFonts w:ascii="Times New Roman" w:hAnsi="Times New Roman"/>
      <w:bCs w:val="0"/>
      <w:color w:val="auto"/>
      <w:kern w:val="44"/>
      <w:szCs w:val="24"/>
      <w:lang w:eastAsia="zh-CN" w:bidi="ar-SA"/>
    </w:rPr>
  </w:style>
  <w:style w:type="paragraph" w:customStyle="1" w:styleId="30">
    <w:name w:val="自由格式"/>
    <w:qFormat/>
    <w:uiPriority w:val="0"/>
    <w:rPr>
      <w:rFonts w:ascii="Times New Roman" w:hAnsi="Times New Roman" w:eastAsia="ヒラギノ角ゴ Pro W3" w:cstheme="minorBidi"/>
      <w:color w:val="000000"/>
      <w:sz w:val="21"/>
      <w:szCs w:val="22"/>
      <w:lang w:val="en-US" w:eastAsia="zh-CN" w:bidi="ar-SA"/>
    </w:rPr>
  </w:style>
  <w:style w:type="paragraph" w:customStyle="1" w:styleId="31">
    <w:name w:val="页脚1"/>
    <w:qFormat/>
    <w:uiPriority w:val="0"/>
    <w:pPr>
      <w:widowControl w:val="0"/>
      <w:tabs>
        <w:tab w:val="center" w:pos="4153"/>
        <w:tab w:val="right" w:pos="8306"/>
      </w:tabs>
    </w:pPr>
    <w:rPr>
      <w:rFonts w:ascii="Times New Roman" w:hAnsi="Times New Roman" w:eastAsia="ヒラギノ角ゴ Pro W3" w:cstheme="minorBidi"/>
      <w:color w:val="000000"/>
      <w:kern w:val="2"/>
      <w:sz w:val="18"/>
      <w:szCs w:val="22"/>
      <w:lang w:val="en-US" w:eastAsia="zh-CN" w:bidi="ar-SA"/>
    </w:rPr>
  </w:style>
  <w:style w:type="paragraph" w:customStyle="1" w:styleId="32">
    <w:name w:val="正文(单倍行距)"/>
    <w:basedOn w:val="1"/>
    <w:qFormat/>
    <w:uiPriority w:val="0"/>
    <w:pPr>
      <w:adjustRightInd w:val="0"/>
      <w:snapToGrid w:val="0"/>
      <w:jc w:val="center"/>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2020-03-19T08:18:54Z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