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exact"/>
        <w:ind w:firstLine="3203" w:firstLineChars="1000"/>
        <w:outlineLvl w:val="2"/>
        <w:rPr>
          <w:rFonts w:ascii="华文中宋" w:hAnsi="华文中宋" w:eastAsia="华文中宋"/>
          <w:b/>
          <w:bCs/>
          <w:kern w:val="44"/>
          <w:sz w:val="32"/>
          <w:szCs w:val="32"/>
        </w:rPr>
      </w:pPr>
      <w:bookmarkStart w:id="0" w:name="_Toc9134_WPSOffice_Level1"/>
      <w:bookmarkStart w:id="1" w:name="_Toc3482_WPSOffice_Level1"/>
      <w:bookmarkStart w:id="2" w:name="_Toc27003"/>
      <w:r>
        <w:rPr>
          <w:rFonts w:hint="eastAsia" w:ascii="华文中宋" w:hAnsi="华文中宋" w:eastAsia="华文中宋"/>
          <w:b/>
          <w:bCs/>
          <w:kern w:val="44"/>
          <w:sz w:val="32"/>
          <w:szCs w:val="32"/>
        </w:rPr>
        <w:t>一、招标公告</w:t>
      </w:r>
      <w:bookmarkEnd w:id="0"/>
      <w:bookmarkEnd w:id="1"/>
      <w:bookmarkEnd w:id="2"/>
    </w:p>
    <w:p>
      <w:pPr>
        <w:tabs>
          <w:tab w:val="left" w:pos="992"/>
        </w:tabs>
        <w:wordWrap w:val="0"/>
        <w:jc w:val="right"/>
        <w:rPr>
          <w:rFonts w:ascii="仿宋_GB2312"/>
          <w:sz w:val="24"/>
        </w:rPr>
      </w:pPr>
      <w:r>
        <w:rPr>
          <w:rFonts w:hint="eastAsia" w:ascii="仿宋_GB2312"/>
          <w:sz w:val="24"/>
        </w:rPr>
        <w:t>No.</w:t>
      </w:r>
      <w:r>
        <w:rPr>
          <w:rFonts w:hint="eastAsia" w:ascii="仿宋_GB2312"/>
          <w:sz w:val="24"/>
          <w:u w:val="single"/>
        </w:rPr>
        <w:t xml:space="preserve">           </w:t>
      </w:r>
    </w:p>
    <w:p>
      <w:pPr>
        <w:tabs>
          <w:tab w:val="left" w:pos="900"/>
        </w:tabs>
        <w:spacing w:before="156" w:beforeLines="50" w:after="156" w:afterLines="50" w:line="360" w:lineRule="exact"/>
        <w:rPr>
          <w:rFonts w:ascii="仿宋_GB2312" w:hAnsi="仿宋_GB2312" w:eastAsia="仿宋_GB2312" w:cs="仿宋_GB2312"/>
          <w:bCs/>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公司：</w:t>
      </w:r>
    </w:p>
    <w:p>
      <w:pPr>
        <w:pStyle w:val="9"/>
        <w:numPr>
          <w:ilvl w:val="0"/>
          <w:numId w:val="0"/>
        </w:numPr>
        <w:tabs>
          <w:tab w:val="left" w:pos="0"/>
          <w:tab w:val="clear" w:pos="804"/>
        </w:tabs>
        <w:spacing w:before="0" w:beforeLines="0" w:after="0" w:afterLines="0" w:line="360" w:lineRule="auto"/>
        <w:rPr>
          <w:rFonts w:ascii="仿宋_GB2312" w:hAnsi="仿宋_GB2312" w:eastAsia="仿宋_GB2312" w:cs="仿宋_GB2312"/>
          <w:szCs w:val="24"/>
        </w:rPr>
      </w:pPr>
      <w:r>
        <w:rPr>
          <w:rFonts w:hint="eastAsia" w:ascii="仿宋_GB2312" w:hAnsi="仿宋_GB2312" w:eastAsia="仿宋_GB2312" w:cs="仿宋_GB2312"/>
          <w:b w:val="0"/>
          <w:szCs w:val="24"/>
        </w:rPr>
        <w:t xml:space="preserve">    我公司拟针对承建 中国移动（福建福州）数据中心一期项目工程总承包（EPC）的 电缆、配电箱、灯具、电气与防火门、电气火灾监控等材料 进行招标，诚邀符合资格要求、能提供优质服务的国内供应商参加投标，具体事项如下： </w:t>
      </w:r>
    </w:p>
    <w:tbl>
      <w:tblPr>
        <w:tblStyle w:val="8"/>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857"/>
        <w:gridCol w:w="69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9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18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项目</w:t>
            </w:r>
          </w:p>
        </w:tc>
        <w:tc>
          <w:tcPr>
            <w:tcW w:w="692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7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8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招标编号</w:t>
            </w:r>
          </w:p>
        </w:tc>
        <w:tc>
          <w:tcPr>
            <w:tcW w:w="6923" w:type="dxa"/>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ab/>
            </w:r>
            <w:r>
              <w:rPr>
                <w:rFonts w:hint="eastAsia" w:ascii="仿宋_GB2312" w:hAnsi="仿宋_GB2312" w:eastAsia="仿宋_GB2312" w:cs="仿宋_GB2312"/>
                <w:sz w:val="24"/>
              </w:rPr>
              <w:t>cscec20061100644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7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8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招标单位</w:t>
            </w:r>
          </w:p>
        </w:tc>
        <w:tc>
          <w:tcPr>
            <w:tcW w:w="6923"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中建海峡建设发展有限公司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7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8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招标方式</w:t>
            </w:r>
          </w:p>
        </w:tc>
        <w:tc>
          <w:tcPr>
            <w:tcW w:w="6923"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公开招标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34" w:hRule="atLeast"/>
        </w:trPr>
        <w:tc>
          <w:tcPr>
            <w:tcW w:w="7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8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招标内容</w:t>
            </w:r>
          </w:p>
        </w:tc>
        <w:tc>
          <w:tcPr>
            <w:tcW w:w="6923" w:type="dxa"/>
            <w:vAlign w:val="center"/>
          </w:tcPr>
          <w:p>
            <w:pPr>
              <w:adjustRightInd w:val="0"/>
              <w:snapToGrid w:val="0"/>
              <w:ind w:firstLine="422" w:firstLineChars="200"/>
              <w:jc w:val="left"/>
              <w:rPr>
                <w:rFonts w:ascii="宋体" w:hAnsi="宋体" w:cs="宋体"/>
                <w:b/>
                <w:sz w:val="21"/>
                <w:szCs w:val="21"/>
              </w:rPr>
            </w:pPr>
            <w:r>
              <w:rPr>
                <w:rFonts w:hint="eastAsia" w:ascii="宋体" w:hAnsi="宋体" w:cs="宋体"/>
                <w:b/>
                <w:sz w:val="21"/>
                <w:szCs w:val="21"/>
              </w:rPr>
              <w:t>一、基本情况</w:t>
            </w:r>
          </w:p>
          <w:p>
            <w:pPr>
              <w:adjustRightInd w:val="0"/>
              <w:snapToGrid w:val="0"/>
              <w:ind w:left="216" w:leftChars="103"/>
              <w:jc w:val="left"/>
              <w:rPr>
                <w:rFonts w:ascii="宋体" w:hAnsi="宋体" w:cs="宋体"/>
                <w:bCs/>
                <w:color w:val="auto"/>
                <w:sz w:val="21"/>
                <w:szCs w:val="21"/>
              </w:rPr>
            </w:pPr>
            <w:r>
              <w:rPr>
                <w:rFonts w:hint="eastAsia" w:ascii="宋体" w:hAnsi="宋体" w:cs="宋体"/>
                <w:bCs/>
                <w:sz w:val="21"/>
                <w:szCs w:val="21"/>
              </w:rPr>
              <w:t>1、</w:t>
            </w:r>
            <w:r>
              <w:rPr>
                <w:rFonts w:hint="eastAsia" w:ascii="宋体" w:hAnsi="宋体" w:cs="宋体"/>
                <w:bCs/>
                <w:color w:val="000000"/>
                <w:sz w:val="21"/>
                <w:szCs w:val="21"/>
              </w:rPr>
              <w:t>招标组织：</w:t>
            </w:r>
            <w:r>
              <w:rPr>
                <w:rFonts w:hint="eastAsia" w:ascii="宋体" w:hAnsi="宋体" w:cs="宋体"/>
                <w:bCs/>
                <w:color w:val="auto"/>
                <w:sz w:val="21"/>
                <w:szCs w:val="21"/>
              </w:rPr>
              <w:t>中建海峡建设发展有限公司机电安装工程分公司</w:t>
            </w:r>
          </w:p>
          <w:p>
            <w:pPr>
              <w:adjustRightInd w:val="0"/>
              <w:snapToGrid w:val="0"/>
              <w:ind w:left="216" w:leftChars="103"/>
              <w:jc w:val="left"/>
              <w:rPr>
                <w:rFonts w:ascii="宋体" w:hAnsi="宋体" w:cs="宋体"/>
                <w:bCs/>
                <w:color w:val="auto"/>
                <w:sz w:val="21"/>
                <w:szCs w:val="21"/>
              </w:rPr>
            </w:pPr>
            <w:r>
              <w:rPr>
                <w:rFonts w:hint="eastAsia" w:ascii="宋体" w:hAnsi="宋体" w:cs="宋体"/>
                <w:bCs/>
                <w:color w:val="auto"/>
                <w:sz w:val="21"/>
                <w:szCs w:val="21"/>
              </w:rPr>
              <w:t>2、招标项目：</w:t>
            </w:r>
            <w:r>
              <w:rPr>
                <w:rFonts w:hint="eastAsia" w:ascii="宋体" w:hAnsi="宋体" w:cs="宋体"/>
                <w:bCs/>
                <w:color w:val="auto"/>
                <w:sz w:val="21"/>
                <w:szCs w:val="21"/>
                <w:u w:val="single"/>
              </w:rPr>
              <w:t>中国移动（福建福州）数据中心一期项目工程总承包（EPC）</w:t>
            </w:r>
            <w:r>
              <w:rPr>
                <w:rFonts w:hint="eastAsia" w:ascii="宋体" w:hAnsi="宋体" w:cs="宋体"/>
                <w:bCs/>
                <w:color w:val="auto"/>
                <w:sz w:val="21"/>
                <w:szCs w:val="21"/>
              </w:rPr>
              <w:t>项目招标采购。</w:t>
            </w:r>
          </w:p>
          <w:p>
            <w:pPr>
              <w:adjustRightInd w:val="0"/>
              <w:snapToGrid w:val="0"/>
              <w:ind w:left="216" w:leftChars="103"/>
              <w:jc w:val="left"/>
              <w:rPr>
                <w:rFonts w:ascii="宋体" w:hAnsi="宋体" w:cs="宋体"/>
                <w:bCs/>
                <w:color w:val="auto"/>
                <w:sz w:val="21"/>
                <w:szCs w:val="21"/>
                <w:u w:val="single"/>
              </w:rPr>
            </w:pPr>
            <w:r>
              <w:rPr>
                <w:rFonts w:hint="eastAsia" w:ascii="宋体" w:hAnsi="宋体" w:cs="宋体"/>
                <w:bCs/>
                <w:color w:val="auto"/>
                <w:sz w:val="21"/>
                <w:szCs w:val="21"/>
              </w:rPr>
              <w:t>3、项目地址：</w:t>
            </w:r>
            <w:r>
              <w:rPr>
                <w:rFonts w:hint="eastAsia" w:ascii="宋体" w:hAnsi="宋体" w:cs="宋体"/>
                <w:bCs/>
                <w:color w:val="auto"/>
                <w:sz w:val="21"/>
                <w:szCs w:val="21"/>
                <w:u w:val="single"/>
              </w:rPr>
              <w:t>福州市滨海新城福海路北侧</w:t>
            </w:r>
          </w:p>
          <w:p>
            <w:pPr>
              <w:adjustRightInd w:val="0"/>
              <w:snapToGrid w:val="0"/>
              <w:ind w:left="216" w:leftChars="103"/>
              <w:jc w:val="left"/>
              <w:rPr>
                <w:rFonts w:ascii="宋体" w:hAnsi="宋体" w:cs="宋体"/>
                <w:bCs/>
                <w:color w:val="auto"/>
                <w:sz w:val="21"/>
                <w:szCs w:val="21"/>
              </w:rPr>
            </w:pPr>
            <w:r>
              <w:rPr>
                <w:rFonts w:hint="eastAsia" w:ascii="宋体" w:hAnsi="宋体" w:cs="宋体"/>
                <w:bCs/>
                <w:color w:val="auto"/>
                <w:sz w:val="21"/>
                <w:szCs w:val="21"/>
              </w:rPr>
              <w:t>4、采购物品名称/数量/品牌/规格型号：详见材料清单。</w:t>
            </w:r>
          </w:p>
          <w:p>
            <w:pPr>
              <w:adjustRightInd w:val="0"/>
              <w:snapToGrid w:val="0"/>
              <w:ind w:left="216" w:leftChars="103"/>
              <w:jc w:val="left"/>
              <w:rPr>
                <w:rFonts w:ascii="宋体" w:hAnsi="宋体" w:cs="宋体"/>
                <w:color w:val="auto"/>
                <w:sz w:val="21"/>
                <w:szCs w:val="21"/>
              </w:rPr>
            </w:pPr>
            <w:r>
              <w:rPr>
                <w:rFonts w:hint="eastAsia" w:ascii="宋体" w:hAnsi="宋体" w:cs="宋体"/>
                <w:bCs/>
                <w:color w:val="auto"/>
                <w:sz w:val="21"/>
                <w:szCs w:val="21"/>
              </w:rPr>
              <w:t>5、招标方法：</w:t>
            </w:r>
            <w:r>
              <w:rPr>
                <w:rFonts w:hint="eastAsia" w:ascii="宋体" w:hAnsi="宋体" w:cs="宋体"/>
                <w:color w:val="auto"/>
                <w:sz w:val="21"/>
                <w:szCs w:val="21"/>
              </w:rPr>
              <w:t>采取公开招标资格预审方式。</w:t>
            </w:r>
          </w:p>
          <w:p>
            <w:pPr>
              <w:adjustRightInd w:val="0"/>
              <w:snapToGrid w:val="0"/>
              <w:ind w:left="216" w:leftChars="103"/>
              <w:jc w:val="left"/>
              <w:rPr>
                <w:rFonts w:ascii="宋体" w:hAnsi="宋体" w:cs="宋体"/>
                <w:bCs/>
                <w:color w:val="auto"/>
                <w:sz w:val="21"/>
                <w:szCs w:val="21"/>
              </w:rPr>
            </w:pPr>
            <w:r>
              <w:rPr>
                <w:rFonts w:hint="eastAsia" w:ascii="宋体" w:hAnsi="宋体" w:cs="宋体"/>
                <w:color w:val="auto"/>
                <w:sz w:val="21"/>
                <w:szCs w:val="21"/>
              </w:rPr>
              <w:t>6</w:t>
            </w:r>
            <w:r>
              <w:rPr>
                <w:rFonts w:hint="eastAsia" w:ascii="宋体" w:hAnsi="宋体" w:cs="宋体"/>
                <w:bCs/>
                <w:color w:val="auto"/>
                <w:sz w:val="21"/>
                <w:szCs w:val="21"/>
              </w:rPr>
              <w:t>、招标清单：报名审核通过后前往云筑网下载。</w:t>
            </w:r>
          </w:p>
          <w:p>
            <w:pPr>
              <w:adjustRightInd w:val="0"/>
              <w:snapToGrid w:val="0"/>
              <w:ind w:firstLine="422" w:firstLineChars="200"/>
              <w:jc w:val="left"/>
              <w:rPr>
                <w:rFonts w:ascii="宋体" w:hAnsi="宋体" w:cs="宋体"/>
                <w:b/>
                <w:color w:val="auto"/>
                <w:sz w:val="21"/>
                <w:szCs w:val="21"/>
              </w:rPr>
            </w:pPr>
            <w:r>
              <w:rPr>
                <w:rFonts w:hint="eastAsia" w:ascii="宋体" w:hAnsi="宋体" w:cs="宋体"/>
                <w:b/>
                <w:color w:val="auto"/>
                <w:sz w:val="21"/>
                <w:szCs w:val="21"/>
              </w:rPr>
              <w:t>二、项目要求</w:t>
            </w:r>
          </w:p>
          <w:p>
            <w:pPr>
              <w:adjustRightInd w:val="0"/>
              <w:snapToGrid w:val="0"/>
              <w:ind w:left="216" w:leftChars="103"/>
              <w:jc w:val="left"/>
              <w:rPr>
                <w:rFonts w:ascii="宋体" w:hAnsi="宋体" w:cs="宋体"/>
                <w:bCs/>
                <w:sz w:val="21"/>
                <w:szCs w:val="21"/>
              </w:rPr>
            </w:pPr>
            <w:r>
              <w:rPr>
                <w:rFonts w:hint="eastAsia" w:ascii="宋体" w:hAnsi="宋体" w:cs="宋体"/>
                <w:bCs/>
                <w:color w:val="auto"/>
                <w:sz w:val="21"/>
                <w:szCs w:val="21"/>
              </w:rPr>
              <w:t>1、付款方式：自合同签订之日乙方开始备货, 乙方根据甲方要求时间供货，每批供货以供货通知书为准，甲方现场验收计量，乙方每月20</w:t>
            </w:r>
            <w:r>
              <w:rPr>
                <w:rFonts w:hint="eastAsia" w:ascii="宋体" w:hAnsi="宋体" w:cs="宋体"/>
                <w:bCs/>
                <w:sz w:val="21"/>
                <w:szCs w:val="21"/>
              </w:rPr>
              <w:t>日前凭甲方开具的收料单与甲方办理当月“中间结算”后次月支付已对账货款的80%，待项目竣工验收合格后7日内付至该批货款总额的97%，余3%待维保期满后7日内一次性结清。</w:t>
            </w:r>
          </w:p>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支付方式：甲方采用银行转账、银行承兑汇票、国内信用证或应付账款保理方式支付货款。</w:t>
            </w:r>
          </w:p>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2、 报价应含材料费、辅材、装车/卸车费、管理费、利润、13%增值税专用发票税率及完成交付使用所需的一切费用。                                                                                3、质量要求：（1）物资必须符合GB/T 7251《低压成套开关设备和控制设备》、GB/T 12706《额定电压1kV(Um=1.2kV)到35kV(Um=40.5kV)挤包绝缘电力电缆及附件》、GB/T 19666《阻燃和耐火电线电缆通则》、GB/T 5023《额定电压450/750V及以下聚氯乙烯绝缘电缆》 、GB/T3836《爆炸性环境用防爆电气设备》、GB/T17945《消防应急照明和疏散指示系统》、《强制性产品认证细则》、GB/T7000《灯具通用安全要求与试验》、GB/T12476《爆炸性粉尘环境用防爆电气设备》、GB/T16915《家用和类似用途固定式电气装置的开关》、GB/T2099《家用和类似用途插头插座》、GB/T17466《家用和类似用途固定式电气装置的电器附件安装盒和外壳的通用要求》等国家标准和福州市地方标准及招标人提出的其他要求；</w:t>
            </w:r>
          </w:p>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2）所提供材料必须严格按照合同清单要求，如发生质量问题，乙方包退、包换，确保进场材料质量合格率100%，并须在材料进场的同时提供材料的质量检验部门的产品材质证明书（甲方有权对所采购的材料进行进一步检测），且材质证明书内容要和现场进料单及标牌所标明内容相对应。</w:t>
            </w:r>
          </w:p>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4、品牌要求：</w:t>
            </w:r>
          </w:p>
          <w:tbl>
            <w:tblPr>
              <w:tblStyle w:val="8"/>
              <w:tblW w:w="6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181"/>
              <w:gridCol w:w="3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序号</w:t>
                  </w:r>
                </w:p>
              </w:tc>
              <w:tc>
                <w:tcPr>
                  <w:tcW w:w="2181" w:type="dxa"/>
                  <w:shd w:val="clear" w:color="auto" w:fill="auto"/>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材料名称</w:t>
                  </w:r>
                </w:p>
              </w:tc>
              <w:tc>
                <w:tcPr>
                  <w:tcW w:w="3224" w:type="dxa"/>
                  <w:shd w:val="clear" w:color="auto" w:fill="auto"/>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1</w:t>
                  </w:r>
                </w:p>
              </w:tc>
              <w:tc>
                <w:tcPr>
                  <w:tcW w:w="2181" w:type="dxa"/>
                  <w:shd w:val="clear" w:color="auto" w:fill="auto"/>
                  <w:vAlign w:val="center"/>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电线电缆</w:t>
                  </w:r>
                </w:p>
              </w:tc>
              <w:tc>
                <w:tcPr>
                  <w:tcW w:w="3224" w:type="dxa"/>
                  <w:shd w:val="clear" w:color="auto" w:fill="auto"/>
                  <w:vAlign w:val="center"/>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南平太阳、宝胜、远东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2</w:t>
                  </w:r>
                </w:p>
              </w:tc>
              <w:tc>
                <w:tcPr>
                  <w:tcW w:w="2181" w:type="dxa"/>
                  <w:shd w:val="clear" w:color="auto" w:fill="auto"/>
                  <w:vAlign w:val="center"/>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矿物电缆</w:t>
                  </w:r>
                </w:p>
              </w:tc>
              <w:tc>
                <w:tcPr>
                  <w:tcW w:w="3224" w:type="dxa"/>
                  <w:shd w:val="clear" w:color="auto" w:fill="auto"/>
                  <w:vAlign w:val="center"/>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博侃、宝胜、久盛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3</w:t>
                  </w:r>
                </w:p>
              </w:tc>
              <w:tc>
                <w:tcPr>
                  <w:tcW w:w="2181" w:type="dxa"/>
                  <w:shd w:val="clear" w:color="auto" w:fill="auto"/>
                  <w:vAlign w:val="center"/>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配电箱、配电柜</w:t>
                  </w:r>
                </w:p>
              </w:tc>
              <w:tc>
                <w:tcPr>
                  <w:tcW w:w="3224" w:type="dxa"/>
                  <w:shd w:val="clear" w:color="auto" w:fill="auto"/>
                  <w:vAlign w:val="center"/>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畅通、万升、先行（元器件要求：施耐德、ABB、西门子）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4</w:t>
                  </w:r>
                </w:p>
              </w:tc>
              <w:tc>
                <w:tcPr>
                  <w:tcW w:w="2181" w:type="dxa"/>
                  <w:shd w:val="clear" w:color="auto" w:fill="auto"/>
                  <w:vAlign w:val="center"/>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普通灯具</w:t>
                  </w:r>
                </w:p>
              </w:tc>
              <w:tc>
                <w:tcPr>
                  <w:tcW w:w="3224" w:type="dxa"/>
                  <w:shd w:val="clear" w:color="auto" w:fill="auto"/>
                  <w:vAlign w:val="center"/>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三雄极光、鸿联、欧普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5</w:t>
                  </w:r>
                </w:p>
              </w:tc>
              <w:tc>
                <w:tcPr>
                  <w:tcW w:w="2181" w:type="dxa"/>
                  <w:shd w:val="clear" w:color="auto" w:fill="auto"/>
                  <w:vAlign w:val="center"/>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太阳能热水系统</w:t>
                  </w:r>
                </w:p>
              </w:tc>
              <w:tc>
                <w:tcPr>
                  <w:tcW w:w="3224" w:type="dxa"/>
                  <w:shd w:val="clear" w:color="auto" w:fill="auto"/>
                  <w:vAlign w:val="center"/>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海尔、众望达、尚尔特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6</w:t>
                  </w:r>
                </w:p>
              </w:tc>
              <w:tc>
                <w:tcPr>
                  <w:tcW w:w="2181" w:type="dxa"/>
                  <w:shd w:val="clear" w:color="auto" w:fill="auto"/>
                  <w:vAlign w:val="center"/>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标志灯</w:t>
                  </w:r>
                </w:p>
              </w:tc>
              <w:tc>
                <w:tcPr>
                  <w:tcW w:w="3224" w:type="dxa"/>
                  <w:shd w:val="clear" w:color="auto" w:fill="auto"/>
                  <w:vAlign w:val="center"/>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东科信、厦门市卡利、TCL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7</w:t>
                  </w:r>
                </w:p>
              </w:tc>
              <w:tc>
                <w:tcPr>
                  <w:tcW w:w="2181" w:type="dxa"/>
                  <w:shd w:val="clear" w:color="auto" w:fill="auto"/>
                  <w:vAlign w:val="center"/>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洗墙灯、夜景照明控制器</w:t>
                  </w:r>
                </w:p>
              </w:tc>
              <w:tc>
                <w:tcPr>
                  <w:tcW w:w="3224" w:type="dxa"/>
                  <w:shd w:val="clear" w:color="auto" w:fill="auto"/>
                  <w:vAlign w:val="center"/>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鸿联、三雄极光、勤上照明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8</w:t>
                  </w:r>
                </w:p>
              </w:tc>
              <w:tc>
                <w:tcPr>
                  <w:tcW w:w="2181" w:type="dxa"/>
                  <w:shd w:val="clear" w:color="auto" w:fill="auto"/>
                  <w:vAlign w:val="center"/>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开关、插座</w:t>
                  </w:r>
                </w:p>
              </w:tc>
              <w:tc>
                <w:tcPr>
                  <w:tcW w:w="3224" w:type="dxa"/>
                  <w:shd w:val="clear" w:color="auto" w:fill="auto"/>
                  <w:vAlign w:val="center"/>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施耐德、西门子、西蒙电气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9</w:t>
                  </w:r>
                </w:p>
              </w:tc>
              <w:tc>
                <w:tcPr>
                  <w:tcW w:w="2181" w:type="dxa"/>
                  <w:shd w:val="clear" w:color="auto" w:fill="auto"/>
                  <w:vAlign w:val="center"/>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夜景照明终控设备</w:t>
                  </w:r>
                </w:p>
              </w:tc>
              <w:tc>
                <w:tcPr>
                  <w:tcW w:w="3224" w:type="dxa"/>
                  <w:shd w:val="clear" w:color="auto" w:fill="auto"/>
                  <w:vAlign w:val="center"/>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安科瑞、广东雅达、东显科技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 w:type="dxa"/>
                  <w:shd w:val="clear" w:color="auto" w:fill="auto"/>
                  <w:vAlign w:val="center"/>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10</w:t>
                  </w:r>
                </w:p>
              </w:tc>
              <w:tc>
                <w:tcPr>
                  <w:tcW w:w="2181" w:type="dxa"/>
                  <w:shd w:val="clear" w:color="auto" w:fill="auto"/>
                  <w:vAlign w:val="center"/>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防火门监控与电气火灾监控材料</w:t>
                  </w:r>
                </w:p>
              </w:tc>
              <w:tc>
                <w:tcPr>
                  <w:tcW w:w="3224" w:type="dxa"/>
                  <w:shd w:val="clear" w:color="auto" w:fill="auto"/>
                  <w:vAlign w:val="center"/>
                </w:tcPr>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珠海众特、广东雅达、万高</w:t>
                  </w:r>
                </w:p>
              </w:tc>
            </w:tr>
          </w:tbl>
          <w:p>
            <w:pPr>
              <w:adjustRightInd w:val="0"/>
              <w:snapToGrid w:val="0"/>
              <w:jc w:val="left"/>
              <w:rPr>
                <w:rFonts w:ascii="宋体" w:hAnsi="宋体" w:cs="宋体"/>
                <w:bCs/>
                <w:sz w:val="21"/>
                <w:szCs w:val="21"/>
              </w:rPr>
            </w:pPr>
          </w:p>
          <w:p>
            <w:pPr>
              <w:adjustRightInd w:val="0"/>
              <w:snapToGrid w:val="0"/>
              <w:ind w:firstLine="422" w:firstLineChars="200"/>
              <w:jc w:val="left"/>
              <w:rPr>
                <w:rFonts w:ascii="宋体" w:hAnsi="宋体" w:cs="宋体"/>
                <w:b/>
                <w:sz w:val="21"/>
                <w:szCs w:val="21"/>
              </w:rPr>
            </w:pPr>
            <w:r>
              <w:rPr>
                <w:rFonts w:hint="eastAsia" w:ascii="宋体" w:hAnsi="宋体" w:cs="宋体"/>
                <w:b/>
                <w:sz w:val="21"/>
                <w:szCs w:val="21"/>
              </w:rPr>
              <w:t>三、投标人的资格条件</w:t>
            </w:r>
          </w:p>
          <w:p>
            <w:pPr>
              <w:adjustRightInd w:val="0"/>
              <w:snapToGrid w:val="0"/>
              <w:ind w:left="218" w:leftChars="104"/>
              <w:jc w:val="left"/>
              <w:rPr>
                <w:rFonts w:ascii="宋体" w:hAnsi="宋体" w:cs="宋体"/>
                <w:bCs/>
                <w:color w:val="auto"/>
                <w:sz w:val="21"/>
                <w:szCs w:val="21"/>
              </w:rPr>
            </w:pPr>
            <w:r>
              <w:rPr>
                <w:rFonts w:hint="eastAsia" w:ascii="宋体" w:hAnsi="宋体" w:cs="宋体"/>
                <w:bCs/>
                <w:color w:val="auto"/>
                <w:sz w:val="21"/>
                <w:szCs w:val="21"/>
              </w:rPr>
              <w:t>（1）投标人在法律上和财务上独立并能合法运作，具有法人地位和独立订立合同的能力。投标人必须开具正规增值税专用发票。</w:t>
            </w:r>
          </w:p>
          <w:p>
            <w:pPr>
              <w:adjustRightInd w:val="0"/>
              <w:snapToGrid w:val="0"/>
              <w:ind w:left="218" w:leftChars="104"/>
              <w:jc w:val="left"/>
              <w:rPr>
                <w:rFonts w:ascii="宋体" w:hAnsi="宋体" w:cs="宋体"/>
                <w:bCs/>
                <w:color w:val="auto"/>
                <w:sz w:val="21"/>
                <w:szCs w:val="21"/>
              </w:rPr>
            </w:pPr>
            <w:r>
              <w:rPr>
                <w:rFonts w:hint="eastAsia" w:ascii="宋体" w:hAnsi="宋体" w:cs="宋体"/>
                <w:bCs/>
                <w:color w:val="auto"/>
                <w:sz w:val="21"/>
                <w:szCs w:val="21"/>
              </w:rPr>
              <w:t>（2）投标人具有完善的质量保证体系及其质量认证证明。（如项目有特殊要求可列此项）</w:t>
            </w:r>
          </w:p>
          <w:p>
            <w:pPr>
              <w:adjustRightInd w:val="0"/>
              <w:snapToGrid w:val="0"/>
              <w:ind w:left="218" w:leftChars="104"/>
              <w:jc w:val="left"/>
              <w:rPr>
                <w:rFonts w:ascii="宋体" w:hAnsi="宋体" w:cs="宋体"/>
                <w:bCs/>
                <w:color w:val="auto"/>
                <w:sz w:val="21"/>
                <w:szCs w:val="21"/>
              </w:rPr>
            </w:pPr>
            <w:r>
              <w:rPr>
                <w:rFonts w:hint="eastAsia" w:ascii="宋体" w:hAnsi="宋体" w:cs="宋体"/>
                <w:bCs/>
                <w:color w:val="auto"/>
                <w:sz w:val="21"/>
                <w:szCs w:val="21"/>
              </w:rPr>
              <w:t>（3）投标人具有良好的银行资信和商业信誉，没有处于被责令停业或破产状态，且资产未被重组、接管和冻结。</w:t>
            </w:r>
          </w:p>
          <w:p>
            <w:pPr>
              <w:adjustRightInd w:val="0"/>
              <w:snapToGrid w:val="0"/>
              <w:ind w:left="218" w:leftChars="104"/>
              <w:jc w:val="left"/>
              <w:rPr>
                <w:rFonts w:ascii="宋体" w:hAnsi="宋体" w:cs="宋体"/>
                <w:bCs/>
                <w:color w:val="auto"/>
                <w:sz w:val="21"/>
                <w:szCs w:val="21"/>
              </w:rPr>
            </w:pPr>
            <w:r>
              <w:rPr>
                <w:rFonts w:hint="eastAsia" w:ascii="宋体" w:hAnsi="宋体" w:cs="宋体"/>
                <w:bCs/>
                <w:color w:val="auto"/>
                <w:sz w:val="21"/>
                <w:szCs w:val="21"/>
              </w:rPr>
              <w:t>（4）具有符合相适应的资质证书。（各单位对资质需求细化，根据实际情况要求授权。）</w:t>
            </w:r>
          </w:p>
          <w:p>
            <w:pPr>
              <w:adjustRightInd w:val="0"/>
              <w:snapToGrid w:val="0"/>
              <w:ind w:left="218" w:leftChars="104"/>
              <w:jc w:val="left"/>
              <w:rPr>
                <w:rFonts w:ascii="宋体" w:hAnsi="宋体" w:cs="宋体"/>
                <w:bCs/>
                <w:color w:val="auto"/>
                <w:sz w:val="21"/>
                <w:szCs w:val="21"/>
              </w:rPr>
            </w:pPr>
            <w:r>
              <w:rPr>
                <w:rFonts w:hint="eastAsia" w:ascii="宋体" w:hAnsi="宋体" w:cs="宋体"/>
                <w:bCs/>
                <w:color w:val="auto"/>
                <w:sz w:val="21"/>
                <w:szCs w:val="21"/>
              </w:rPr>
              <w:t>（5）具备国家有关部门、行业或公司要求必须取得的质量、计量、安全、环保认证及其他经营许可；在有关部门和行业的监督检查中没有不良记录，与中建云筑网集采平台中没有不良合作记录且与海峡公司无不良合作记录。</w:t>
            </w:r>
          </w:p>
          <w:p>
            <w:pPr>
              <w:pStyle w:val="6"/>
              <w:widowControl/>
              <w:adjustRightInd w:val="0"/>
              <w:snapToGrid w:val="0"/>
              <w:spacing w:before="0" w:beforeAutospacing="0" w:after="0" w:afterAutospacing="0"/>
              <w:ind w:left="218" w:leftChars="104"/>
              <w:rPr>
                <w:rFonts w:ascii="宋体" w:hAnsi="宋体" w:cs="宋体"/>
                <w:bCs/>
                <w:color w:val="auto"/>
                <w:sz w:val="21"/>
                <w:szCs w:val="21"/>
              </w:rPr>
            </w:pPr>
            <w:r>
              <w:rPr>
                <w:rFonts w:hint="eastAsia" w:ascii="宋体" w:hAnsi="宋体" w:cs="宋体"/>
                <w:bCs/>
                <w:color w:val="auto"/>
                <w:sz w:val="21"/>
                <w:szCs w:val="21"/>
              </w:rPr>
              <w:t>（6）本次招标已进入中建海峡建设发展有限公司合格分包商名录或在云筑网本级库的可以免考察，针对未进入中建海峡建设发展有限公司合格分包商名录的投标人，符合要求的须按经过考察准入海峡合格名录后方可进入下阶段投标工作。</w:t>
            </w:r>
          </w:p>
          <w:p>
            <w:pPr>
              <w:adjustRightInd w:val="0"/>
              <w:snapToGrid w:val="0"/>
              <w:ind w:left="218" w:leftChars="104"/>
              <w:jc w:val="left"/>
              <w:rPr>
                <w:rFonts w:ascii="宋体" w:hAnsi="宋体" w:cs="宋体"/>
                <w:bCs/>
                <w:color w:val="auto"/>
                <w:sz w:val="21"/>
                <w:szCs w:val="21"/>
              </w:rPr>
            </w:pPr>
            <w:r>
              <w:rPr>
                <w:rFonts w:hint="eastAsia" w:ascii="宋体" w:hAnsi="宋体" w:cs="宋体"/>
                <w:bCs/>
                <w:color w:val="auto"/>
                <w:sz w:val="21"/>
                <w:szCs w:val="21"/>
              </w:rPr>
              <w:t>（7）投标人在报名的同时需要上传相应的营业执照，未上传附件的，视为不符合要求。</w:t>
            </w:r>
          </w:p>
          <w:p>
            <w:pPr>
              <w:pStyle w:val="6"/>
              <w:widowControl/>
              <w:adjustRightInd w:val="0"/>
              <w:snapToGrid w:val="0"/>
              <w:spacing w:before="0" w:beforeAutospacing="0" w:after="0" w:afterAutospacing="0"/>
              <w:ind w:left="218" w:leftChars="104"/>
              <w:rPr>
                <w:rFonts w:ascii="宋体" w:hAnsi="宋体" w:cs="宋体"/>
                <w:bCs/>
                <w:sz w:val="21"/>
                <w:szCs w:val="21"/>
              </w:rPr>
            </w:pPr>
            <w:r>
              <w:rPr>
                <w:rFonts w:hint="eastAsia" w:ascii="宋体" w:hAnsi="宋体" w:cs="宋体"/>
                <w:bCs/>
                <w:color w:val="auto"/>
                <w:sz w:val="21"/>
                <w:szCs w:val="21"/>
              </w:rPr>
              <w:t>（8）符合上述条件，经机电分公司资格审查考察合格</w:t>
            </w:r>
            <w:r>
              <w:rPr>
                <w:rFonts w:hint="eastAsia" w:ascii="宋体" w:hAnsi="宋体" w:cs="宋体"/>
                <w:bCs/>
                <w:sz w:val="21"/>
                <w:szCs w:val="21"/>
              </w:rPr>
              <w:t>并按要求进入中建海峡建设发展有限公司合格供应商名录后，方为合格的投标人。</w:t>
            </w:r>
          </w:p>
          <w:p>
            <w:pPr>
              <w:pStyle w:val="6"/>
              <w:widowControl/>
              <w:adjustRightInd w:val="0"/>
              <w:snapToGrid w:val="0"/>
              <w:spacing w:before="0" w:beforeAutospacing="0" w:after="0" w:afterAutospacing="0"/>
              <w:ind w:left="216" w:leftChars="103"/>
              <w:rPr>
                <w:rFonts w:ascii="宋体" w:hAnsi="宋体" w:cs="宋体"/>
                <w:bCs/>
                <w:kern w:val="2"/>
                <w:sz w:val="21"/>
                <w:szCs w:val="21"/>
              </w:rPr>
            </w:pPr>
            <w:r>
              <w:rPr>
                <w:rFonts w:hint="eastAsia" w:ascii="宋体" w:hAnsi="宋体" w:cs="宋体"/>
                <w:bCs/>
                <w:kern w:val="2"/>
                <w:sz w:val="21"/>
                <w:szCs w:val="21"/>
              </w:rPr>
              <w:t>以上要求投标人必须同时满足，所提供的所有资质文件必须真实，且与投标人主体一致，如果需要年检的，请确保提供的文件已年检合格。</w:t>
            </w:r>
          </w:p>
          <w:p>
            <w:pPr>
              <w:adjustRightInd w:val="0"/>
              <w:snapToGrid w:val="0"/>
              <w:ind w:firstLine="422" w:firstLineChars="200"/>
              <w:jc w:val="left"/>
              <w:rPr>
                <w:rFonts w:ascii="宋体" w:hAnsi="宋体" w:cs="宋体"/>
                <w:b/>
                <w:sz w:val="21"/>
                <w:szCs w:val="21"/>
              </w:rPr>
            </w:pPr>
            <w:bookmarkStart w:id="3" w:name="_Toc26968"/>
            <w:r>
              <w:rPr>
                <w:rFonts w:hint="eastAsia" w:ascii="宋体" w:hAnsi="宋体" w:cs="宋体"/>
                <w:b/>
                <w:sz w:val="21"/>
                <w:szCs w:val="21"/>
              </w:rPr>
              <w:t>四、投标报名</w:t>
            </w:r>
            <w:bookmarkEnd w:id="3"/>
            <w:r>
              <w:rPr>
                <w:rFonts w:hint="eastAsia" w:ascii="宋体" w:hAnsi="宋体" w:cs="宋体"/>
                <w:b/>
                <w:sz w:val="21"/>
                <w:szCs w:val="21"/>
              </w:rPr>
              <w:t xml:space="preserve"> </w:t>
            </w:r>
          </w:p>
          <w:p>
            <w:pPr>
              <w:adjustRightInd w:val="0"/>
              <w:snapToGrid w:val="0"/>
              <w:ind w:firstLine="420" w:firstLineChars="200"/>
              <w:jc w:val="left"/>
              <w:rPr>
                <w:rFonts w:ascii="宋体" w:hAnsi="宋体" w:cs="宋体"/>
                <w:bCs/>
                <w:sz w:val="21"/>
                <w:szCs w:val="21"/>
              </w:rPr>
            </w:pPr>
            <w:bookmarkStart w:id="4" w:name="_Toc8345"/>
            <w:r>
              <w:rPr>
                <w:rFonts w:hint="eastAsia" w:ascii="宋体" w:hAnsi="宋体" w:cs="宋体"/>
                <w:bCs/>
                <w:sz w:val="21"/>
                <w:szCs w:val="21"/>
              </w:rPr>
              <w:t>1、报名时间：在本公告期截止前报名，逾期不再接受投标单位报名。</w:t>
            </w:r>
            <w:bookmarkEnd w:id="4"/>
          </w:p>
          <w:p>
            <w:pPr>
              <w:adjustRightInd w:val="0"/>
              <w:snapToGrid w:val="0"/>
              <w:ind w:firstLine="420" w:firstLineChars="200"/>
              <w:jc w:val="left"/>
              <w:rPr>
                <w:rFonts w:ascii="宋体" w:hAnsi="宋体" w:cs="宋体"/>
                <w:bCs/>
                <w:sz w:val="21"/>
                <w:szCs w:val="21"/>
              </w:rPr>
            </w:pPr>
            <w:bookmarkStart w:id="5" w:name="_Toc28044"/>
            <w:r>
              <w:rPr>
                <w:rFonts w:hint="eastAsia" w:ascii="宋体" w:hAnsi="宋体" w:cs="宋体"/>
                <w:bCs/>
                <w:sz w:val="21"/>
                <w:szCs w:val="21"/>
              </w:rPr>
              <w:t>2、报名方式：</w:t>
            </w:r>
            <w:bookmarkEnd w:id="5"/>
          </w:p>
          <w:p>
            <w:pPr>
              <w:adjustRightInd w:val="0"/>
              <w:snapToGrid w:val="0"/>
              <w:ind w:firstLine="420" w:firstLineChars="200"/>
              <w:jc w:val="left"/>
              <w:rPr>
                <w:rFonts w:ascii="宋体" w:hAnsi="宋体" w:cs="宋体"/>
                <w:bCs/>
                <w:sz w:val="21"/>
                <w:szCs w:val="21"/>
              </w:rPr>
            </w:pPr>
            <w:r>
              <w:rPr>
                <w:rFonts w:hint="eastAsia" w:ascii="宋体" w:hAnsi="宋体" w:cs="宋体"/>
                <w:bCs/>
                <w:sz w:val="21"/>
                <w:szCs w:val="21"/>
              </w:rPr>
              <w:t>采取网上报名方式，通过“云筑网”上进行报名（网址https://www.yzw.cn/），不接受其他方式报名。说明：</w:t>
            </w:r>
          </w:p>
          <w:p>
            <w:pPr>
              <w:adjustRightInd w:val="0"/>
              <w:snapToGrid w:val="0"/>
              <w:ind w:firstLine="420" w:firstLineChars="200"/>
              <w:jc w:val="left"/>
              <w:rPr>
                <w:rFonts w:ascii="宋体" w:hAnsi="宋体" w:cs="宋体"/>
                <w:bCs/>
                <w:sz w:val="21"/>
                <w:szCs w:val="21"/>
              </w:rPr>
            </w:pPr>
            <w:bookmarkStart w:id="6" w:name="_Toc427765429"/>
            <w:r>
              <w:rPr>
                <w:rFonts w:hint="eastAsia" w:ascii="宋体" w:hAnsi="宋体" w:cs="宋体"/>
                <w:bCs/>
                <w:sz w:val="21"/>
                <w:szCs w:val="21"/>
              </w:rPr>
              <w:t>①已在“云筑网”完成正式供应商注册的投标人，直接登录“云筑网”（网址https://www.yzw.cn/）输入用户名和密码，成功登录后签收招标公告并点击报名；</w:t>
            </w:r>
            <w:bookmarkEnd w:id="6"/>
          </w:p>
          <w:p>
            <w:pPr>
              <w:adjustRightInd w:val="0"/>
              <w:snapToGrid w:val="0"/>
              <w:ind w:firstLine="420" w:firstLineChars="200"/>
              <w:jc w:val="left"/>
              <w:rPr>
                <w:rFonts w:ascii="宋体" w:hAnsi="宋体" w:cs="宋体"/>
                <w:bCs/>
                <w:sz w:val="21"/>
                <w:szCs w:val="21"/>
              </w:rPr>
            </w:pPr>
            <w:bookmarkStart w:id="7" w:name="_Toc427765430"/>
            <w:r>
              <w:rPr>
                <w:rFonts w:hint="eastAsia" w:ascii="宋体" w:hAnsi="宋体" w:cs="宋体"/>
                <w:bCs/>
                <w:sz w:val="21"/>
                <w:szCs w:val="21"/>
              </w:rPr>
              <w:t>②未在“云筑网”注册的投标人，需先登录“云筑网”（网址https://www.yzw.cn/）网页注册成功且注册信息通过审核合格后，再行报名。</w:t>
            </w:r>
            <w:bookmarkEnd w:id="7"/>
          </w:p>
          <w:p>
            <w:pPr>
              <w:adjustRightInd w:val="0"/>
              <w:snapToGrid w:val="0"/>
              <w:ind w:firstLine="422" w:firstLineChars="200"/>
              <w:jc w:val="left"/>
              <w:rPr>
                <w:rFonts w:ascii="宋体" w:hAnsi="宋体" w:cs="宋体"/>
                <w:b/>
                <w:color w:val="auto"/>
                <w:sz w:val="21"/>
                <w:szCs w:val="21"/>
              </w:rPr>
            </w:pPr>
            <w:bookmarkStart w:id="8" w:name="_Toc27866"/>
            <w:r>
              <w:rPr>
                <w:rFonts w:hint="eastAsia" w:ascii="宋体" w:hAnsi="宋体" w:cs="宋体"/>
                <w:b/>
                <w:color w:val="auto"/>
                <w:sz w:val="21"/>
                <w:szCs w:val="21"/>
              </w:rPr>
              <w:t>五、资格审查</w:t>
            </w:r>
            <w:bookmarkEnd w:id="8"/>
          </w:p>
          <w:p>
            <w:pPr>
              <w:adjustRightInd w:val="0"/>
              <w:snapToGrid w:val="0"/>
              <w:ind w:firstLine="420" w:firstLineChars="200"/>
              <w:jc w:val="left"/>
              <w:rPr>
                <w:rFonts w:ascii="宋体" w:hAnsi="宋体" w:cs="宋体"/>
                <w:bCs/>
                <w:color w:val="auto"/>
                <w:sz w:val="21"/>
                <w:szCs w:val="21"/>
              </w:rPr>
            </w:pPr>
            <w:bookmarkStart w:id="9" w:name="_Toc4025"/>
            <w:r>
              <w:rPr>
                <w:rFonts w:hint="eastAsia" w:ascii="宋体" w:hAnsi="宋体" w:cs="宋体"/>
                <w:bCs/>
                <w:color w:val="auto"/>
                <w:sz w:val="21"/>
                <w:szCs w:val="21"/>
              </w:rPr>
              <w:t>1、资格审查渠道</w:t>
            </w:r>
            <w:bookmarkEnd w:id="9"/>
          </w:p>
          <w:p>
            <w:pPr>
              <w:adjustRightInd w:val="0"/>
              <w:snapToGrid w:val="0"/>
              <w:ind w:firstLine="420" w:firstLineChars="200"/>
              <w:jc w:val="left"/>
              <w:rPr>
                <w:rFonts w:ascii="宋体" w:hAnsi="宋体" w:cs="宋体"/>
                <w:bCs/>
                <w:color w:val="auto"/>
                <w:sz w:val="21"/>
                <w:szCs w:val="21"/>
              </w:rPr>
            </w:pPr>
            <w:bookmarkStart w:id="10" w:name="_Toc427765433"/>
            <w:r>
              <w:rPr>
                <w:rFonts w:hint="eastAsia" w:ascii="宋体" w:hAnsi="宋体" w:cs="宋体"/>
                <w:bCs/>
                <w:color w:val="auto"/>
                <w:sz w:val="21"/>
                <w:szCs w:val="21"/>
              </w:rPr>
              <w:t>本次招标的投标人由“云筑网”网络交易平台公开报名产生，资格审查由机电分公司招评标工作小组进行审核</w:t>
            </w:r>
            <w:bookmarkEnd w:id="10"/>
            <w:r>
              <w:rPr>
                <w:rFonts w:hint="eastAsia" w:ascii="宋体" w:hAnsi="宋体" w:cs="宋体"/>
                <w:bCs/>
                <w:color w:val="auto"/>
                <w:sz w:val="21"/>
                <w:szCs w:val="21"/>
              </w:rPr>
              <w:t>。</w:t>
            </w:r>
          </w:p>
          <w:p>
            <w:pPr>
              <w:adjustRightInd w:val="0"/>
              <w:snapToGrid w:val="0"/>
              <w:ind w:left="218" w:leftChars="104"/>
              <w:jc w:val="left"/>
              <w:rPr>
                <w:rFonts w:ascii="宋体" w:hAnsi="宋体" w:cs="宋体"/>
                <w:bCs/>
                <w:color w:val="auto"/>
                <w:sz w:val="21"/>
                <w:szCs w:val="21"/>
              </w:rPr>
            </w:pPr>
            <w:bookmarkStart w:id="11" w:name="_Toc20877"/>
            <w:r>
              <w:rPr>
                <w:rFonts w:hint="eastAsia" w:ascii="宋体" w:hAnsi="宋体" w:cs="宋体"/>
                <w:bCs/>
                <w:color w:val="auto"/>
                <w:sz w:val="21"/>
                <w:szCs w:val="21"/>
              </w:rPr>
              <w:t>2、资格审查资料清单</w:t>
            </w:r>
            <w:bookmarkEnd w:id="11"/>
            <w:r>
              <w:rPr>
                <w:rFonts w:hint="eastAsia" w:ascii="宋体" w:hAnsi="宋体" w:cs="宋体"/>
                <w:bCs/>
                <w:color w:val="auto"/>
                <w:sz w:val="21"/>
                <w:szCs w:val="21"/>
              </w:rPr>
              <w:t>存在以下情况资格审核不予通过：</w:t>
            </w:r>
          </w:p>
          <w:p>
            <w:pPr>
              <w:adjustRightInd w:val="0"/>
              <w:snapToGrid w:val="0"/>
              <w:ind w:firstLine="420" w:firstLineChars="200"/>
              <w:jc w:val="left"/>
              <w:rPr>
                <w:rFonts w:ascii="宋体" w:hAnsi="宋体" w:cs="宋体"/>
                <w:bCs/>
                <w:color w:val="auto"/>
                <w:sz w:val="21"/>
                <w:szCs w:val="21"/>
              </w:rPr>
            </w:pPr>
            <w:r>
              <w:rPr>
                <w:rFonts w:hint="eastAsia" w:ascii="宋体" w:hAnsi="宋体" w:cs="宋体"/>
                <w:bCs/>
                <w:color w:val="auto"/>
                <w:sz w:val="21"/>
                <w:szCs w:val="21"/>
              </w:rPr>
              <w:t>1、多家投标人投标IP地址相同，涉嫌围标、串标等情形。</w:t>
            </w:r>
          </w:p>
          <w:p>
            <w:pPr>
              <w:adjustRightInd w:val="0"/>
              <w:snapToGrid w:val="0"/>
              <w:ind w:firstLine="420" w:firstLineChars="200"/>
              <w:jc w:val="left"/>
              <w:rPr>
                <w:rFonts w:ascii="宋体" w:hAnsi="宋体" w:cs="宋体"/>
                <w:bCs/>
                <w:color w:val="auto"/>
                <w:sz w:val="21"/>
                <w:szCs w:val="21"/>
              </w:rPr>
            </w:pPr>
            <w:r>
              <w:rPr>
                <w:rFonts w:hint="eastAsia" w:ascii="宋体" w:hAnsi="宋体" w:cs="宋体"/>
                <w:bCs/>
                <w:color w:val="auto"/>
                <w:sz w:val="21"/>
                <w:szCs w:val="21"/>
              </w:rPr>
              <w:t>2、未上传招标公告要求</w:t>
            </w:r>
            <w:r>
              <w:rPr>
                <w:rFonts w:hint="eastAsia" w:ascii="宋体" w:hAnsi="宋体" w:cs="宋体"/>
                <w:bCs/>
                <w:color w:val="auto"/>
                <w:sz w:val="21"/>
                <w:szCs w:val="21"/>
                <w:lang w:val="en-US" w:eastAsia="zh-CN"/>
              </w:rPr>
              <w:t>的营业执照</w:t>
            </w:r>
            <w:r>
              <w:rPr>
                <w:rFonts w:hint="eastAsia" w:ascii="宋体" w:hAnsi="宋体" w:cs="宋体"/>
                <w:bCs/>
                <w:color w:val="auto"/>
                <w:sz w:val="21"/>
                <w:szCs w:val="21"/>
              </w:rPr>
              <w:t>，或上传资料不符合要求。</w:t>
            </w:r>
          </w:p>
          <w:p>
            <w:pPr>
              <w:adjustRightInd w:val="0"/>
              <w:snapToGrid w:val="0"/>
              <w:ind w:firstLine="420" w:firstLineChars="200"/>
              <w:jc w:val="left"/>
              <w:rPr>
                <w:rFonts w:ascii="宋体" w:hAnsi="宋体" w:cs="宋体"/>
                <w:bCs/>
                <w:color w:val="auto"/>
                <w:sz w:val="21"/>
                <w:szCs w:val="21"/>
              </w:rPr>
            </w:pPr>
            <w:r>
              <w:rPr>
                <w:rFonts w:hint="eastAsia" w:ascii="宋体" w:hAnsi="宋体" w:cs="宋体"/>
                <w:bCs/>
                <w:color w:val="auto"/>
                <w:sz w:val="21"/>
                <w:szCs w:val="21"/>
              </w:rPr>
              <w:t>3、前序参与中建海峡招标，中标后拒绝履约或者终止合作的。</w:t>
            </w:r>
          </w:p>
          <w:p>
            <w:pPr>
              <w:adjustRightInd w:val="0"/>
              <w:snapToGrid w:val="0"/>
              <w:ind w:firstLine="420" w:firstLineChars="200"/>
              <w:jc w:val="left"/>
              <w:rPr>
                <w:rFonts w:ascii="宋体" w:hAnsi="宋体" w:cs="宋体"/>
                <w:bCs/>
                <w:color w:val="auto"/>
                <w:sz w:val="21"/>
                <w:szCs w:val="21"/>
              </w:rPr>
            </w:pPr>
            <w:r>
              <w:rPr>
                <w:rFonts w:hint="eastAsia" w:ascii="宋体" w:hAnsi="宋体" w:cs="宋体"/>
                <w:bCs/>
                <w:color w:val="auto"/>
                <w:sz w:val="21"/>
                <w:szCs w:val="21"/>
              </w:rPr>
              <w:t>4、其他不符合上述投标资格要求的情形。</w:t>
            </w:r>
          </w:p>
          <w:p>
            <w:pPr>
              <w:adjustRightInd w:val="0"/>
              <w:snapToGrid w:val="0"/>
              <w:ind w:firstLine="420" w:firstLineChars="200"/>
              <w:jc w:val="left"/>
              <w:rPr>
                <w:rFonts w:ascii="宋体" w:hAnsi="宋体" w:cs="宋体"/>
                <w:bCs/>
                <w:color w:val="auto"/>
                <w:sz w:val="21"/>
                <w:szCs w:val="21"/>
              </w:rPr>
            </w:pPr>
            <w:r>
              <w:rPr>
                <w:rFonts w:hint="eastAsia" w:ascii="宋体" w:hAnsi="宋体" w:cs="宋体"/>
                <w:bCs/>
                <w:color w:val="auto"/>
                <w:sz w:val="21"/>
                <w:szCs w:val="21"/>
              </w:rPr>
              <w:t>六、招标文件的发放时间及方式</w:t>
            </w:r>
          </w:p>
          <w:p>
            <w:pPr>
              <w:adjustRightInd w:val="0"/>
              <w:snapToGrid w:val="0"/>
              <w:ind w:firstLine="420" w:firstLineChars="200"/>
              <w:jc w:val="left"/>
              <w:rPr>
                <w:rFonts w:ascii="宋体" w:hAnsi="宋体" w:cs="宋体"/>
                <w:bCs/>
                <w:color w:val="auto"/>
                <w:sz w:val="21"/>
                <w:szCs w:val="21"/>
              </w:rPr>
            </w:pPr>
            <w:r>
              <w:rPr>
                <w:rFonts w:hint="eastAsia" w:ascii="宋体" w:hAnsi="宋体" w:cs="宋体"/>
                <w:bCs/>
                <w:color w:val="auto"/>
                <w:sz w:val="21"/>
                <w:szCs w:val="21"/>
              </w:rPr>
              <w:t>1、发放时间：2002年06月0</w:t>
            </w:r>
            <w:r>
              <w:rPr>
                <w:rFonts w:hint="eastAsia" w:ascii="宋体" w:hAnsi="宋体" w:cs="宋体"/>
                <w:bCs/>
                <w:color w:val="auto"/>
                <w:sz w:val="21"/>
                <w:szCs w:val="21"/>
                <w:lang w:val="en-US" w:eastAsia="zh-CN"/>
              </w:rPr>
              <w:t>8</w:t>
            </w:r>
            <w:r>
              <w:rPr>
                <w:rFonts w:hint="eastAsia" w:ascii="宋体" w:hAnsi="宋体" w:cs="宋体"/>
                <w:bCs/>
                <w:color w:val="auto"/>
                <w:sz w:val="21"/>
                <w:szCs w:val="21"/>
              </w:rPr>
              <w:t>日。</w:t>
            </w:r>
          </w:p>
          <w:p>
            <w:pPr>
              <w:adjustRightInd w:val="0"/>
              <w:snapToGrid w:val="0"/>
              <w:ind w:firstLine="420" w:firstLineChars="200"/>
              <w:jc w:val="left"/>
              <w:rPr>
                <w:rFonts w:ascii="宋体" w:hAnsi="宋体" w:cs="宋体"/>
                <w:bCs/>
                <w:color w:val="auto"/>
                <w:sz w:val="21"/>
                <w:szCs w:val="21"/>
              </w:rPr>
            </w:pPr>
            <w:r>
              <w:rPr>
                <w:rFonts w:hint="eastAsia" w:ascii="宋体" w:hAnsi="宋体" w:cs="宋体"/>
                <w:bCs/>
                <w:color w:val="auto"/>
                <w:sz w:val="21"/>
                <w:szCs w:val="21"/>
              </w:rPr>
              <w:t>2、发放平台：招标方通过“云筑网”（https://www.yzw.cn/）进行发放。</w:t>
            </w:r>
          </w:p>
          <w:p>
            <w:pPr>
              <w:adjustRightInd w:val="0"/>
              <w:snapToGrid w:val="0"/>
              <w:ind w:firstLine="420" w:firstLineChars="200"/>
              <w:jc w:val="left"/>
              <w:rPr>
                <w:rFonts w:ascii="宋体" w:hAnsi="宋体" w:cs="宋体"/>
                <w:bCs/>
                <w:color w:val="auto"/>
                <w:sz w:val="21"/>
                <w:szCs w:val="21"/>
              </w:rPr>
            </w:pPr>
            <w:r>
              <w:rPr>
                <w:rFonts w:hint="eastAsia" w:ascii="宋体" w:hAnsi="宋体" w:cs="宋体"/>
                <w:bCs/>
                <w:color w:val="auto"/>
                <w:sz w:val="21"/>
                <w:szCs w:val="21"/>
              </w:rPr>
              <w:t>3、发放对象：投标资格审查合格且经机电分公司招评标工作小组审核通过的投标人可进入下步投标环节。</w:t>
            </w:r>
          </w:p>
          <w:p>
            <w:pPr>
              <w:adjustRightInd w:val="0"/>
              <w:snapToGrid w:val="0"/>
              <w:ind w:firstLine="420" w:firstLineChars="200"/>
              <w:jc w:val="left"/>
              <w:rPr>
                <w:rFonts w:ascii="宋体" w:hAnsi="宋体" w:cs="宋体"/>
                <w:bCs/>
                <w:color w:val="auto"/>
                <w:sz w:val="21"/>
                <w:szCs w:val="21"/>
              </w:rPr>
            </w:pPr>
            <w:r>
              <w:rPr>
                <w:rFonts w:hint="eastAsia" w:ascii="宋体" w:hAnsi="宋体" w:cs="宋体"/>
                <w:bCs/>
                <w:color w:val="auto"/>
                <w:sz w:val="21"/>
                <w:szCs w:val="21"/>
              </w:rPr>
              <w:t>七、投标保证金及费用</w:t>
            </w:r>
          </w:p>
          <w:p>
            <w:pPr>
              <w:shd w:val="clear"/>
              <w:adjustRightInd w:val="0"/>
              <w:snapToGrid w:val="0"/>
              <w:ind w:left="216" w:leftChars="103"/>
              <w:jc w:val="left"/>
              <w:rPr>
                <w:rFonts w:ascii="宋体" w:hAnsi="宋体" w:cs="宋体"/>
                <w:bCs/>
                <w:color w:val="auto"/>
                <w:sz w:val="21"/>
                <w:szCs w:val="21"/>
              </w:rPr>
            </w:pPr>
            <w:r>
              <w:rPr>
                <w:rFonts w:hint="eastAsia" w:ascii="宋体" w:hAnsi="宋体" w:cs="宋体"/>
                <w:bCs/>
                <w:color w:val="auto"/>
                <w:sz w:val="21"/>
                <w:szCs w:val="21"/>
              </w:rPr>
              <w:t>1、本次招标的投标保证金10000元，通过资格审查的投标人以电汇或网银转账方式转至中建海峡建设发展有限公司机电分公司财务部提供的账户（具体账户及投标保证金缴纳截止时间详见招标文件），不得以个人名义缴纳，需由参与投标的法人单位名义缴纳。注：投标保证金转账备注信息：“机</w:t>
            </w:r>
            <w:r>
              <w:rPr>
                <w:rFonts w:hint="eastAsia" w:ascii="宋体" w:hAnsi="宋体" w:cs="宋体"/>
                <w:bCs/>
                <w:color w:val="auto"/>
                <w:sz w:val="21"/>
                <w:szCs w:val="21"/>
                <w:highlight w:val="none"/>
                <w:shd w:val="clear"/>
              </w:rPr>
              <w:t>电公司</w:t>
            </w:r>
            <w:r>
              <w:rPr>
                <w:rFonts w:hint="eastAsia" w:ascii="宋体" w:hAnsi="宋体" w:cs="宋体"/>
                <w:bCs/>
                <w:color w:val="auto"/>
                <w:sz w:val="21"/>
                <w:szCs w:val="21"/>
                <w:highlight w:val="none"/>
                <w:shd w:val="clear"/>
                <w:lang w:val="en-US" w:eastAsia="zh-CN"/>
              </w:rPr>
              <w:t>+项目投标</w:t>
            </w:r>
            <w:r>
              <w:rPr>
                <w:rFonts w:hint="eastAsia" w:ascii="宋体" w:hAnsi="宋体" w:cs="宋体"/>
                <w:bCs/>
                <w:color w:val="auto"/>
                <w:sz w:val="21"/>
                <w:szCs w:val="21"/>
                <w:highlight w:val="none"/>
                <w:shd w:val="clear"/>
              </w:rPr>
              <w:t>保证金</w:t>
            </w:r>
            <w:r>
              <w:rPr>
                <w:rFonts w:hint="eastAsia" w:ascii="宋体" w:hAnsi="宋体" w:cs="宋体"/>
                <w:bCs/>
                <w:color w:val="auto"/>
                <w:sz w:val="21"/>
                <w:szCs w:val="21"/>
                <w:highlight w:val="none"/>
                <w:shd w:val="clear"/>
                <w:lang w:eastAsia="zh-CN"/>
              </w:rPr>
              <w:t>，</w:t>
            </w:r>
            <w:r>
              <w:rPr>
                <w:rFonts w:hint="eastAsia" w:ascii="宋体" w:hAnsi="宋体" w:cs="宋体"/>
                <w:bCs/>
                <w:color w:val="auto"/>
                <w:sz w:val="21"/>
                <w:szCs w:val="21"/>
                <w:highlight w:val="none"/>
                <w:shd w:val="clear"/>
                <w:lang w:val="en-US" w:eastAsia="zh-CN"/>
              </w:rPr>
              <w:t>若缴纳年度保证金备注机电公司年度保证金</w:t>
            </w:r>
            <w:r>
              <w:rPr>
                <w:rFonts w:hint="eastAsia" w:ascii="宋体" w:hAnsi="宋体" w:cs="宋体"/>
                <w:bCs/>
                <w:color w:val="auto"/>
                <w:sz w:val="21"/>
                <w:szCs w:val="21"/>
                <w:highlight w:val="none"/>
                <w:shd w:val="clear"/>
              </w:rPr>
              <w:t>”</w:t>
            </w:r>
            <w:r>
              <w:rPr>
                <w:rFonts w:hint="eastAsia" w:ascii="宋体" w:hAnsi="宋体" w:cs="宋体"/>
                <w:bCs/>
                <w:color w:val="auto"/>
                <w:sz w:val="21"/>
                <w:szCs w:val="21"/>
              </w:rPr>
              <w:t>。</w:t>
            </w:r>
          </w:p>
          <w:p>
            <w:pPr>
              <w:shd w:val="clear"/>
              <w:adjustRightInd w:val="0"/>
              <w:snapToGrid w:val="0"/>
              <w:ind w:left="216" w:leftChars="103"/>
              <w:jc w:val="left"/>
              <w:rPr>
                <w:rFonts w:ascii="宋体" w:hAnsi="宋体" w:cs="宋体"/>
                <w:bCs/>
                <w:sz w:val="21"/>
                <w:szCs w:val="21"/>
              </w:rPr>
            </w:pPr>
            <w:r>
              <w:rPr>
                <w:rFonts w:hint="eastAsia" w:ascii="宋体" w:hAnsi="宋体" w:cs="宋体"/>
                <w:bCs/>
                <w:sz w:val="21"/>
                <w:szCs w:val="21"/>
              </w:rPr>
              <w:t>2、投标保证金接收账户信息（详见招标文件）。</w:t>
            </w:r>
          </w:p>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3、投标人在递交书面投标文件时，应出示投标保证金转账凭证备查，没有按时缴纳投标保证金的投标人，取消其本次投标资格。</w:t>
            </w:r>
          </w:p>
          <w:p>
            <w:pPr>
              <w:adjustRightInd w:val="0"/>
              <w:snapToGrid w:val="0"/>
              <w:ind w:left="216" w:leftChars="103"/>
              <w:jc w:val="left"/>
              <w:rPr>
                <w:rFonts w:ascii="宋体" w:hAnsi="宋体" w:cs="宋体"/>
                <w:bCs/>
                <w:sz w:val="21"/>
                <w:szCs w:val="21"/>
              </w:rPr>
            </w:pPr>
            <w:r>
              <w:rPr>
                <w:rFonts w:hint="eastAsia" w:ascii="宋体" w:hAnsi="宋体" w:cs="宋体"/>
                <w:bCs/>
                <w:sz w:val="21"/>
                <w:szCs w:val="21"/>
              </w:rPr>
              <w:t>4、发生以下情况，投标保证金将被招标人没收：</w:t>
            </w:r>
          </w:p>
          <w:p>
            <w:pPr>
              <w:adjustRightInd w:val="0"/>
              <w:snapToGrid w:val="0"/>
              <w:ind w:firstLine="210" w:firstLineChars="100"/>
              <w:jc w:val="left"/>
              <w:rPr>
                <w:rFonts w:ascii="宋体" w:hAnsi="宋体" w:cs="宋体"/>
                <w:bCs/>
                <w:sz w:val="21"/>
                <w:szCs w:val="21"/>
              </w:rPr>
            </w:pPr>
            <w:r>
              <w:rPr>
                <w:rFonts w:hint="eastAsia" w:ascii="宋体" w:hAnsi="宋体" w:cs="宋体"/>
                <w:bCs/>
                <w:sz w:val="21"/>
                <w:szCs w:val="21"/>
              </w:rPr>
              <w:t>（1）投标人在招标文件中规定的投标有效期内，撤回其投标的；</w:t>
            </w:r>
          </w:p>
          <w:p>
            <w:pPr>
              <w:adjustRightInd w:val="0"/>
              <w:snapToGrid w:val="0"/>
              <w:ind w:firstLine="210" w:firstLineChars="100"/>
              <w:jc w:val="left"/>
              <w:rPr>
                <w:rFonts w:ascii="宋体" w:hAnsi="宋体" w:cs="宋体"/>
                <w:bCs/>
                <w:sz w:val="21"/>
                <w:szCs w:val="21"/>
              </w:rPr>
            </w:pPr>
            <w:r>
              <w:rPr>
                <w:rFonts w:hint="eastAsia" w:ascii="宋体" w:hAnsi="宋体" w:cs="宋体"/>
                <w:bCs/>
                <w:sz w:val="21"/>
                <w:szCs w:val="21"/>
              </w:rPr>
              <w:t>（2）若拟中标人未按投标文件要求签约（另行议标除外）；</w:t>
            </w:r>
          </w:p>
          <w:p>
            <w:pPr>
              <w:adjustRightInd w:val="0"/>
              <w:snapToGrid w:val="0"/>
              <w:ind w:firstLine="210" w:firstLineChars="100"/>
              <w:jc w:val="left"/>
              <w:rPr>
                <w:rFonts w:ascii="宋体" w:hAnsi="宋体" w:cs="宋体"/>
                <w:bCs/>
                <w:sz w:val="21"/>
                <w:szCs w:val="21"/>
              </w:rPr>
            </w:pPr>
            <w:r>
              <w:rPr>
                <w:rFonts w:hint="eastAsia" w:ascii="宋体" w:hAnsi="宋体" w:cs="宋体"/>
                <w:bCs/>
                <w:sz w:val="21"/>
                <w:szCs w:val="21"/>
              </w:rPr>
              <w:t>（3）投标人无正当理由不与招标人订立合同或在签订合同时向招标人提出附加条件的；</w:t>
            </w:r>
          </w:p>
          <w:p>
            <w:pPr>
              <w:adjustRightInd w:val="0"/>
              <w:snapToGrid w:val="0"/>
              <w:ind w:firstLine="210" w:firstLineChars="100"/>
              <w:jc w:val="left"/>
              <w:rPr>
                <w:rFonts w:ascii="宋体" w:hAnsi="宋体" w:cs="宋体"/>
                <w:bCs/>
                <w:sz w:val="21"/>
                <w:szCs w:val="21"/>
              </w:rPr>
            </w:pPr>
            <w:r>
              <w:rPr>
                <w:rFonts w:hint="eastAsia" w:ascii="宋体" w:hAnsi="宋体" w:cs="宋体"/>
                <w:bCs/>
                <w:sz w:val="21"/>
                <w:szCs w:val="21"/>
              </w:rPr>
              <w:t>（4）经查实，在投标文件中提供虚假材料的；</w:t>
            </w:r>
          </w:p>
          <w:p>
            <w:pPr>
              <w:ind w:firstLine="210" w:firstLineChars="100"/>
              <w:jc w:val="left"/>
              <w:rPr>
                <w:rFonts w:ascii="仿宋_GB2312" w:hAnsi="仿宋_GB2312" w:eastAsia="仿宋_GB2312" w:cs="仿宋_GB2312"/>
                <w:sz w:val="24"/>
              </w:rPr>
            </w:pPr>
            <w:r>
              <w:rPr>
                <w:rFonts w:hint="eastAsia" w:ascii="宋体" w:hAnsi="宋体" w:cs="宋体"/>
                <w:bCs/>
                <w:sz w:val="21"/>
                <w:szCs w:val="21"/>
              </w:rPr>
              <w:t>（5）经查实，中标人以他人名义投标或者以其他方式弄虚作假，骗取中标的。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trPr>
        <w:tc>
          <w:tcPr>
            <w:tcW w:w="7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8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报名时间</w:t>
            </w:r>
          </w:p>
        </w:tc>
        <w:tc>
          <w:tcPr>
            <w:tcW w:w="692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2020年6月</w:t>
            </w:r>
            <w:r>
              <w:rPr>
                <w:rFonts w:hint="eastAsia" w:ascii="仿宋_GB2312" w:hAnsi="仿宋_GB2312" w:eastAsia="仿宋_GB2312" w:cs="仿宋_GB2312"/>
                <w:sz w:val="24"/>
                <w:lang w:val="en-US" w:eastAsia="zh-CN"/>
              </w:rPr>
              <w:t>11</w:t>
            </w:r>
            <w:r>
              <w:rPr>
                <w:rFonts w:hint="eastAsia" w:ascii="仿宋_GB2312" w:hAnsi="仿宋_GB2312" w:eastAsia="仿宋_GB2312" w:cs="仿宋_GB2312"/>
                <w:sz w:val="24"/>
              </w:rPr>
              <w:t>日 1</w:t>
            </w: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:00（具体时间以云筑网为准）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3" w:hRule="exact"/>
        </w:trPr>
        <w:tc>
          <w:tcPr>
            <w:tcW w:w="7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18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报名截止时间</w:t>
            </w:r>
          </w:p>
        </w:tc>
        <w:tc>
          <w:tcPr>
            <w:tcW w:w="692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2020年6月1</w:t>
            </w: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日1</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:00（具体时间以云筑网为准）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7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18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招标开标时间</w:t>
            </w:r>
          </w:p>
        </w:tc>
        <w:tc>
          <w:tcPr>
            <w:tcW w:w="692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2020年06月1</w:t>
            </w:r>
            <w:r>
              <w:rPr>
                <w:rFonts w:hint="eastAsia" w:ascii="仿宋_GB2312" w:hAnsi="仿宋_GB2312" w:eastAsia="仿宋_GB2312" w:cs="仿宋_GB2312"/>
                <w:sz w:val="24"/>
                <w:lang w:val="en-US" w:eastAsia="zh-CN"/>
              </w:rPr>
              <w:t>9</w:t>
            </w:r>
            <w:bookmarkStart w:id="12" w:name="_GoBack"/>
            <w:bookmarkEnd w:id="12"/>
            <w:r>
              <w:rPr>
                <w:rFonts w:hint="eastAsia" w:ascii="仿宋_GB2312" w:hAnsi="仿宋_GB2312" w:eastAsia="仿宋_GB2312" w:cs="仿宋_GB2312"/>
                <w:sz w:val="24"/>
              </w:rPr>
              <w:t>日（具体时间以云筑网为准）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1" w:hRule="exact"/>
        </w:trPr>
        <w:tc>
          <w:tcPr>
            <w:tcW w:w="7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18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联系地址/邮编</w:t>
            </w:r>
          </w:p>
        </w:tc>
        <w:tc>
          <w:tcPr>
            <w:tcW w:w="6923" w:type="dxa"/>
            <w:vAlign w:val="center"/>
          </w:tcPr>
          <w:p>
            <w:pPr>
              <w:pStyle w:val="3"/>
              <w:tabs>
                <w:tab w:val="left" w:pos="4452"/>
              </w:tabs>
              <w:spacing w:after="156" w:afterLines="50" w:line="500" w:lineRule="exact"/>
              <w:jc w:val="center"/>
              <w:rPr>
                <w:rFonts w:ascii="仿宋_GB2312" w:hAnsi="仿宋_GB2312" w:eastAsia="仿宋_GB2312" w:cs="仿宋_GB2312"/>
                <w:sz w:val="24"/>
              </w:rPr>
            </w:pPr>
            <w:r>
              <w:rPr>
                <w:rFonts w:hint="eastAsia" w:eastAsia="仿宋_GB2312"/>
                <w:sz w:val="24"/>
              </w:rPr>
              <w:t>福州市马尾区儒江西路60号    邮编：350000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7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w:t>
            </w:r>
          </w:p>
        </w:tc>
        <w:tc>
          <w:tcPr>
            <w:tcW w:w="18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联系人及</w:t>
            </w:r>
          </w:p>
          <w:p>
            <w:pPr>
              <w:jc w:val="center"/>
              <w:rPr>
                <w:rFonts w:ascii="仿宋_GB2312" w:hAnsi="仿宋_GB2312" w:eastAsia="仿宋_GB2312" w:cs="仿宋_GB2312"/>
                <w:sz w:val="24"/>
              </w:rPr>
            </w:pPr>
            <w:r>
              <w:rPr>
                <w:rFonts w:hint="eastAsia" w:ascii="仿宋_GB2312" w:hAnsi="仿宋_GB2312" w:eastAsia="仿宋_GB2312" w:cs="仿宋_GB2312"/>
                <w:sz w:val="24"/>
              </w:rPr>
              <w:t>联系电话</w:t>
            </w:r>
          </w:p>
        </w:tc>
        <w:tc>
          <w:tcPr>
            <w:tcW w:w="6923" w:type="dxa"/>
            <w:vAlign w:val="center"/>
          </w:tcPr>
          <w:p>
            <w:pPr>
              <w:pStyle w:val="3"/>
              <w:tabs>
                <w:tab w:val="left" w:pos="4452"/>
              </w:tabs>
              <w:spacing w:after="156" w:afterLines="50" w:line="500" w:lineRule="exact"/>
              <w:jc w:val="center"/>
              <w:rPr>
                <w:rFonts w:ascii="仿宋_GB2312" w:hAnsi="仿宋_GB2312" w:eastAsia="仿宋_GB2312" w:cs="仿宋_GB2312"/>
                <w:sz w:val="24"/>
              </w:rPr>
            </w:pPr>
            <w:r>
              <w:rPr>
                <w:rFonts w:hint="eastAsia" w:eastAsia="仿宋_GB2312"/>
                <w:sz w:val="24"/>
              </w:rPr>
              <w:t>吴永峰/15679732241</w:t>
            </w:r>
          </w:p>
        </w:tc>
      </w:tr>
    </w:tbl>
    <w:p>
      <w:pPr>
        <w:jc w:val="center"/>
        <w:rPr>
          <w:rFonts w:ascii="仿宋_GB2312" w:eastAsia="仿宋_GB2312"/>
          <w:b/>
          <w:bCs/>
          <w:sz w:val="28"/>
          <w:szCs w:val="28"/>
        </w:rPr>
      </w:pPr>
      <w:r>
        <w:rPr>
          <w:rFonts w:ascii="仿宋_GB2312" w:eastAsia="仿宋_GB2312"/>
          <w:sz w:val="28"/>
        </w:rPr>
        <w:br w:type="page"/>
      </w:r>
      <w:r>
        <w:rPr>
          <w:rFonts w:hint="eastAsia" w:ascii="仿宋_GB2312" w:eastAsia="仿宋_GB2312"/>
          <w:b/>
          <w:bCs/>
          <w:sz w:val="28"/>
          <w:szCs w:val="28"/>
        </w:rPr>
        <w:t>中国移动（福建福州）数据中心一期项目电气与防火门、电气火灾监控材料采购清单</w:t>
      </w:r>
    </w:p>
    <w:tbl>
      <w:tblPr>
        <w:tblStyle w:val="8"/>
        <w:tblW w:w="8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2223"/>
        <w:gridCol w:w="2811"/>
        <w:gridCol w:w="639"/>
        <w:gridCol w:w="766"/>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序号</w:t>
            </w:r>
          </w:p>
        </w:tc>
        <w:tc>
          <w:tcPr>
            <w:tcW w:w="2223" w:type="dxa"/>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材料名称</w:t>
            </w:r>
          </w:p>
        </w:tc>
        <w:tc>
          <w:tcPr>
            <w:tcW w:w="2811" w:type="dxa"/>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规格型号</w:t>
            </w:r>
          </w:p>
        </w:tc>
        <w:tc>
          <w:tcPr>
            <w:tcW w:w="639" w:type="dxa"/>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单位</w:t>
            </w:r>
          </w:p>
        </w:tc>
        <w:tc>
          <w:tcPr>
            <w:tcW w:w="766" w:type="dxa"/>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数量</w:t>
            </w:r>
          </w:p>
        </w:tc>
        <w:tc>
          <w:tcPr>
            <w:tcW w:w="1150" w:type="dxa"/>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223" w:type="dxa"/>
            <w:shd w:val="clear" w:color="auto" w:fill="auto"/>
            <w:vAlign w:val="center"/>
          </w:tcPr>
          <w:p>
            <w:pPr>
              <w:widowControl/>
              <w:jc w:val="center"/>
              <w:rPr>
                <w:rFonts w:ascii="仿宋" w:hAnsi="仿宋" w:eastAsia="仿宋" w:cs="宋体"/>
                <w:b/>
                <w:bCs/>
                <w:kern w:val="0"/>
                <w:szCs w:val="21"/>
              </w:rPr>
            </w:pPr>
          </w:p>
        </w:tc>
        <w:tc>
          <w:tcPr>
            <w:tcW w:w="2811" w:type="dxa"/>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灯具、开关插座部分</w:t>
            </w:r>
          </w:p>
        </w:tc>
        <w:tc>
          <w:tcPr>
            <w:tcW w:w="639" w:type="dxa"/>
            <w:shd w:val="clear" w:color="auto" w:fill="auto"/>
            <w:vAlign w:val="center"/>
          </w:tcPr>
          <w:p>
            <w:pPr>
              <w:widowControl/>
              <w:jc w:val="center"/>
              <w:rPr>
                <w:rFonts w:ascii="仿宋" w:hAnsi="仿宋" w:eastAsia="仿宋" w:cs="宋体"/>
                <w:b/>
                <w:bCs/>
                <w:kern w:val="0"/>
                <w:szCs w:val="21"/>
              </w:rPr>
            </w:pPr>
          </w:p>
        </w:tc>
        <w:tc>
          <w:tcPr>
            <w:tcW w:w="766" w:type="dxa"/>
            <w:shd w:val="clear" w:color="auto" w:fill="auto"/>
            <w:vAlign w:val="center"/>
          </w:tcPr>
          <w:p>
            <w:pPr>
              <w:widowControl/>
              <w:jc w:val="center"/>
              <w:rPr>
                <w:rFonts w:ascii="仿宋" w:hAnsi="仿宋" w:eastAsia="仿宋" w:cs="宋体"/>
                <w:b/>
                <w:bCs/>
                <w:kern w:val="0"/>
                <w:szCs w:val="21"/>
              </w:rPr>
            </w:pPr>
          </w:p>
        </w:tc>
        <w:tc>
          <w:tcPr>
            <w:tcW w:w="1150" w:type="dxa"/>
            <w:shd w:val="clear" w:color="auto" w:fill="auto"/>
            <w:vAlign w:val="center"/>
          </w:tcPr>
          <w:p>
            <w:pPr>
              <w:widowControl/>
              <w:jc w:val="center"/>
              <w:rPr>
                <w:rFonts w:ascii="仿宋" w:hAnsi="仿宋" w:eastAsia="仿宋"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LED灯带</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8W/M</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52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T5灯带</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16W/M</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380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LED灯盘</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32W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77</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LED三管机片灯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200×1200, 2*16W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250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LED三管机片灯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300×300, 3*4W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191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LED三管机片灯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600×600, 3*8W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73</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LED三管机片灯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600×600, 3*8W 带应急</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射灯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15W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111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LED筒灯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370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LED筒灯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3W 带应急</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64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LED吸顶灯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14W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LED吸顶灯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15W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LED吸顶灯自带蓄电池</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LED 220V  14W 吸顶</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LED防水吸顶灯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12W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防水密闭灯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20W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LED壁灯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10W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40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成套灯具</w:t>
            </w:r>
          </w:p>
        </w:tc>
        <w:tc>
          <w:tcPr>
            <w:tcW w:w="2811" w:type="dxa"/>
            <w:shd w:val="clear" w:color="000000" w:fill="FFFFFF"/>
            <w:vAlign w:val="center"/>
          </w:tcPr>
          <w:p>
            <w:pPr>
              <w:widowControl/>
              <w:jc w:val="center"/>
              <w:rPr>
                <w:rFonts w:ascii="宋体" w:hAnsi="宋体" w:cs="宋体"/>
                <w:kern w:val="0"/>
                <w:sz w:val="16"/>
                <w:szCs w:val="16"/>
              </w:rPr>
            </w:pP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9</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双管荧光灯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2*28W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303</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双管荧光灯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2*15W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202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单管荧光灯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28W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单管荧光灯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15W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446</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23</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灯具吊杆</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Φ15</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根</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18</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灯泡</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28W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195</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25</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吊杆自带蓄电池双管应急荧光灯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2*18W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19</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26</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LED灯盘</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600*600，28W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27</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LED灯盘</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300*1200，2*28W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242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防爆型自带蓄电池型安全出口灯(常明)</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2W，LED灯</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29</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防爆型自带蓄电池应急灯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2W，LED灯</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121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投光灯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AC220V 20W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138</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平板灯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300*300，14W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平板灯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300*600，24W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259</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33</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线条灯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14W/m</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159</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34</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艺术吊顶灯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11W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16</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35</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应急灯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14W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应急灯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16W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834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37</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应急灯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18W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289</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38</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应急灯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28W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2109</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39</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应急灯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2*28W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406</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40</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应急灯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2*16W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314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41</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防爆灯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10W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57</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42</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应急灯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32W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43</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平板灯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32W，带蓄电池</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6</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44</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LED悬挂灯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50W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120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45</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防水防尘支架</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15W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120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46</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应急灯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18</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47</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插头</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配高压灯带</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340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48</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防水防尘灯</w:t>
            </w:r>
          </w:p>
        </w:tc>
        <w:tc>
          <w:tcPr>
            <w:tcW w:w="2811" w:type="dxa"/>
            <w:shd w:val="clear" w:color="000000" w:fill="FFFFFF"/>
            <w:vAlign w:val="center"/>
          </w:tcPr>
          <w:p>
            <w:pPr>
              <w:widowControl/>
              <w:jc w:val="center"/>
              <w:rPr>
                <w:rFonts w:ascii="宋体" w:hAnsi="宋体" w:cs="宋体"/>
                <w:kern w:val="0"/>
                <w:sz w:val="16"/>
                <w:szCs w:val="16"/>
              </w:rPr>
            </w:pP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49</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明装筒灯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10W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139</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线条灯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宽度100-150MM</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米</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44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51</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线条灯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宽度50-60MM</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米</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168</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52</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单面标志灯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1100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53</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双面标志灯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1100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54</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嵌入式标志灯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1100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55</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应急双头灯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3W</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盏</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139</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56</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预埋盒</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380</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1100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57</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防爆双头应急灯</w:t>
            </w:r>
          </w:p>
        </w:tc>
        <w:tc>
          <w:tcPr>
            <w:tcW w:w="2811" w:type="dxa"/>
            <w:shd w:val="clear" w:color="000000" w:fill="FFFFFF"/>
            <w:vAlign w:val="center"/>
          </w:tcPr>
          <w:p>
            <w:pPr>
              <w:widowControl/>
              <w:jc w:val="center"/>
              <w:rPr>
                <w:rFonts w:ascii="宋体" w:hAnsi="宋体" w:cs="宋体"/>
                <w:kern w:val="0"/>
                <w:sz w:val="16"/>
                <w:szCs w:val="16"/>
              </w:rPr>
            </w:pP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64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58</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防爆应急标志灯</w:t>
            </w:r>
          </w:p>
        </w:tc>
        <w:tc>
          <w:tcPr>
            <w:tcW w:w="2811" w:type="dxa"/>
            <w:shd w:val="clear" w:color="000000" w:fill="FFFFFF"/>
            <w:vAlign w:val="center"/>
          </w:tcPr>
          <w:p>
            <w:pPr>
              <w:widowControl/>
              <w:jc w:val="center"/>
              <w:rPr>
                <w:rFonts w:ascii="宋体" w:hAnsi="宋体" w:cs="宋体"/>
                <w:kern w:val="0"/>
                <w:sz w:val="16"/>
                <w:szCs w:val="16"/>
              </w:rPr>
            </w:pP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59</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二/三极插座</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250V,10A</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1672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三相四线插座</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380V，25A</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27</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61</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一开16A三插座</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16A</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28</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62</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一位跷板式单控开关</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250V，10A</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463</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63</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一位跷板式双控开关</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250V，10A</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308</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二位跷板式单控开关</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250V，10A</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289</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65</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三位跷板式单控开关</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250V，10A</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68</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66</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四位跷板式单控开关</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250V，10A</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61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67</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地面插座接线盒</w:t>
            </w:r>
          </w:p>
        </w:tc>
        <w:tc>
          <w:tcPr>
            <w:tcW w:w="2811" w:type="dxa"/>
            <w:shd w:val="clear" w:color="000000" w:fill="FFFFFF"/>
            <w:vAlign w:val="center"/>
          </w:tcPr>
          <w:p>
            <w:pPr>
              <w:widowControl/>
              <w:jc w:val="center"/>
              <w:rPr>
                <w:rFonts w:ascii="宋体" w:hAnsi="宋体" w:cs="宋体"/>
                <w:kern w:val="0"/>
                <w:sz w:val="16"/>
                <w:szCs w:val="16"/>
              </w:rPr>
            </w:pP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9</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68</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电缆分支箱</w:t>
            </w:r>
          </w:p>
        </w:tc>
        <w:tc>
          <w:tcPr>
            <w:tcW w:w="2811" w:type="dxa"/>
            <w:shd w:val="clear" w:color="000000" w:fill="FFFFFF"/>
            <w:vAlign w:val="center"/>
          </w:tcPr>
          <w:p>
            <w:pPr>
              <w:widowControl/>
              <w:jc w:val="center"/>
              <w:rPr>
                <w:rFonts w:ascii="宋体" w:hAnsi="宋体" w:cs="宋体"/>
                <w:kern w:val="0"/>
                <w:sz w:val="16"/>
                <w:szCs w:val="16"/>
              </w:rPr>
            </w:pP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69</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防雨接线盒</w:t>
            </w:r>
          </w:p>
        </w:tc>
        <w:tc>
          <w:tcPr>
            <w:tcW w:w="2811" w:type="dxa"/>
            <w:shd w:val="clear" w:color="000000" w:fill="FFFFFF"/>
            <w:vAlign w:val="center"/>
          </w:tcPr>
          <w:p>
            <w:pPr>
              <w:widowControl/>
              <w:jc w:val="center"/>
              <w:rPr>
                <w:rFonts w:ascii="宋体" w:hAnsi="宋体" w:cs="宋体"/>
                <w:kern w:val="0"/>
                <w:sz w:val="16"/>
                <w:szCs w:val="16"/>
              </w:rPr>
            </w:pP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208</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70</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接线盒</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JH15A</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16791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71</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井道插座</w:t>
            </w:r>
          </w:p>
        </w:tc>
        <w:tc>
          <w:tcPr>
            <w:tcW w:w="2811" w:type="dxa"/>
            <w:shd w:val="clear" w:color="000000" w:fill="FFFFFF"/>
            <w:vAlign w:val="center"/>
          </w:tcPr>
          <w:p>
            <w:pPr>
              <w:widowControl/>
              <w:jc w:val="center"/>
              <w:rPr>
                <w:rFonts w:ascii="宋体" w:hAnsi="宋体" w:cs="宋体"/>
                <w:kern w:val="0"/>
                <w:sz w:val="16"/>
                <w:szCs w:val="16"/>
              </w:rPr>
            </w:pP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16</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72</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空白面板</w:t>
            </w:r>
          </w:p>
        </w:tc>
        <w:tc>
          <w:tcPr>
            <w:tcW w:w="2811" w:type="dxa"/>
            <w:shd w:val="clear" w:color="000000" w:fill="FFFFFF"/>
            <w:vAlign w:val="center"/>
          </w:tcPr>
          <w:p>
            <w:pPr>
              <w:widowControl/>
              <w:jc w:val="center"/>
              <w:rPr>
                <w:rFonts w:ascii="宋体" w:hAnsi="宋体" w:cs="宋体"/>
                <w:kern w:val="0"/>
                <w:sz w:val="16"/>
                <w:szCs w:val="16"/>
              </w:rPr>
            </w:pP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634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73</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塑料接线盒</w:t>
            </w:r>
          </w:p>
        </w:tc>
        <w:tc>
          <w:tcPr>
            <w:tcW w:w="2811" w:type="dxa"/>
            <w:shd w:val="clear" w:color="000000" w:fill="FFFFFF"/>
            <w:vAlign w:val="center"/>
          </w:tcPr>
          <w:p>
            <w:pPr>
              <w:widowControl/>
              <w:jc w:val="center"/>
              <w:rPr>
                <w:rFonts w:ascii="宋体" w:hAnsi="宋体" w:cs="宋体"/>
                <w:kern w:val="0"/>
                <w:sz w:val="16"/>
                <w:szCs w:val="16"/>
              </w:rPr>
            </w:pP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74</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延时自熄灭开关</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带强启接线端子250V,10A</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266</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75</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三极扁脚插座</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16A</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76</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二位跷板式双控开关</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10A</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77</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三位跷板式双控开关</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10A</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78</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四位双控开关</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10A</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79</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五孔带USB充电</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10A</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二/三极插座连单控开关</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10A</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81</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二/三极插座连双控开关</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10A</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82</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三极扁脚插座连开关</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10A</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83</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三相四线插座</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10A</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84</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单联电视插座</w:t>
            </w:r>
          </w:p>
        </w:tc>
        <w:tc>
          <w:tcPr>
            <w:tcW w:w="2811" w:type="dxa"/>
            <w:shd w:val="clear" w:color="000000" w:fill="FFFFFF"/>
            <w:vAlign w:val="center"/>
          </w:tcPr>
          <w:p>
            <w:pPr>
              <w:widowControl/>
              <w:jc w:val="center"/>
              <w:rPr>
                <w:rFonts w:ascii="宋体" w:hAnsi="宋体" w:cs="宋体"/>
                <w:kern w:val="0"/>
                <w:sz w:val="16"/>
                <w:szCs w:val="16"/>
              </w:rPr>
            </w:pP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85</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单联电话插座</w:t>
            </w:r>
          </w:p>
        </w:tc>
        <w:tc>
          <w:tcPr>
            <w:tcW w:w="2811" w:type="dxa"/>
            <w:shd w:val="clear" w:color="000000" w:fill="FFFFFF"/>
            <w:vAlign w:val="center"/>
          </w:tcPr>
          <w:p>
            <w:pPr>
              <w:widowControl/>
              <w:jc w:val="center"/>
              <w:rPr>
                <w:rFonts w:ascii="宋体" w:hAnsi="宋体" w:cs="宋体"/>
                <w:kern w:val="0"/>
                <w:sz w:val="16"/>
                <w:szCs w:val="16"/>
              </w:rPr>
            </w:pP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86</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单联信息插座</w:t>
            </w:r>
          </w:p>
        </w:tc>
        <w:tc>
          <w:tcPr>
            <w:tcW w:w="2811" w:type="dxa"/>
            <w:shd w:val="clear" w:color="000000" w:fill="FFFFFF"/>
            <w:vAlign w:val="center"/>
          </w:tcPr>
          <w:p>
            <w:pPr>
              <w:widowControl/>
              <w:jc w:val="center"/>
              <w:rPr>
                <w:rFonts w:ascii="宋体" w:hAnsi="宋体" w:cs="宋体"/>
                <w:kern w:val="0"/>
                <w:sz w:val="16"/>
                <w:szCs w:val="16"/>
              </w:rPr>
            </w:pP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87</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双联信息插座</w:t>
            </w:r>
          </w:p>
        </w:tc>
        <w:tc>
          <w:tcPr>
            <w:tcW w:w="2811" w:type="dxa"/>
            <w:shd w:val="clear" w:color="000000" w:fill="FFFFFF"/>
            <w:vAlign w:val="center"/>
          </w:tcPr>
          <w:p>
            <w:pPr>
              <w:widowControl/>
              <w:jc w:val="center"/>
              <w:rPr>
                <w:rFonts w:ascii="宋体" w:hAnsi="宋体" w:cs="宋体"/>
                <w:kern w:val="0"/>
                <w:sz w:val="16"/>
                <w:szCs w:val="16"/>
              </w:rPr>
            </w:pP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88</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电视+信息插座</w:t>
            </w:r>
          </w:p>
        </w:tc>
        <w:tc>
          <w:tcPr>
            <w:tcW w:w="2811" w:type="dxa"/>
            <w:shd w:val="clear" w:color="000000" w:fill="FFFFFF"/>
            <w:vAlign w:val="center"/>
          </w:tcPr>
          <w:p>
            <w:pPr>
              <w:widowControl/>
              <w:jc w:val="center"/>
              <w:rPr>
                <w:rFonts w:ascii="宋体" w:hAnsi="宋体" w:cs="宋体"/>
                <w:kern w:val="0"/>
                <w:sz w:val="16"/>
                <w:szCs w:val="16"/>
              </w:rPr>
            </w:pP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89</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电话+信息插座</w:t>
            </w:r>
          </w:p>
        </w:tc>
        <w:tc>
          <w:tcPr>
            <w:tcW w:w="2811" w:type="dxa"/>
            <w:shd w:val="clear" w:color="000000" w:fill="FFFFFF"/>
            <w:vAlign w:val="center"/>
          </w:tcPr>
          <w:p>
            <w:pPr>
              <w:widowControl/>
              <w:jc w:val="center"/>
              <w:rPr>
                <w:rFonts w:ascii="宋体" w:hAnsi="宋体" w:cs="宋体"/>
                <w:kern w:val="0"/>
                <w:sz w:val="16"/>
                <w:szCs w:val="16"/>
              </w:rPr>
            </w:pP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调光开关</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10A</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91</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中途开关</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10A</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92</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声光控开关</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10A</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93</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轻触式延时开关</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10A</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94</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红外线感应开关</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10A</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2223"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插座防溅盒</w:t>
            </w:r>
          </w:p>
        </w:tc>
        <w:tc>
          <w:tcPr>
            <w:tcW w:w="2811" w:type="dxa"/>
            <w:shd w:val="clear" w:color="000000" w:fill="FFFFFF"/>
            <w:vAlign w:val="center"/>
          </w:tcPr>
          <w:p>
            <w:pPr>
              <w:widowControl/>
              <w:jc w:val="center"/>
              <w:rPr>
                <w:rFonts w:ascii="宋体" w:hAnsi="宋体" w:cs="宋体"/>
                <w:kern w:val="0"/>
                <w:sz w:val="16"/>
                <w:szCs w:val="16"/>
              </w:rPr>
            </w:pP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96</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L3洗墙灯1米</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HL-RGB-DC24V-18W DMX512,6段</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408</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97</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L3洗墙灯0.5米</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HL-RGB-DC24V-9W DMX512,6段</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117</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98</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L3洗墙灯0.3米</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HL-RGB-DC24V-6W DMX512,6段</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6</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L3洗墙灯1米</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HL-RGB-DC24V-18W DMX512,6段</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L3洗墙灯0.3米</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HL-RGB-DC24V-6W DMX512,6段</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16</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101</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L3洗墙灯1米</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HL-RGB-DC24V-18W DMX512,6段</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102</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L2投光灯</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LED 3000K AC220V 20W 10°角 宅角度</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38</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103</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L1洗墙灯1米</w:t>
            </w: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LED 3000K DC24V 12W 带遮光板</w:t>
            </w:r>
          </w:p>
        </w:tc>
        <w:tc>
          <w:tcPr>
            <w:tcW w:w="639"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700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104</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L1洗墙灯0.5米</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LED 3000K DC24V 6W 带遮光板</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105</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L1洗墙灯0.3米</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LED 3000K DC24V 3W带着遮板</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106</w:t>
            </w:r>
          </w:p>
        </w:tc>
        <w:tc>
          <w:tcPr>
            <w:tcW w:w="2223" w:type="dxa"/>
            <w:shd w:val="clear" w:color="000000" w:fill="FFFFFF"/>
            <w:vAlign w:val="center"/>
          </w:tcPr>
          <w:p>
            <w:pPr>
              <w:widowControl/>
              <w:jc w:val="center"/>
              <w:rPr>
                <w:rFonts w:ascii="宋体" w:hAnsi="宋体" w:cs="宋体"/>
                <w:kern w:val="0"/>
                <w:sz w:val="16"/>
                <w:szCs w:val="16"/>
              </w:rPr>
            </w:pPr>
          </w:p>
        </w:tc>
        <w:tc>
          <w:tcPr>
            <w:tcW w:w="2811" w:type="dxa"/>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夜景照明部分</w:t>
            </w:r>
          </w:p>
        </w:tc>
        <w:tc>
          <w:tcPr>
            <w:tcW w:w="639" w:type="dxa"/>
            <w:shd w:val="clear" w:color="000000" w:fill="FFFFFF"/>
            <w:vAlign w:val="center"/>
          </w:tcPr>
          <w:p>
            <w:pPr>
              <w:widowControl/>
              <w:jc w:val="center"/>
              <w:rPr>
                <w:rFonts w:ascii="宋体" w:hAnsi="宋体" w:cs="宋体"/>
                <w:kern w:val="0"/>
                <w:sz w:val="16"/>
                <w:szCs w:val="16"/>
              </w:rPr>
            </w:pPr>
          </w:p>
        </w:tc>
        <w:tc>
          <w:tcPr>
            <w:tcW w:w="766" w:type="dxa"/>
            <w:shd w:val="clear" w:color="000000" w:fill="FFFFFF"/>
            <w:vAlign w:val="center"/>
          </w:tcPr>
          <w:p>
            <w:pPr>
              <w:widowControl/>
              <w:jc w:val="center"/>
              <w:rPr>
                <w:rFonts w:ascii="宋体" w:hAnsi="宋体" w:cs="宋体"/>
                <w:kern w:val="0"/>
                <w:sz w:val="16"/>
                <w:szCs w:val="16"/>
              </w:rPr>
            </w:pP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107</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LED视频主控器</w:t>
            </w:r>
          </w:p>
        </w:tc>
        <w:tc>
          <w:tcPr>
            <w:tcW w:w="2811" w:type="dxa"/>
            <w:shd w:val="clear" w:color="auto" w:fill="auto"/>
            <w:vAlign w:val="center"/>
          </w:tcPr>
          <w:p>
            <w:pPr>
              <w:widowControl/>
              <w:jc w:val="center"/>
              <w:rPr>
                <w:rFonts w:ascii="宋体" w:hAnsi="宋体" w:cs="宋体"/>
                <w:kern w:val="0"/>
                <w:sz w:val="16"/>
                <w:szCs w:val="16"/>
              </w:rPr>
            </w:pP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108</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ZYB2</w:t>
            </w:r>
          </w:p>
        </w:tc>
        <w:tc>
          <w:tcPr>
            <w:tcW w:w="2811" w:type="dxa"/>
            <w:shd w:val="clear" w:color="auto" w:fill="auto"/>
            <w:vAlign w:val="center"/>
          </w:tcPr>
          <w:p>
            <w:pPr>
              <w:widowControl/>
              <w:jc w:val="center"/>
              <w:rPr>
                <w:rFonts w:ascii="宋体" w:hAnsi="宋体" w:cs="宋体"/>
                <w:kern w:val="0"/>
                <w:sz w:val="16"/>
                <w:szCs w:val="16"/>
              </w:rPr>
            </w:pP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109</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粗、中效过滤器</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1000×200</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6</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110</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粗、中效过滤器</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1250×400</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8</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111</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过滤器(粗/中)</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1140×900</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112</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过滤器(粗/中)</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1240×980</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113</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机柜(机架)</w:t>
            </w:r>
          </w:p>
        </w:tc>
        <w:tc>
          <w:tcPr>
            <w:tcW w:w="2811" w:type="dxa"/>
            <w:shd w:val="clear" w:color="auto" w:fill="auto"/>
            <w:vAlign w:val="center"/>
          </w:tcPr>
          <w:p>
            <w:pPr>
              <w:widowControl/>
              <w:jc w:val="center"/>
              <w:rPr>
                <w:rFonts w:ascii="宋体" w:hAnsi="宋体" w:cs="宋体"/>
                <w:kern w:val="0"/>
                <w:sz w:val="16"/>
                <w:szCs w:val="16"/>
              </w:rPr>
            </w:pP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114</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DDC现场控制箱</w:t>
            </w:r>
          </w:p>
        </w:tc>
        <w:tc>
          <w:tcPr>
            <w:tcW w:w="2811" w:type="dxa"/>
            <w:shd w:val="clear" w:color="auto" w:fill="auto"/>
            <w:vAlign w:val="center"/>
          </w:tcPr>
          <w:p>
            <w:pPr>
              <w:widowControl/>
              <w:jc w:val="center"/>
              <w:rPr>
                <w:rFonts w:ascii="宋体" w:hAnsi="宋体" w:cs="宋体"/>
                <w:kern w:val="0"/>
                <w:sz w:val="16"/>
                <w:szCs w:val="16"/>
              </w:rPr>
            </w:pP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13</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115</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24口交换机 （夜景照明控制使用）</w:t>
            </w:r>
          </w:p>
        </w:tc>
        <w:tc>
          <w:tcPr>
            <w:tcW w:w="2811" w:type="dxa"/>
            <w:shd w:val="clear" w:color="auto" w:fill="auto"/>
            <w:vAlign w:val="center"/>
          </w:tcPr>
          <w:p>
            <w:pPr>
              <w:widowControl/>
              <w:jc w:val="center"/>
              <w:rPr>
                <w:rFonts w:ascii="宋体" w:hAnsi="宋体" w:cs="宋体"/>
                <w:kern w:val="0"/>
                <w:sz w:val="16"/>
                <w:szCs w:val="16"/>
              </w:rPr>
            </w:pP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116</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光端交换机</w:t>
            </w:r>
          </w:p>
        </w:tc>
        <w:tc>
          <w:tcPr>
            <w:tcW w:w="2811" w:type="dxa"/>
            <w:shd w:val="clear" w:color="auto" w:fill="auto"/>
            <w:vAlign w:val="center"/>
          </w:tcPr>
          <w:p>
            <w:pPr>
              <w:widowControl/>
              <w:jc w:val="center"/>
              <w:rPr>
                <w:rFonts w:ascii="宋体" w:hAnsi="宋体" w:cs="宋体"/>
                <w:kern w:val="0"/>
                <w:sz w:val="16"/>
                <w:szCs w:val="16"/>
              </w:rPr>
            </w:pP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6</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117</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工业网络交换机</w:t>
            </w:r>
          </w:p>
        </w:tc>
        <w:tc>
          <w:tcPr>
            <w:tcW w:w="2811" w:type="dxa"/>
            <w:shd w:val="clear" w:color="auto" w:fill="auto"/>
            <w:vAlign w:val="center"/>
          </w:tcPr>
          <w:p>
            <w:pPr>
              <w:widowControl/>
              <w:jc w:val="center"/>
              <w:rPr>
                <w:rFonts w:ascii="宋体" w:hAnsi="宋体" w:cs="宋体"/>
                <w:kern w:val="0"/>
                <w:sz w:val="16"/>
                <w:szCs w:val="16"/>
              </w:rPr>
            </w:pP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118</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光纤收发器</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单模SC接口×1 RJ45接口×1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119</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UPS电源</w:t>
            </w:r>
          </w:p>
        </w:tc>
        <w:tc>
          <w:tcPr>
            <w:tcW w:w="2811" w:type="dxa"/>
            <w:shd w:val="clear" w:color="auto" w:fill="auto"/>
            <w:vAlign w:val="center"/>
          </w:tcPr>
          <w:p>
            <w:pPr>
              <w:widowControl/>
              <w:jc w:val="center"/>
              <w:rPr>
                <w:rFonts w:ascii="宋体" w:hAnsi="宋体" w:cs="宋体"/>
                <w:kern w:val="0"/>
                <w:sz w:val="16"/>
                <w:szCs w:val="16"/>
              </w:rPr>
            </w:pP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120</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打印机</w:t>
            </w:r>
          </w:p>
        </w:tc>
        <w:tc>
          <w:tcPr>
            <w:tcW w:w="2811" w:type="dxa"/>
            <w:shd w:val="clear" w:color="auto" w:fill="auto"/>
            <w:vAlign w:val="center"/>
          </w:tcPr>
          <w:p>
            <w:pPr>
              <w:widowControl/>
              <w:jc w:val="center"/>
              <w:rPr>
                <w:rFonts w:ascii="宋体" w:hAnsi="宋体" w:cs="宋体"/>
                <w:kern w:val="0"/>
                <w:sz w:val="16"/>
                <w:szCs w:val="16"/>
              </w:rPr>
            </w:pP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121</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监控工作站</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硬件匹配：英特尔酷睿i5 高性能 台式电脑整机(8G 256G 1T 2G独显)</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122</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通迅管理机</w:t>
            </w:r>
          </w:p>
        </w:tc>
        <w:tc>
          <w:tcPr>
            <w:tcW w:w="2811" w:type="dxa"/>
            <w:shd w:val="clear" w:color="auto" w:fill="auto"/>
            <w:vAlign w:val="center"/>
          </w:tcPr>
          <w:p>
            <w:pPr>
              <w:widowControl/>
              <w:jc w:val="center"/>
              <w:rPr>
                <w:rFonts w:ascii="宋体" w:hAnsi="宋体" w:cs="宋体"/>
                <w:kern w:val="0"/>
                <w:sz w:val="16"/>
                <w:szCs w:val="16"/>
              </w:rPr>
            </w:pP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6</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123</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电力仪表监控系统</w:t>
            </w:r>
          </w:p>
        </w:tc>
        <w:tc>
          <w:tcPr>
            <w:tcW w:w="2811" w:type="dxa"/>
            <w:shd w:val="clear" w:color="auto" w:fill="auto"/>
            <w:vAlign w:val="center"/>
          </w:tcPr>
          <w:p>
            <w:pPr>
              <w:widowControl/>
              <w:jc w:val="center"/>
              <w:rPr>
                <w:rFonts w:ascii="宋体" w:hAnsi="宋体" w:cs="宋体"/>
                <w:kern w:val="0"/>
                <w:sz w:val="16"/>
                <w:szCs w:val="16"/>
              </w:rPr>
            </w:pP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124</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数据采集箱（空）</w:t>
            </w:r>
          </w:p>
        </w:tc>
        <w:tc>
          <w:tcPr>
            <w:tcW w:w="2811" w:type="dxa"/>
            <w:shd w:val="clear" w:color="auto" w:fill="auto"/>
            <w:vAlign w:val="center"/>
          </w:tcPr>
          <w:p>
            <w:pPr>
              <w:widowControl/>
              <w:jc w:val="center"/>
              <w:rPr>
                <w:rFonts w:ascii="宋体" w:hAnsi="宋体" w:cs="宋体"/>
                <w:kern w:val="0"/>
                <w:sz w:val="16"/>
                <w:szCs w:val="16"/>
              </w:rPr>
            </w:pP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6</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125</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(TCP/IP)100MB以太网</w:t>
            </w:r>
          </w:p>
        </w:tc>
        <w:tc>
          <w:tcPr>
            <w:tcW w:w="2811" w:type="dxa"/>
            <w:shd w:val="clear" w:color="auto" w:fill="auto"/>
            <w:vAlign w:val="center"/>
          </w:tcPr>
          <w:p>
            <w:pPr>
              <w:widowControl/>
              <w:jc w:val="center"/>
              <w:rPr>
                <w:rFonts w:ascii="宋体" w:hAnsi="宋体" w:cs="宋体"/>
                <w:kern w:val="0"/>
                <w:sz w:val="16"/>
                <w:szCs w:val="16"/>
              </w:rPr>
            </w:pP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126</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台式电脑服务器</w:t>
            </w:r>
          </w:p>
        </w:tc>
        <w:tc>
          <w:tcPr>
            <w:tcW w:w="2811" w:type="dxa"/>
            <w:shd w:val="clear" w:color="auto" w:fill="auto"/>
            <w:vAlign w:val="center"/>
          </w:tcPr>
          <w:p>
            <w:pPr>
              <w:widowControl/>
              <w:jc w:val="center"/>
              <w:rPr>
                <w:rFonts w:ascii="宋体" w:hAnsi="宋体" w:cs="宋体"/>
                <w:kern w:val="0"/>
                <w:sz w:val="16"/>
                <w:szCs w:val="16"/>
              </w:rPr>
            </w:pP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127</w:t>
            </w:r>
          </w:p>
        </w:tc>
        <w:tc>
          <w:tcPr>
            <w:tcW w:w="2223" w:type="dxa"/>
            <w:shd w:val="clear" w:color="auto" w:fill="auto"/>
            <w:vAlign w:val="center"/>
          </w:tcPr>
          <w:p>
            <w:pPr>
              <w:widowControl/>
              <w:jc w:val="center"/>
              <w:rPr>
                <w:rFonts w:ascii="宋体" w:hAnsi="宋体" w:cs="宋体"/>
                <w:kern w:val="0"/>
                <w:sz w:val="16"/>
                <w:szCs w:val="16"/>
              </w:rPr>
            </w:pP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电线电缆</w:t>
            </w:r>
          </w:p>
        </w:tc>
        <w:tc>
          <w:tcPr>
            <w:tcW w:w="639" w:type="dxa"/>
            <w:shd w:val="clear" w:color="auto" w:fill="auto"/>
            <w:vAlign w:val="center"/>
          </w:tcPr>
          <w:p>
            <w:pPr>
              <w:widowControl/>
              <w:jc w:val="center"/>
              <w:rPr>
                <w:rFonts w:ascii="宋体" w:hAnsi="宋体" w:cs="宋体"/>
                <w:kern w:val="0"/>
                <w:sz w:val="16"/>
                <w:szCs w:val="16"/>
              </w:rPr>
            </w:pPr>
          </w:p>
        </w:tc>
        <w:tc>
          <w:tcPr>
            <w:tcW w:w="766" w:type="dxa"/>
            <w:shd w:val="clear" w:color="auto" w:fill="auto"/>
            <w:vAlign w:val="center"/>
          </w:tcPr>
          <w:p>
            <w:pPr>
              <w:widowControl/>
              <w:jc w:val="center"/>
              <w:rPr>
                <w:rFonts w:ascii="宋体" w:hAnsi="宋体" w:cs="宋体"/>
                <w:kern w:val="0"/>
                <w:sz w:val="16"/>
                <w:szCs w:val="16"/>
              </w:rPr>
            </w:pP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128</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BV 450/750V 1.5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129</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BV-1.0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130</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BV-16</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131</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BV-4</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132</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BV-6</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133</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BVR-35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134</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BVR-4</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135</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BVR-6</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3400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136</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BV-2.5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137</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N-BV 450/750V 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138</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N-BV 450/750V 4.0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139</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NH-RVS-2×1.5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140</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NH-RVS-2×2.5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141</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NH-RVS-6×1.5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2650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142</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NH-RVSP-2×1.0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143</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NH-RVSP-2×2.5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144</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NH-RVV-2×2.5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145</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N-RVS 300/300V 2×1.5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87100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146</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N-RVSP 300/300V 2×1.5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70800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147</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N-RVVP 300/300V 2×1.0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17400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148</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RVV 300/500V 2×1.0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149</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RVV 300/500V 6×1.0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RVV 300/500V 8×1.0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151</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RVV-2×4</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6500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152</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RVV-3×2.5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153</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RVVP-2×0.8</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154</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RVVP-2×1.0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155</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TJ-2.5～4</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4100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156</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TJ-35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157</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WDNH-BYJ-2.5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20600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158</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WDN-YJY-5×4</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159</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WDZB-BYJ 450/750V 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27508</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160</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WDZB-BYJ 450/750V 4.0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161</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WDZBN-BYJ 450/750V 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180000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162</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WDZBN-RVS-2×1.0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2800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163</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WDZBN-YJY 0.6/1KV 3×25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164</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WDZBN-YJY 0.6/1KV 3×25+2×16</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3666</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165</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WDZBN-YJY 0.6/1KV 3×35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166</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WDZBN-YJY 0.6/1KV 3×50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167</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WDZBN-YJY 0.6/1KV 4×16</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168</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WDZBN-YJY 0.6/1KV 4×2.5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2985</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169</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WDZBN-YJY 0.6/1KV 4×25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170</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WDZBN-YJY 0.6/1KV 4×35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171</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WDZBN-YJY 0.6/1KV 4×50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47</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172</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WDZBN-YJY 0.6/1KV 5×2.5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220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173</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WDZBN-YJY-3×16</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174</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WDZBN-YJY-4×6</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175</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176</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0.6/1KV 3×16</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177</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0.6/1KV 3×2.5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178</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0.6/1KV 3×240+2×120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508</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179</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0.6/1KV 3×25+2×16</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768</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180</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0.6/1KV 3×50+2×25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506</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181</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0.6/1KV 3×70+2×35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1485</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182</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0.6/1KV 3×95+2×50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183</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0.6/1KV 4×150+1×70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409</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184</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0.6/1KV 4×16</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262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185</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0.6/1KV 4×240+1×120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186</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0.6/1KV 4×25+1×16</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792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187</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0.6/1KV 4×35+1×16</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856</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188</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0.6/1KV 4×50+1×25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319</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189</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0.6/1KV 4×6</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190</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0.6/1KV 4×95+1×50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1865</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191</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0.6/1KV 5×10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1990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192</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0.6/1KV 5×16</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1817</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193</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0.6/1KV 5×2.5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418</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194</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0.6/1KV 5×4.0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291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195</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0.6/1KV 5×6.0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10463</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196</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WDZC-BYJ 450/750V 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38300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197</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WDZC-BYJ 450/750V 4.0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34400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198</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WDZC-BYJ 450/750V 5.0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199</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WDZC-BYJ 450/750V 6.0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200</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WDZCN-BV-2.5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201</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WDZCN-BYJ 450/750V 4.0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WDZCN-RVS-2×1.5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203</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WDZC-RVSP-2×1.5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204</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WDZC-YJY-3×70+2×35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466</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205</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WDZN-BYJ-1.5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206</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WDZN-BYJ-2.5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4300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207</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WDZN-BYJ-4</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208</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WDZN-RVSP-2×1</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209</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WDZN-RVV-2×1.5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210</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WDZN-RVVP-2×1.5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211</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WDZN-RVVP-2x1.5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212</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WDZN-YJY-5×2.5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213</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WDZN-YJY-5×4</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214</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WDZN-YJY-5×6</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215</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YJV-3×4</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5055</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216</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ZB-BYJ 450/750V 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217</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ZB-BYJ 450/750V 4.0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218</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ZBN-BYJ 450/750V 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219</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ZBN-YJY-4×240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35</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220</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ZBN-YJY-4×240+1×120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730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221</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ZB-YJY-3×25+5×16</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552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222</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ZB-YJY-4×2.5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2665</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223</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ZB-YJY-4×4</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98</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224</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ZB-YJY-5×10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170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225</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ZB-YJY-5×4</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1766</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226</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ZB-YJY-5×6</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271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227</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ZN-BV-1</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228</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ZN-RVS-2×1.0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229</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ZN-RVV-4×1.0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230</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ZRNH-RVS-2×1.5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231</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ZRNH-RVS-2×2.5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232</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ZR-RVS 2×1.5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233</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ZR-RVSP-2×1.5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234</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ZR-RVV-2×4</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235</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NBV 450/750V 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236</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ZCN-RVS 300/300V 2×1.5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237</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0.6/1KV 3×150+2×70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284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238</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WDZBN-YJY 0.6/1KV 3×16</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239</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0.6/1KV 3×185+2×95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1969</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240</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0.6/1KV 3×240+1×120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874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241</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WDZBN-YJY 0.6/1KV 3×25+1×16</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1582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242</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0.6/1KV 3×50+1×25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243</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8.7/15KV 3×95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282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244</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0.6/1KV 3×95+2×50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862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245</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N-KVV 450/750V 4×1.5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3800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246</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WDZBN-YJY 0.6/1KV 4×240+1×120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360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247</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0.6/1KV 4×25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1021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248</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0.6/1KV 4×70+1×35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303</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249</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0.6/1KV 5×16</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455</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250</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NG-A-3×25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251</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NG-A-5×10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252</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NG-A-5×16</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253</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NG-A-5×4</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115</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254</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VV--3×2.5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255</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NH-KVV-2×1.5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256</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GB-N-KVV-450/750V-6×1.5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29941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257</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NH-KVV-8×1.5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1011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258</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NKVV 450/750V 4×1.5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4208</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259</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ZR-KVV-7×1.5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1275</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260</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光纤</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四芯单模</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261</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双绞线缆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CAT6</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262</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双绞线缆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UTP-5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25000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263</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GB-N-BV-450/750V-1×1.5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264</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GB-N-RVS-300/300V-2×1.5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14000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265</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GB-N-RVVP-300/300V-2×1.5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2800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266</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矿物电缆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BTLY-4×25+1×16</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510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267</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矿物电缆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BTLY-5×10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422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268</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矿物电缆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BTLY-5×16</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269</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矿物电缆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BTLY-5×4</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335</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270</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矿物电缆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BTLY-5×6</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542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271</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矿物电缆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BTLY-4×185+1×95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232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272</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矿物电缆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BTLY-3×35+2×16</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46</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273</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矿物电缆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BTLY-3×35+1×16</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131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274</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矿物电缆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BTLY-3×95+2×50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113</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275</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矿物电缆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BTLY-3×95+2×50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276</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矿物电缆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BTLY-3×25+1×16</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129</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277</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矿物电缆</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BTLY-4×10</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37</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278</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N-KVV 450/75V 6×1.5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13298</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279</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VV22 0.6/1KV 4×2.5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159</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280</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WDZBN-YJY 0.6/1KV 3×25+2×16</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281</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0.6/1KV 3×4</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1188</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282</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WDZB-YJY 0.6/1KV 4×2.5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831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283</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WDZC-YJY 0.6/1KV 5×2.5</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284</w:t>
            </w:r>
          </w:p>
        </w:tc>
        <w:tc>
          <w:tcPr>
            <w:tcW w:w="222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电线</w:t>
            </w: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WDZC-YJY 0.6/1KV 5×4</w:t>
            </w:r>
          </w:p>
        </w:tc>
        <w:tc>
          <w:tcPr>
            <w:tcW w:w="63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85</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285</w:t>
            </w:r>
          </w:p>
        </w:tc>
        <w:tc>
          <w:tcPr>
            <w:tcW w:w="2223" w:type="dxa"/>
            <w:shd w:val="clear" w:color="auto" w:fill="auto"/>
            <w:vAlign w:val="center"/>
          </w:tcPr>
          <w:p>
            <w:pPr>
              <w:widowControl/>
              <w:jc w:val="center"/>
              <w:rPr>
                <w:rFonts w:ascii="宋体" w:hAnsi="宋体" w:cs="宋体"/>
                <w:kern w:val="0"/>
                <w:sz w:val="18"/>
                <w:szCs w:val="18"/>
              </w:rPr>
            </w:pPr>
          </w:p>
        </w:tc>
        <w:tc>
          <w:tcPr>
            <w:tcW w:w="281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配电部分</w:t>
            </w:r>
          </w:p>
        </w:tc>
        <w:tc>
          <w:tcPr>
            <w:tcW w:w="639" w:type="dxa"/>
            <w:shd w:val="clear" w:color="auto" w:fill="auto"/>
            <w:vAlign w:val="center"/>
          </w:tcPr>
          <w:p>
            <w:pPr>
              <w:widowControl/>
              <w:jc w:val="center"/>
              <w:rPr>
                <w:rFonts w:ascii="宋体" w:hAnsi="宋体" w:cs="宋体"/>
                <w:kern w:val="0"/>
                <w:sz w:val="18"/>
                <w:szCs w:val="18"/>
              </w:rPr>
            </w:pPr>
          </w:p>
        </w:tc>
        <w:tc>
          <w:tcPr>
            <w:tcW w:w="766" w:type="dxa"/>
            <w:shd w:val="clear" w:color="auto" w:fill="auto"/>
            <w:vAlign w:val="center"/>
          </w:tcPr>
          <w:p>
            <w:pPr>
              <w:widowControl/>
              <w:jc w:val="center"/>
              <w:rPr>
                <w:rFonts w:ascii="宋体" w:hAnsi="宋体" w:cs="宋体"/>
                <w:kern w:val="0"/>
                <w:sz w:val="18"/>
                <w:szCs w:val="18"/>
              </w:rPr>
            </w:pP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286</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照明箱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AX</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7</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287</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1AC1~4</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288</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1ACjsj1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289</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1ACp1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290</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1ACpsp1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291</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1AL</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292</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1AL1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293</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落地柜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1AL1-1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294</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1AL1a~1AL1f,2AL1a~2AL1h,3AL1a~3AL1h,4AL1a~4AL1h</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60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295</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1AL1g</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296</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1AL2</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297</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1ALE</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298</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1ALE1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299</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1ALE1、2</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300</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照明箱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1ALmt</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301</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照明箱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1ALst</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302</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照明箱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1ALzt</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303</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1AP1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304</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1AP1-1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305</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1APpyy</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306</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1APT1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307</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1APT1-1-4</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308</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1APT1-5-8</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309</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1AT1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310</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1ATbf</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311</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1ATpy</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312</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1PDE1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313</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1PDE2</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314</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2AL1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315</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2AL1 3AL1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316</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照明箱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2AL1/2AL2/2AL3</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317</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2ALE1,3ALE1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318</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2ALg1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319</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照明箱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2ALrd~8ALrd</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7</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320</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2APT1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321</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2PDE1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322</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2PDE2</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323</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照明箱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3AL1/3AL4</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324</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照明箱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3AL2</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325</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照明箱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3AL3</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326</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3ALg1~7ALg1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327</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落地柜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4AL1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328</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照明箱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4AL1/4AL2</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329</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照明箱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4AL3</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330</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4ALE1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331</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照明箱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5AL1/5AL2/5AL</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332</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照明箱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6ALx1~6ALx20</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333</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7AL1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334</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照明箱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7AL2</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335</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照明箱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7AL3</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336</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照明箱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8AL1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337</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照明箱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8AL2</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338</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照明箱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8AL3</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339</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8ALg1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340</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8ALzh</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341</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a1AL1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342</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a1ALE1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343</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a1AP1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344</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a1APcf</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345</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a1ATEbds</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346</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a1ATExk</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347</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a1ATg1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348</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a1ATjk</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349</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a1ATpsp</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350</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a1ATrd</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351</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a2AL1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352</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a2ALE1/a5ALE1/a6ALE1/a7ALE1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353</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a2AP1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354</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a3AL1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355</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a3ALE1/a4ALE1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356</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a3AP1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357</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a4AL1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358</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a4AP1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359</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a5AL1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360</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a5AP1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361</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a6AL1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362</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a6AP1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363</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a7AL1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364</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a7AP1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365</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a7ATA</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366</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a7ATkt</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367</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落地柜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a7ATzn</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368</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a8AL1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369</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a8ALE1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370</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a8AP1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371</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a8ATEpy1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372</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AAL</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373</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AALE</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374</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AATrf</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375</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照明箱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AAX</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376</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ALyj01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377</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落地柜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APE-SHB</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378</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落地柜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APE-XFB</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379</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Aptx</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380</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APZ1、APZ1.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381</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aRAPE1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382</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aRAPE2</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383</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不锈钢落地柜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aRAPkt1不锈钢 防护等级IP65</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384</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不锈钢落地柜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aRAPkt2不锈钢 防护等级IP65</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385</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不锈钢落地柜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aRAPkt3不锈钢 防护等级IP65</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386</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不锈钢落地柜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aRAPkt4不锈钢 防护等级IP65</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387</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aRAPrs</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388</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aRATdt1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389</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aRATdt2</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390</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aRATExt1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391</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aRATjz</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392</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AzAC</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393</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CDAL</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394</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CFAP1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395</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CFAP2</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396</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CFAP3</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397</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落地柜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DAMPE1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398</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落地柜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DAMPE2</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399</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落地柜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KTAP1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400</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QWB1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401</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QWB2</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402</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落地柜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RAL1-1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403</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落地柜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RAL1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404</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RAT1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405</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RAT2</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406</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RAT3</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407</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RAT4</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408</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RATEjy1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409</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RATEjy2</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410</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RATEpy1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411</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RATEpy2</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412</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RATEw</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413</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照明箱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RD1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414</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RD11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415</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RD12</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416</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落地柜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RDE1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417</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RDT1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418</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RFJE1、3</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419</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RFJE2、4</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420</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XFAC</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421</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XFE1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422</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馈电柜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LDAP1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423</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馈电柜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LDAP2</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424</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馈电柜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LDAP3</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425</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馈电柜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LDAP4</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426</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进线柜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LDAT1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427</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进线柜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LDAT2</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428</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进线柜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LDAT3</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429</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进线柜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LDAT4</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430</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照明配电箱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RD1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431</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1AP1-1，BPFJ，1APT1-1~4</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7</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432</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RD12 增补</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433</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照明配电箱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1AL1a~1AL1f,2AL1a~2AL1h,3AL1a~3AL1h,4AL1a~4AL1h，1AL1g</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59</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434</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RD11 增补</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435</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QWB1、QWB2潜水泵控制箱，1AP1-3，</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7</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436</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WDKT1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437</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1AL1，1AL2</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438</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动力柜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RAL1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439</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2AL1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440</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动力柜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1APT1-5,1APT1-6,1APT1-7,1APT1-8</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441</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RFJE1/RFJE3</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442</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RFJE2/RFJE4</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443</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2PDE1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444</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2PDE2</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445</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XFE1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446</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动力柜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DAMPE1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447</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动力柜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DAMPE2</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448</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XFE1-1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449</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1PDE1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450</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1ALE1，1ALE2</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451</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动力柜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2AL1,3AL1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452</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1APT1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453</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1PDE2</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454</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动力柜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1AL1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455</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动力柜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4AL1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456</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动力柜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RAT1-1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457</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2YB2</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458</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4ALE1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459</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动力柜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RAT3-1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460</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4ALE1-1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461</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2ALE1,3ALE1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462</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动力柜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RAT4-2</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463</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动力柜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RDE1-1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464</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1ALE1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465</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1AP1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466</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动力柜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RAT2-1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467</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动力柜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2APT1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468</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RDT1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469</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配电箱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RDT1-1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470</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动力柜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XFBAT</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471</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动力柜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KTAP1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472</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动力柜</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SPW</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473</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太阳能热水系统</w:t>
            </w:r>
          </w:p>
        </w:tc>
        <w:tc>
          <w:tcPr>
            <w:tcW w:w="2811" w:type="dxa"/>
            <w:shd w:val="clear" w:color="auto" w:fill="auto"/>
            <w:vAlign w:val="center"/>
          </w:tcPr>
          <w:p>
            <w:pPr>
              <w:widowControl/>
              <w:jc w:val="center"/>
              <w:rPr>
                <w:rFonts w:ascii="宋体" w:hAnsi="宋体" w:cs="宋体"/>
                <w:kern w:val="0"/>
                <w:sz w:val="16"/>
                <w:szCs w:val="16"/>
              </w:rPr>
            </w:pP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套</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13"/>
              </w:rPr>
            </w:pPr>
            <w:r>
              <w:rPr>
                <w:rFonts w:ascii="宋体" w:hAnsi="宋体" w:cs="宋体"/>
                <w:kern w:val="0"/>
                <w:sz w:val="13"/>
                <w:szCs w:val="16"/>
              </w:rPr>
              <w:t>含集热板</w:t>
            </w:r>
            <w:r>
              <w:rPr>
                <w:rFonts w:hint="eastAsia" w:ascii="宋体" w:hAnsi="宋体" w:cs="宋体"/>
                <w:kern w:val="0"/>
                <w:sz w:val="13"/>
                <w:szCs w:val="16"/>
              </w:rPr>
              <w:t>、电控柜、电加热器、水泵、水箱、调试等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474</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T接箱</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1进2出/1进1出</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16</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475</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风机控制箱</w:t>
            </w:r>
          </w:p>
        </w:tc>
        <w:tc>
          <w:tcPr>
            <w:tcW w:w="2811" w:type="dxa"/>
            <w:shd w:val="clear" w:color="auto" w:fill="auto"/>
            <w:vAlign w:val="center"/>
          </w:tcPr>
          <w:p>
            <w:pPr>
              <w:widowControl/>
              <w:jc w:val="center"/>
              <w:rPr>
                <w:rFonts w:ascii="宋体" w:hAnsi="宋体" w:cs="宋体"/>
                <w:kern w:val="0"/>
                <w:sz w:val="16"/>
                <w:szCs w:val="16"/>
              </w:rPr>
            </w:pP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166</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476</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插接式母线始端箱</w:t>
            </w:r>
          </w:p>
        </w:tc>
        <w:tc>
          <w:tcPr>
            <w:tcW w:w="2811" w:type="dxa"/>
            <w:shd w:val="clear" w:color="auto" w:fill="auto"/>
            <w:vAlign w:val="center"/>
          </w:tcPr>
          <w:p>
            <w:pPr>
              <w:widowControl/>
              <w:jc w:val="center"/>
              <w:rPr>
                <w:rFonts w:ascii="宋体" w:hAnsi="宋体" w:cs="宋体"/>
                <w:kern w:val="0"/>
                <w:sz w:val="16"/>
                <w:szCs w:val="16"/>
              </w:rPr>
            </w:pP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477</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防火卷帘门控制箱</w:t>
            </w:r>
          </w:p>
        </w:tc>
        <w:tc>
          <w:tcPr>
            <w:tcW w:w="2811" w:type="dxa"/>
            <w:shd w:val="clear" w:color="auto" w:fill="auto"/>
            <w:vAlign w:val="center"/>
          </w:tcPr>
          <w:p>
            <w:pPr>
              <w:widowControl/>
              <w:jc w:val="center"/>
              <w:rPr>
                <w:rFonts w:ascii="宋体" w:hAnsi="宋体" w:cs="宋体"/>
                <w:kern w:val="0"/>
                <w:sz w:val="16"/>
                <w:szCs w:val="16"/>
              </w:rPr>
            </w:pP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478</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防火门监控主机</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ZT-MB256</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479</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防火门监控区域分机</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ZT-MF</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480</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门磁开关(双门)</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ZT-CK</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120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481</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门磁磁铁</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ZT-C</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164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482</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消防设备电源状态监控器</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ZT-DB256</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483</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消防电源监控区域中继</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ZT-ZJ</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484</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电压信号传感器</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ZTU-P2</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485</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电气火灾监控设备</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ZT300-256</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486</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区域中继</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ZT-ZJ</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487</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组合式电气火灾监控探测器</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ZT701-1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74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488</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剩余电流互感器</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ZT-R1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42</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489</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剩余电流互感器</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ZT-R2</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490</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剩余电流互感器</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ZT-R4</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8</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491</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温度探头</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ZT-CWF-1</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74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492</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电气火灾监控系统主机</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HRT300-MA</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6</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493</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监控单元</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监控单元剩余电流式+测温式电气火灾监控探测器WEFPT-×ZGI</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87</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494</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电气火灾监视器</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WEFPJ-8C 300mA</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35</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495</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防火门门监控器</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LL2032</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60</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496</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防火门门监控器</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SDFM-EDC</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44</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497</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出入口执行机构设备</w:t>
            </w:r>
          </w:p>
        </w:tc>
        <w:tc>
          <w:tcPr>
            <w:tcW w:w="2811"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(双开常闭防火门SDFM-BM2自动闭门器)</w:t>
            </w: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台</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43</w:t>
            </w:r>
          </w:p>
        </w:tc>
        <w:tc>
          <w:tcPr>
            <w:tcW w:w="1150" w:type="dxa"/>
            <w:shd w:val="clear" w:color="auto" w:fill="auto"/>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5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498</w:t>
            </w:r>
          </w:p>
        </w:tc>
        <w:tc>
          <w:tcPr>
            <w:tcW w:w="2223"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电气火灾监控模块</w:t>
            </w:r>
          </w:p>
        </w:tc>
        <w:tc>
          <w:tcPr>
            <w:tcW w:w="2811" w:type="dxa"/>
            <w:shd w:val="clear" w:color="auto" w:fill="auto"/>
            <w:vAlign w:val="center"/>
          </w:tcPr>
          <w:p>
            <w:pPr>
              <w:widowControl/>
              <w:jc w:val="center"/>
              <w:rPr>
                <w:rFonts w:ascii="宋体" w:hAnsi="宋体" w:cs="宋体"/>
                <w:kern w:val="0"/>
                <w:sz w:val="16"/>
                <w:szCs w:val="16"/>
              </w:rPr>
            </w:pPr>
          </w:p>
        </w:tc>
        <w:tc>
          <w:tcPr>
            <w:tcW w:w="639"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个</w:t>
            </w:r>
          </w:p>
        </w:tc>
        <w:tc>
          <w:tcPr>
            <w:tcW w:w="766" w:type="dxa"/>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8</w:t>
            </w:r>
          </w:p>
        </w:tc>
        <w:tc>
          <w:tcPr>
            <w:tcW w:w="1150" w:type="dxa"/>
            <w:shd w:val="clear" w:color="auto" w:fill="auto"/>
            <w:vAlign w:val="center"/>
          </w:tcPr>
          <w:p>
            <w:pPr>
              <w:widowControl/>
              <w:jc w:val="center"/>
              <w:rPr>
                <w:rFonts w:ascii="宋体" w:hAnsi="宋体" w:cs="宋体"/>
                <w:kern w:val="0"/>
                <w:sz w:val="24"/>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8BA26"/>
    <w:multiLevelType w:val="singleLevel"/>
    <w:tmpl w:val="5588BA2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6D"/>
    <w:rsid w:val="006A55F7"/>
    <w:rsid w:val="006E486D"/>
    <w:rsid w:val="009B2081"/>
    <w:rsid w:val="00B34965"/>
    <w:rsid w:val="00B83260"/>
    <w:rsid w:val="00EE00DE"/>
    <w:rsid w:val="321631B5"/>
    <w:rsid w:val="4AD92B54"/>
    <w:rsid w:val="712D7960"/>
    <w:rsid w:val="7BB14949"/>
    <w:rsid w:val="7EB23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unhideWhenUsed/>
    <w:uiPriority w:val="99"/>
    <w:rPr>
      <w:rFonts w:ascii="宋体" w:hAnsi="Courier New"/>
      <w:kern w:val="0"/>
      <w:szCs w:val="20"/>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paragraph" w:customStyle="1" w:styleId="9">
    <w:name w:val="样式 样式 仿宋_GB2312 小四 加粗 段前: 7.8 磅 段后: 7.8 磅 行距: 固定值 18 磅 + 左侧:  0 ..."/>
    <w:basedOn w:val="2"/>
    <w:qFormat/>
    <w:uiPriority w:val="0"/>
    <w:pPr>
      <w:numPr>
        <w:ilvl w:val="1"/>
        <w:numId w:val="1"/>
      </w:numPr>
      <w:tabs>
        <w:tab w:val="left" w:pos="804"/>
      </w:tabs>
      <w:spacing w:before="156" w:beforeLines="50" w:after="156" w:afterLines="50"/>
      <w:ind w:left="805" w:hanging="805"/>
    </w:pPr>
    <w:rPr>
      <w:rFonts w:ascii="Arial" w:hAnsi="Arial" w:eastAsia="黑体" w:cs="Times New Roman"/>
      <w:sz w:val="24"/>
    </w:rPr>
  </w:style>
  <w:style w:type="character" w:customStyle="1" w:styleId="10">
    <w:name w:val="标题 2 Char"/>
    <w:basedOn w:val="7"/>
    <w:link w:val="2"/>
    <w:semiHidden/>
    <w:qFormat/>
    <w:uiPriority w:val="9"/>
    <w:rPr>
      <w:rFonts w:asciiTheme="majorHAnsi" w:hAnsiTheme="majorHAnsi" w:eastAsiaTheme="majorEastAsia" w:cstheme="majorBidi"/>
      <w:b/>
      <w:bCs/>
      <w:sz w:val="32"/>
      <w:szCs w:val="32"/>
    </w:rPr>
  </w:style>
  <w:style w:type="character" w:customStyle="1" w:styleId="11">
    <w:name w:val="页眉 Char"/>
    <w:basedOn w:val="7"/>
    <w:link w:val="5"/>
    <w:qFormat/>
    <w:uiPriority w:val="99"/>
    <w:rPr>
      <w:rFonts w:ascii="Times New Roman" w:hAnsi="Times New Roman" w:eastAsia="宋体" w:cs="Times New Roman"/>
      <w:kern w:val="2"/>
      <w:sz w:val="18"/>
      <w:szCs w:val="18"/>
    </w:rPr>
  </w:style>
  <w:style w:type="character" w:customStyle="1" w:styleId="12">
    <w:name w:val="页脚 Char"/>
    <w:basedOn w:val="7"/>
    <w:link w:val="4"/>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2465</Words>
  <Characters>14052</Characters>
  <Lines>117</Lines>
  <Paragraphs>32</Paragraphs>
  <ScaleCrop>false</ScaleCrop>
  <LinksUpToDate>false</LinksUpToDate>
  <CharactersWithSpaces>16485</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2020-06-05T03:13:00Z</dcterms:created>
  <dc:creator>吴 鸽</dc:creator>
  <cp:lastModifiedBy>吴永峰</cp:lastModifiedBy>
  <dcterms:modified xsi:type="dcterms:W3CDTF">2020-06-11T06:45:21Z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