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exact"/>
        <w:ind w:firstLine="3687" w:firstLineChars="1151"/>
        <w:outlineLvl w:val="2"/>
        <w:rPr>
          <w:rFonts w:ascii="华文中宋" w:hAnsi="华文中宋" w:eastAsia="华文中宋"/>
          <w:b/>
          <w:bCs/>
          <w:kern w:val="44"/>
          <w:sz w:val="32"/>
          <w:szCs w:val="32"/>
        </w:rPr>
      </w:pPr>
      <w:bookmarkStart w:id="0" w:name="_Toc2826"/>
      <w:bookmarkStart w:id="1" w:name="_Toc27430"/>
      <w:bookmarkStart w:id="2" w:name="_Toc7298"/>
      <w:r>
        <w:rPr>
          <w:rFonts w:hint="eastAsia" w:ascii="华文中宋" w:hAnsi="华文中宋" w:eastAsia="华文中宋"/>
          <w:b/>
          <w:bCs/>
          <w:kern w:val="44"/>
          <w:sz w:val="32"/>
          <w:szCs w:val="32"/>
        </w:rPr>
        <w:t>一、</w:t>
      </w:r>
      <w:bookmarkEnd w:id="0"/>
      <w:bookmarkEnd w:id="1"/>
      <w:bookmarkEnd w:id="2"/>
      <w:r>
        <w:rPr>
          <w:rFonts w:hint="eastAsia" w:ascii="华文中宋" w:hAnsi="华文中宋" w:eastAsia="华文中宋"/>
          <w:b/>
          <w:bCs/>
          <w:kern w:val="44"/>
          <w:sz w:val="32"/>
          <w:szCs w:val="32"/>
          <w:lang w:eastAsia="zh-CN"/>
        </w:rPr>
        <w:t>招标公告</w:t>
      </w:r>
    </w:p>
    <w:p>
      <w:pPr>
        <w:tabs>
          <w:tab w:val="left" w:pos="992"/>
        </w:tabs>
        <w:wordWrap w:val="0"/>
        <w:ind w:right="720"/>
        <w:jc w:val="right"/>
        <w:rPr>
          <w:rFonts w:ascii="仿宋_GB2312"/>
          <w:sz w:val="24"/>
        </w:rPr>
      </w:pPr>
      <w:r>
        <w:rPr>
          <w:rFonts w:hint="eastAsia" w:ascii="仿宋_GB2312"/>
          <w:sz w:val="24"/>
        </w:rPr>
        <w:t xml:space="preserve">   No.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u w:val="single" w:color="auto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24"/>
        </w:rPr>
        <w:t>公司：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我公司拟针对以下采购项目组织采购，现邀请贵公司作为投标人进行投标报价。具体采购事项如下： </w:t>
      </w:r>
    </w:p>
    <w:tbl>
      <w:tblPr>
        <w:tblStyle w:val="2"/>
        <w:tblW w:w="920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785"/>
        <w:gridCol w:w="66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6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</w:t>
            </w:r>
          </w:p>
        </w:tc>
        <w:tc>
          <w:tcPr>
            <w:tcW w:w="6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招标编号</w:t>
            </w:r>
          </w:p>
        </w:tc>
        <w:tc>
          <w:tcPr>
            <w:tcW w:w="6654" w:type="dxa"/>
            <w:shd w:val="clear" w:color="auto" w:fill="auto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60" w:lineRule="auto"/>
              <w:ind w:leftChars="0"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cscec20061101074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 标 方</w:t>
            </w:r>
          </w:p>
        </w:tc>
        <w:tc>
          <w:tcPr>
            <w:tcW w:w="6654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6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中建海峡建设发展有限公司机电安装工程公司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招标方式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lang w:eastAsia="zh-CN"/>
              </w:rPr>
              <w:t>公开招标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招标内容</w:t>
            </w:r>
          </w:p>
        </w:tc>
        <w:tc>
          <w:tcPr>
            <w:tcW w:w="665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物资名称、品牌、规格型号、数量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beforeLines="0" w:after="0" w:afterLines="0" w:line="36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货物名称：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室外管材、电线电缆、空调设备、消防设备及部件、泳池系统设备及部件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规格型号、数量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详见清单 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供货周期以购货通知书为准。</w:t>
            </w:r>
          </w:p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before="0" w:after="0" w:line="36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结算及支付：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自合同签订之日乙方开始备货, 乙方根据甲方要求时间供货，每批供货以供货通知书为准，甲方现场验收计量，乙方每月25日凭甲方开具的收料单与甲方办理当月“中间结算”，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带需方收到建设单位进度款后，次月支付已对账货款的80%，竣工验收调试完成后付至已对账货款的95%，剩余的5%待维保期结束后15日一次结清（维保期2年）。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支付方式：（1）甲方采用银行转账或银行承兑汇票方式支付货款。（2）国内信用证付款，甲方如以六个月或十二个月以内的信用证方式支付货款，其产生的相关手续费及利息等由甲方承担。</w:t>
            </w:r>
          </w:p>
          <w:p>
            <w:pPr>
              <w:widowControl w:val="0"/>
              <w:wordWrap/>
              <w:adjustRightInd/>
              <w:snapToGrid/>
              <w:spacing w:before="0" w:after="0" w:line="36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4、每批次货款支付前，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供方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必须向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需方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出具等额合法有效且与实际供货内容一致的材料增值税专用发票，否则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需方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有权拒绝结清货款。</w:t>
            </w:r>
          </w:p>
          <w:p>
            <w:pPr>
              <w:widowControl w:val="0"/>
              <w:wordWrap/>
              <w:adjustRightInd/>
              <w:snapToGrid/>
              <w:spacing w:before="0" w:after="0" w:line="36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报价应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val="en-US" w:eastAsia="zh-CN"/>
              </w:rPr>
              <w:t>含材料费、辅材、装车/卸车费、管理费、利润、13%增值税专用发票税率及完成交付使用所需的一切费用。</w:t>
            </w:r>
          </w:p>
          <w:p>
            <w:pPr>
              <w:widowControl w:val="0"/>
              <w:wordWrap/>
              <w:adjustRightInd/>
              <w:snapToGrid/>
              <w:spacing w:before="0" w:after="0" w:line="36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val="en-US" w:eastAsia="zh-CN"/>
              </w:rPr>
              <w:t>6、技术质量要求：进场的物资必须符合国家标准和行业标准及甲方提出的要求，所提供材料必须严格按照合同清单要求，如发生质量问题，乙方包退、包换，确保进场材料质量合格率100%，并须在材料进场的同时提供材料的质量检验部门的产品材质证明书（甲方有权对所采购的材料进行进一步检测），且材质证明书内容要和现场进料单及标牌所标明内容相对应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8、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投标保证金壹万元，以转账形式交纳至招标单位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9、供应商要求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9.1、为中建海峡建设发展有限公司合格名录内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9.3、厂家或经销商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9.3、品牌要求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钢塑复合管：钢塑复合管：银泽、友发、辉源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内肋增强管、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PP-R给水管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、波纹管、PVC电线管：集友、亚通、晟扬</w:t>
            </w:r>
            <w:r>
              <w:rPr>
                <w:rFonts w:hint="eastAsia" w:ascii="仿宋" w:hAnsi="仿宋" w:eastAsia="仿宋" w:cs="仿宋"/>
                <w:color w:val="C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球墨铸铁管：新兴铸管、山西泫氏铸管、佳宇铸管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电线电缆：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南平太阳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南平朝日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南平三红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空调设备：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欧科、开利、特灵   消防报警设备：北京利达、海湾GST、泰和安    通泳池过滤循环泵（铸铁泵）、泳池过滤砂缸（玻璃纤维）：浦力德、安浦、意万仕    加药、消毒系统、水质监控仪： 西科、蓝白、普罗名特   空气源热泵加热循环泵：开利、凯泉、南方泵业   空气源热泵(泳池专用)、模块风冷式冷热水机组(三用机)、三集一体除湿机：安浦、沃姆、西格玛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除湿热泵循环泵：浦力德、安浦、意万仕   通风设备及部件：鑫越、长远、占峰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柴油发电机：神州万达、中锐、凯捷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报名开始时间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06月11日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:00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报名截止时间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06月15</w:t>
            </w:r>
            <w:bookmarkStart w:id="3" w:name="_GoBack"/>
            <w:bookmarkEnd w:id="3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:00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联系地址/邮编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福州市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val="en-US" w:eastAsia="zh-CN"/>
              </w:rPr>
              <w:t>马尾区儒江西路60号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 xml:space="preserve">   邮编：350000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lang w:eastAsia="zh-CN"/>
              </w:rPr>
              <w:t>廖亚莎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lang w:val="en-US" w:eastAsia="zh-CN"/>
              </w:rPr>
              <w:t>18559158943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FCE8A"/>
    <w:multiLevelType w:val="singleLevel"/>
    <w:tmpl w:val="5B0FCE8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40040"/>
    <w:rsid w:val="098E7DB1"/>
    <w:rsid w:val="0EBB20C2"/>
    <w:rsid w:val="0F257C2C"/>
    <w:rsid w:val="11C20290"/>
    <w:rsid w:val="184277CE"/>
    <w:rsid w:val="28DA18FA"/>
    <w:rsid w:val="29181FA4"/>
    <w:rsid w:val="316A0F14"/>
    <w:rsid w:val="318E5803"/>
    <w:rsid w:val="357C7B7C"/>
    <w:rsid w:val="390F2FD7"/>
    <w:rsid w:val="39F82FEB"/>
    <w:rsid w:val="44CE7075"/>
    <w:rsid w:val="493A7380"/>
    <w:rsid w:val="4D1A7F8E"/>
    <w:rsid w:val="65ED77A7"/>
    <w:rsid w:val="67647E7C"/>
    <w:rsid w:val="6D120AEC"/>
    <w:rsid w:val="7BC40810"/>
    <w:rsid w:val="7FB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7AB7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0000FF"/>
      <w:u w:val="single"/>
    </w:rPr>
  </w:style>
  <w:style w:type="character" w:styleId="8">
    <w:name w:val="HTML Code"/>
    <w:basedOn w:val="3"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9">
    <w:name w:val="HTML Keyboard"/>
    <w:basedOn w:val="3"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0">
    <w:name w:val="HTML Sample"/>
    <w:basedOn w:val="3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1">
    <w:name w:val="input-group-addon14"/>
    <w:basedOn w:val="3"/>
    <w:uiPriority w:val="0"/>
  </w:style>
  <w:style w:type="character" w:customStyle="1" w:styleId="12">
    <w:name w:val="active4"/>
    <w:basedOn w:val="3"/>
    <w:uiPriority w:val="0"/>
    <w:rPr>
      <w:color w:val="FFFFFF"/>
      <w:shd w:val="clear" w:fill="2DC3E8"/>
    </w:rPr>
  </w:style>
  <w:style w:type="character" w:customStyle="1" w:styleId="13">
    <w:name w:val="kb"/>
    <w:basedOn w:val="3"/>
    <w:uiPriority w:val="0"/>
  </w:style>
  <w:style w:type="character" w:customStyle="1" w:styleId="14">
    <w:name w:val="oper"/>
    <w:basedOn w:val="3"/>
    <w:uiPriority w:val="0"/>
    <w:rPr>
      <w:color w:val="5683AD"/>
    </w:rPr>
  </w:style>
  <w:style w:type="character" w:customStyle="1" w:styleId="15">
    <w:name w:val="hover17"/>
    <w:basedOn w:val="3"/>
    <w:uiPriority w:val="0"/>
    <w:rPr>
      <w:shd w:val="clear" w:fill="EEEEEE"/>
    </w:rPr>
  </w:style>
  <w:style w:type="character" w:customStyle="1" w:styleId="16">
    <w:name w:val="hover18"/>
    <w:basedOn w:val="3"/>
    <w:uiPriority w:val="0"/>
    <w:rPr>
      <w:color w:val="64BDFD"/>
    </w:rPr>
  </w:style>
  <w:style w:type="character" w:customStyle="1" w:styleId="17">
    <w:name w:val="hover19"/>
    <w:basedOn w:val="3"/>
    <w:uiPriority w:val="0"/>
    <w:rPr>
      <w:color w:val="000000"/>
    </w:rPr>
  </w:style>
  <w:style w:type="character" w:customStyle="1" w:styleId="18">
    <w:name w:val="old"/>
    <w:basedOn w:val="3"/>
    <w:uiPriority w:val="0"/>
    <w:rPr>
      <w:color w:val="999999"/>
    </w:rPr>
  </w:style>
  <w:style w:type="character" w:customStyle="1" w:styleId="19">
    <w:name w:val="edui-clickable"/>
    <w:basedOn w:val="3"/>
    <w:uiPriority w:val="0"/>
    <w:rPr>
      <w:color w:val="0000FF"/>
      <w:u w:val="single"/>
    </w:rPr>
  </w:style>
  <w:style w:type="character" w:customStyle="1" w:styleId="20">
    <w:name w:val="select-info"/>
    <w:basedOn w:val="3"/>
    <w:uiPriority w:val="0"/>
  </w:style>
  <w:style w:type="character" w:customStyle="1" w:styleId="21">
    <w:name w:val="edui-unclickable"/>
    <w:basedOn w:val="3"/>
    <w:uiPriority w:val="0"/>
    <w:rPr>
      <w:color w:val="808080"/>
    </w:rPr>
  </w:style>
  <w:style w:type="character" w:customStyle="1" w:styleId="22">
    <w:name w:val="input-icon"/>
    <w:basedOn w:val="3"/>
    <w:uiPriority w:val="0"/>
  </w:style>
  <w:style w:type="character" w:customStyle="1" w:styleId="23">
    <w:name w:val="input-icon1"/>
    <w:basedOn w:val="3"/>
    <w:uiPriority w:val="0"/>
  </w:style>
  <w:style w:type="character" w:customStyle="1" w:styleId="24">
    <w:name w:val="close16"/>
    <w:basedOn w:val="3"/>
    <w:uiPriority w:val="0"/>
  </w:style>
  <w:style w:type="character" w:customStyle="1" w:styleId="25">
    <w:name w:val="select-item"/>
    <w:basedOn w:val="3"/>
    <w:uiPriority w:val="0"/>
  </w:style>
  <w:style w:type="character" w:customStyle="1" w:styleId="26">
    <w:name w:val="colvis_radio"/>
    <w:basedOn w:val="3"/>
    <w:uiPriority w:val="0"/>
  </w:style>
  <w:style w:type="character" w:customStyle="1" w:styleId="27">
    <w:name w:val="selected"/>
    <w:basedOn w:val="3"/>
    <w:uiPriority w:val="0"/>
    <w:rPr>
      <w:color w:val="FFFFFF"/>
      <w:shd w:val="clear" w:fill="37ADE7"/>
    </w:rPr>
  </w:style>
  <w:style w:type="character" w:customStyle="1" w:styleId="28">
    <w:name w:val="step-tag"/>
    <w:basedOn w:val="3"/>
    <w:uiPriority w:val="0"/>
    <w:rPr>
      <w:color w:val="FFFFFF"/>
    </w:rPr>
  </w:style>
  <w:style w:type="character" w:customStyle="1" w:styleId="29">
    <w:name w:val="nondata"/>
    <w:basedOn w:val="3"/>
    <w:uiPriority w:val="0"/>
  </w:style>
  <w:style w:type="character" w:customStyle="1" w:styleId="30">
    <w:name w:val="pb"/>
    <w:basedOn w:val="3"/>
    <w:uiPriority w:val="0"/>
  </w:style>
  <w:style w:type="character" w:customStyle="1" w:styleId="31">
    <w:name w:val="db2"/>
    <w:basedOn w:val="3"/>
    <w:uiPriority w:val="0"/>
  </w:style>
  <w:style w:type="character" w:customStyle="1" w:styleId="32">
    <w:name w:val="layui-layer-tabnow"/>
    <w:basedOn w:val="3"/>
    <w:uiPriority w:val="0"/>
    <w:rPr>
      <w:bdr w:val="single" w:color="CCCCCC" w:sz="6" w:space="0"/>
      <w:shd w:val="clear" w:fill="FFFFFF"/>
    </w:rPr>
  </w:style>
  <w:style w:type="character" w:customStyle="1" w:styleId="33">
    <w:name w:val="first-child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790791</cp:lastModifiedBy>
  <cp:lastPrinted>2019-10-23T04:32:00Z</cp:lastPrinted>
  <dcterms:modified xsi:type="dcterms:W3CDTF">2020-06-11T07:32:45Z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