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exact"/>
        <w:ind w:firstLine="3203" w:firstLineChars="1000"/>
        <w:outlineLvl w:val="2"/>
        <w:rPr>
          <w:rFonts w:ascii="华文中宋" w:hAnsi="华文中宋" w:eastAsia="华文中宋"/>
          <w:b/>
          <w:bCs/>
          <w:kern w:val="44"/>
          <w:sz w:val="32"/>
          <w:szCs w:val="32"/>
        </w:rPr>
      </w:pPr>
      <w:bookmarkStart w:id="0" w:name="_Toc27003"/>
      <w:bookmarkStart w:id="1" w:name="_Toc3482_WPSOffice_Level1"/>
      <w:bookmarkStart w:id="2" w:name="_Toc9134_WPSOffice_Level1"/>
      <w:r>
        <w:rPr>
          <w:rFonts w:hint="eastAsia" w:ascii="华文中宋" w:hAnsi="华文中宋" w:eastAsia="华文中宋"/>
          <w:b/>
          <w:bCs/>
          <w:kern w:val="44"/>
          <w:sz w:val="32"/>
          <w:szCs w:val="32"/>
        </w:rPr>
        <w:t>一、招标公告</w:t>
      </w:r>
      <w:bookmarkEnd w:id="0"/>
      <w:bookmarkEnd w:id="1"/>
      <w:bookmarkEnd w:id="2"/>
    </w:p>
    <w:p>
      <w:pPr>
        <w:tabs>
          <w:tab w:val="left" w:pos="992"/>
        </w:tabs>
        <w:wordWrap w:val="0"/>
        <w:jc w:val="right"/>
        <w:rPr>
          <w:rFonts w:ascii="仿宋_GB2312"/>
          <w:sz w:val="24"/>
        </w:rPr>
      </w:pPr>
      <w:r>
        <w:rPr>
          <w:rFonts w:hint="eastAsia" w:ascii="仿宋_GB2312"/>
          <w:sz w:val="24"/>
        </w:rPr>
        <w:t>No.</w:t>
      </w:r>
      <w:r>
        <w:rPr>
          <w:rFonts w:hint="eastAsia" w:ascii="仿宋_GB2312"/>
          <w:sz w:val="24"/>
          <w:u w:val="single"/>
        </w:rPr>
        <w:t xml:space="preserve">           </w:t>
      </w:r>
    </w:p>
    <w:p>
      <w:pPr>
        <w:tabs>
          <w:tab w:val="left" w:pos="900"/>
        </w:tabs>
        <w:spacing w:before="156" w:beforeLines="50" w:after="156" w:afterLines="50" w:line="360" w:lineRule="exact"/>
        <w:rPr>
          <w:rFonts w:ascii="仿宋_GB2312" w:hAnsi="仿宋_GB2312" w:eastAsia="仿宋_GB2312" w:cs="仿宋_GB2312"/>
          <w:bCs/>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公司：</w:t>
      </w:r>
    </w:p>
    <w:p>
      <w:pPr>
        <w:pStyle w:val="9"/>
        <w:numPr>
          <w:ilvl w:val="0"/>
          <w:numId w:val="0"/>
        </w:numPr>
        <w:tabs>
          <w:tab w:val="left" w:pos="0"/>
          <w:tab w:val="clear" w:pos="804"/>
        </w:tabs>
        <w:spacing w:before="0" w:beforeLines="0" w:after="0" w:afterLines="0" w:line="360" w:lineRule="auto"/>
        <w:rPr>
          <w:rFonts w:ascii="仿宋_GB2312" w:hAnsi="仿宋_GB2312" w:eastAsia="仿宋_GB2312" w:cs="仿宋_GB2312"/>
          <w:szCs w:val="24"/>
        </w:rPr>
      </w:pPr>
      <w:r>
        <w:rPr>
          <w:rFonts w:hint="eastAsia" w:ascii="仿宋_GB2312" w:hAnsi="仿宋_GB2312" w:eastAsia="仿宋_GB2312" w:cs="仿宋_GB2312"/>
          <w:b w:val="0"/>
          <w:szCs w:val="24"/>
        </w:rPr>
        <w:t xml:space="preserve">    我公司拟针对承建 妈祖健康城康养及配套服务设施项目（一期）工程总承包（EPC）项目机电安装工程</w:t>
      </w:r>
      <w:r>
        <w:rPr>
          <w:rFonts w:hint="eastAsia" w:ascii="仿宋_GB2312" w:hAnsi="仿宋_GB2312" w:eastAsia="仿宋_GB2312" w:cs="仿宋_GB2312"/>
          <w:b w:val="0"/>
          <w:szCs w:val="24"/>
          <w:lang w:val="en-US" w:eastAsia="zh-CN"/>
        </w:rPr>
        <w:t>空调设备、电线电缆、柴油发电机 、配电箱、消防系统设备、智能化系统设备等</w:t>
      </w:r>
      <w:r>
        <w:rPr>
          <w:rFonts w:hint="eastAsia" w:ascii="仿宋_GB2312" w:hAnsi="仿宋_GB2312" w:eastAsia="仿宋_GB2312" w:cs="仿宋_GB2312"/>
          <w:b w:val="0"/>
          <w:szCs w:val="24"/>
        </w:rPr>
        <w:t xml:space="preserve">材料 进行招标，诚邀符合资格要求、能提供优质服务的国内供应商参加投标，具体事项如下： </w:t>
      </w:r>
    </w:p>
    <w:tbl>
      <w:tblPr>
        <w:tblStyle w:val="8"/>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857"/>
        <w:gridCol w:w="69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9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招标编号</w:t>
            </w:r>
          </w:p>
        </w:tc>
        <w:tc>
          <w:tcPr>
            <w:tcW w:w="6923" w:type="dxa"/>
            <w:vAlign w:val="center"/>
          </w:tcPr>
          <w:p>
            <w:pPr>
              <w:widowControl/>
              <w:jc w:val="left"/>
              <w:rPr>
                <w:rFonts w:ascii="仿宋_GB2312" w:hAnsi="仿宋_GB2312" w:eastAsia="仿宋_GB2312" w:cs="仿宋_GB2312"/>
                <w:sz w:val="24"/>
              </w:rPr>
            </w:pPr>
            <w:r>
              <w:rPr>
                <w:rFonts w:hint="eastAsia" w:ascii="仿宋" w:hAnsi="仿宋" w:eastAsia="仿宋" w:cs="仿宋"/>
                <w:sz w:val="24"/>
                <w:lang w:val="en-US" w:eastAsia="zh-CN"/>
              </w:rPr>
              <w:t xml:space="preserve"> </w:t>
            </w:r>
            <w:r>
              <w:rPr>
                <w:rFonts w:hint="eastAsia" w:ascii="仿宋" w:hAnsi="仿宋" w:eastAsia="仿宋" w:cs="仿宋"/>
                <w:sz w:val="24"/>
              </w:rPr>
              <w:fldChar w:fldCharType="begin"/>
            </w:r>
            <w:r>
              <w:rPr>
                <w:rFonts w:hint="eastAsia" w:ascii="仿宋" w:hAnsi="仿宋" w:eastAsia="仿宋" w:cs="仿宋"/>
                <w:sz w:val="24"/>
              </w:rPr>
              <w:instrText xml:space="preserve"> HYPERLINK "https://jc.yzw.cn/TenderMgt/tender/Detail?SysNo=1776409" \t "https://jc.yzw.cn/tendermgt/tender/_blank" </w:instrText>
            </w:r>
            <w:r>
              <w:rPr>
                <w:rFonts w:hint="eastAsia" w:ascii="仿宋" w:hAnsi="仿宋" w:eastAsia="仿宋" w:cs="仿宋"/>
                <w:sz w:val="24"/>
              </w:rPr>
              <w:fldChar w:fldCharType="separate"/>
            </w:r>
            <w:r>
              <w:rPr>
                <w:rFonts w:hint="eastAsia" w:ascii="仿宋" w:hAnsi="仿宋" w:eastAsia="仿宋" w:cs="仿宋"/>
                <w:sz w:val="24"/>
              </w:rPr>
              <w:t>cscec20060600047</w:t>
            </w:r>
            <w:r>
              <w:rPr>
                <w:rFonts w:hint="eastAsia" w:ascii="仿宋" w:hAnsi="仿宋" w:eastAsia="仿宋" w:cs="仿宋"/>
                <w:sz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招标单位</w:t>
            </w:r>
          </w:p>
        </w:tc>
        <w:tc>
          <w:tcPr>
            <w:tcW w:w="6923"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中建海峡建设发展有限公司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招标方式</w:t>
            </w:r>
          </w:p>
        </w:tc>
        <w:tc>
          <w:tcPr>
            <w:tcW w:w="6923"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34"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招标内容</w:t>
            </w:r>
          </w:p>
        </w:tc>
        <w:tc>
          <w:tcPr>
            <w:tcW w:w="6923" w:type="dxa"/>
            <w:vAlign w:val="center"/>
          </w:tcPr>
          <w:p>
            <w:pPr>
              <w:adjustRightInd w:val="0"/>
              <w:snapToGrid w:val="0"/>
              <w:ind w:firstLine="422" w:firstLineChars="200"/>
              <w:jc w:val="left"/>
              <w:rPr>
                <w:rFonts w:ascii="宋体" w:hAnsi="宋体" w:cs="宋体"/>
                <w:b/>
                <w:sz w:val="21"/>
                <w:szCs w:val="21"/>
              </w:rPr>
            </w:pPr>
            <w:r>
              <w:rPr>
                <w:rFonts w:hint="eastAsia" w:ascii="宋体" w:hAnsi="宋体" w:cs="宋体"/>
                <w:b/>
                <w:sz w:val="21"/>
                <w:szCs w:val="21"/>
              </w:rPr>
              <w:t>一、基本情况</w:t>
            </w:r>
          </w:p>
          <w:p>
            <w:pPr>
              <w:adjustRightInd w:val="0"/>
              <w:snapToGrid w:val="0"/>
              <w:ind w:left="216" w:leftChars="103"/>
              <w:jc w:val="left"/>
              <w:rPr>
                <w:rFonts w:ascii="宋体" w:hAnsi="宋体" w:cs="宋体"/>
                <w:bCs/>
                <w:color w:val="auto"/>
                <w:sz w:val="21"/>
                <w:szCs w:val="21"/>
              </w:rPr>
            </w:pPr>
            <w:r>
              <w:rPr>
                <w:rFonts w:hint="eastAsia" w:ascii="宋体" w:hAnsi="宋体" w:cs="宋体"/>
                <w:bCs/>
                <w:sz w:val="21"/>
                <w:szCs w:val="21"/>
              </w:rPr>
              <w:t>1、</w:t>
            </w:r>
            <w:r>
              <w:rPr>
                <w:rFonts w:hint="eastAsia" w:ascii="宋体" w:hAnsi="宋体" w:cs="宋体"/>
                <w:bCs/>
                <w:color w:val="000000"/>
                <w:sz w:val="21"/>
                <w:szCs w:val="21"/>
              </w:rPr>
              <w:t>招标组织：</w:t>
            </w:r>
            <w:r>
              <w:rPr>
                <w:rFonts w:hint="eastAsia" w:ascii="宋体" w:hAnsi="宋体" w:cs="宋体"/>
                <w:bCs/>
                <w:color w:val="auto"/>
                <w:sz w:val="21"/>
                <w:szCs w:val="21"/>
              </w:rPr>
              <w:t>中建海峡建设发展有限公司机电安装工程分公司</w:t>
            </w:r>
          </w:p>
          <w:p>
            <w:pP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2、招标项目：</w:t>
            </w:r>
            <w:r>
              <w:rPr>
                <w:rFonts w:hint="eastAsia" w:ascii="宋体" w:hAnsi="宋体" w:cs="宋体"/>
                <w:bCs/>
                <w:color w:val="auto"/>
                <w:sz w:val="21"/>
                <w:szCs w:val="21"/>
                <w:u w:val="single"/>
              </w:rPr>
              <w:t>妈祖健康城康养及配套服务设施项目（一期）项目工程总承包（EPC）</w:t>
            </w:r>
            <w:r>
              <w:rPr>
                <w:rFonts w:hint="eastAsia" w:ascii="宋体" w:hAnsi="宋体" w:cs="宋体"/>
                <w:bCs/>
                <w:color w:val="auto"/>
                <w:sz w:val="21"/>
                <w:szCs w:val="21"/>
              </w:rPr>
              <w:t>项目招标采购。</w:t>
            </w:r>
          </w:p>
          <w:p>
            <w:pPr>
              <w:adjustRightInd w:val="0"/>
              <w:snapToGrid w:val="0"/>
              <w:ind w:left="216" w:leftChars="103"/>
              <w:jc w:val="left"/>
              <w:rPr>
                <w:rFonts w:hint="eastAsia" w:ascii="宋体" w:hAnsi="宋体" w:cs="宋体"/>
                <w:bCs/>
                <w:color w:val="auto"/>
                <w:sz w:val="21"/>
                <w:szCs w:val="21"/>
                <w:u w:val="single"/>
              </w:rPr>
            </w:pPr>
            <w:r>
              <w:rPr>
                <w:rFonts w:hint="eastAsia" w:ascii="宋体" w:hAnsi="宋体" w:cs="宋体"/>
                <w:bCs/>
                <w:color w:val="auto"/>
                <w:sz w:val="21"/>
                <w:szCs w:val="21"/>
              </w:rPr>
              <w:t>3、项目地址：</w:t>
            </w:r>
            <w:r>
              <w:rPr>
                <w:rFonts w:hint="eastAsia" w:ascii="宋体" w:hAnsi="宋体" w:cs="宋体"/>
                <w:bCs/>
                <w:color w:val="auto"/>
                <w:sz w:val="21"/>
                <w:szCs w:val="21"/>
                <w:u w:val="single"/>
                <w:lang w:eastAsia="zh-CN"/>
              </w:rPr>
              <w:t>莆田市北岸经济开发区</w:t>
            </w:r>
          </w:p>
          <w:p>
            <w:pP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4、采购物品名称/数量/品牌/规格型号：详见材料清单。</w:t>
            </w:r>
          </w:p>
          <w:p>
            <w:pPr>
              <w:adjustRightInd w:val="0"/>
              <w:snapToGrid w:val="0"/>
              <w:ind w:left="216" w:leftChars="103"/>
              <w:jc w:val="left"/>
              <w:rPr>
                <w:rFonts w:ascii="宋体" w:hAnsi="宋体" w:cs="宋体"/>
                <w:color w:val="auto"/>
                <w:sz w:val="21"/>
                <w:szCs w:val="21"/>
              </w:rPr>
            </w:pPr>
            <w:r>
              <w:rPr>
                <w:rFonts w:hint="eastAsia" w:ascii="宋体" w:hAnsi="宋体" w:cs="宋体"/>
                <w:bCs/>
                <w:color w:val="auto"/>
                <w:sz w:val="21"/>
                <w:szCs w:val="21"/>
              </w:rPr>
              <w:t>5、招标方法：</w:t>
            </w:r>
            <w:r>
              <w:rPr>
                <w:rFonts w:hint="eastAsia" w:ascii="宋体" w:hAnsi="宋体" w:cs="宋体"/>
                <w:color w:val="auto"/>
                <w:sz w:val="21"/>
                <w:szCs w:val="21"/>
              </w:rPr>
              <w:t>采取公开招标资格预审方式。</w:t>
            </w:r>
          </w:p>
          <w:p>
            <w:pPr>
              <w:adjustRightInd w:val="0"/>
              <w:snapToGrid w:val="0"/>
              <w:ind w:left="216" w:leftChars="103"/>
              <w:jc w:val="left"/>
              <w:rPr>
                <w:rFonts w:ascii="宋体" w:hAnsi="宋体" w:cs="宋体"/>
                <w:bCs/>
                <w:color w:val="auto"/>
                <w:sz w:val="21"/>
                <w:szCs w:val="21"/>
              </w:rPr>
            </w:pPr>
            <w:r>
              <w:rPr>
                <w:rFonts w:hint="eastAsia" w:ascii="宋体" w:hAnsi="宋体" w:cs="宋体"/>
                <w:color w:val="auto"/>
                <w:sz w:val="21"/>
                <w:szCs w:val="21"/>
              </w:rPr>
              <w:t>6</w:t>
            </w:r>
            <w:r>
              <w:rPr>
                <w:rFonts w:hint="eastAsia" w:ascii="宋体" w:hAnsi="宋体" w:cs="宋体"/>
                <w:bCs/>
                <w:color w:val="auto"/>
                <w:sz w:val="21"/>
                <w:szCs w:val="21"/>
              </w:rPr>
              <w:t>、招标清单：报名审核通过后前往云筑网下载。</w:t>
            </w:r>
          </w:p>
          <w:p>
            <w:pPr>
              <w:adjustRightInd w:val="0"/>
              <w:snapToGrid w:val="0"/>
              <w:ind w:firstLine="422" w:firstLineChars="200"/>
              <w:jc w:val="left"/>
              <w:rPr>
                <w:rFonts w:ascii="宋体" w:hAnsi="宋体" w:cs="宋体"/>
                <w:b/>
                <w:color w:val="auto"/>
                <w:sz w:val="21"/>
                <w:szCs w:val="21"/>
              </w:rPr>
            </w:pPr>
            <w:r>
              <w:rPr>
                <w:rFonts w:hint="eastAsia" w:ascii="宋体" w:hAnsi="宋体" w:cs="宋体"/>
                <w:b/>
                <w:color w:val="auto"/>
                <w:sz w:val="21"/>
                <w:szCs w:val="21"/>
              </w:rPr>
              <w:t>二、项目要求</w:t>
            </w:r>
          </w:p>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color w:val="auto"/>
                <w:sz w:val="21"/>
                <w:szCs w:val="21"/>
              </w:rPr>
              <w:t>1、付款方式：</w:t>
            </w:r>
            <w:r>
              <w:rPr>
                <w:rFonts w:hint="eastAsia" w:ascii="宋体" w:hAnsi="宋体" w:cs="宋体"/>
                <w:bCs/>
                <w:sz w:val="21"/>
                <w:szCs w:val="21"/>
              </w:rPr>
              <w:t>自合同签订之日乙方开始备货,乙方根据甲方要求时间供货，每批供货以供货通知书为准。甲方现场验收计量，乙方每月</w:t>
            </w:r>
            <w:r>
              <w:rPr>
                <w:rFonts w:hint="eastAsia" w:ascii="宋体" w:hAnsi="宋体" w:cs="宋体"/>
                <w:bCs/>
                <w:sz w:val="21"/>
                <w:szCs w:val="21"/>
                <w:lang w:val="en-US" w:eastAsia="zh-CN"/>
              </w:rPr>
              <w:t>20号</w:t>
            </w:r>
            <w:r>
              <w:rPr>
                <w:rFonts w:hint="eastAsia" w:ascii="宋体" w:hAnsi="宋体" w:cs="宋体"/>
                <w:bCs/>
                <w:sz w:val="21"/>
                <w:szCs w:val="21"/>
              </w:rPr>
              <w:t>凭甲方开具的收料单与甲方办理当月结算。当月结算办理前乙方应提供当月对账单一份，由甲方项目部材料员、商务经理核对后，经项目经理签字并盖项目部章确认。乙方同甲方办理当月结算，次月支付上月已对账货款的80%，</w:t>
            </w:r>
            <w:r>
              <w:rPr>
                <w:rFonts w:hint="eastAsia" w:ascii="宋体" w:hAnsi="宋体" w:cs="宋体"/>
                <w:bCs/>
                <w:sz w:val="21"/>
                <w:szCs w:val="21"/>
                <w:lang w:eastAsia="zh-CN"/>
              </w:rPr>
              <w:t>竣工验收合格后</w:t>
            </w:r>
            <w:r>
              <w:rPr>
                <w:rFonts w:hint="eastAsia" w:ascii="宋体" w:hAnsi="宋体" w:cs="宋体"/>
                <w:bCs/>
                <w:sz w:val="21"/>
                <w:szCs w:val="21"/>
                <w:lang w:val="en-US" w:eastAsia="zh-CN"/>
              </w:rPr>
              <w:t>7日内</w:t>
            </w:r>
            <w:r>
              <w:rPr>
                <w:rFonts w:hint="eastAsia" w:ascii="宋体" w:hAnsi="宋体" w:cs="宋体"/>
                <w:bCs/>
                <w:sz w:val="21"/>
                <w:szCs w:val="21"/>
              </w:rPr>
              <w:t>支付至合同额的95%，</w:t>
            </w:r>
            <w:r>
              <w:rPr>
                <w:rFonts w:hint="eastAsia" w:ascii="宋体" w:hAnsi="宋体" w:cs="宋体"/>
                <w:bCs/>
                <w:sz w:val="21"/>
                <w:szCs w:val="21"/>
                <w:lang w:val="en-US" w:eastAsia="zh-CN"/>
              </w:rPr>
              <w:t>余5%待维保期结束后7日内一次性付清。</w:t>
            </w:r>
          </w:p>
          <w:p>
            <w:pPr>
              <w:adjustRightInd w:val="0"/>
              <w:snapToGrid w:val="0"/>
              <w:ind w:left="216" w:leftChars="103" w:firstLine="420" w:firstLineChars="200"/>
              <w:jc w:val="left"/>
              <w:rPr>
                <w:rFonts w:ascii="宋体" w:hAnsi="宋体" w:cs="宋体"/>
                <w:bCs/>
                <w:sz w:val="21"/>
                <w:szCs w:val="21"/>
              </w:rPr>
            </w:pPr>
            <w:r>
              <w:rPr>
                <w:rFonts w:hint="eastAsia" w:ascii="宋体" w:hAnsi="宋体" w:cs="宋体"/>
                <w:bCs/>
                <w:sz w:val="21"/>
                <w:szCs w:val="21"/>
              </w:rPr>
              <w:t>支付方式：甲方采用银行转账、银行承兑汇票、国内信用证或应付账款保理方式支付货款。</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2、 报价应含材料费、辅材、装车/卸车费、管理费、利润、13%增值税专用发票税率及完成交付使用所需的一切费用。                                                                                3、质量要求：所提供材料必须严格按照合同清单要求，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4、品牌要求：</w:t>
            </w:r>
          </w:p>
          <w:tbl>
            <w:tblPr>
              <w:tblStyle w:val="8"/>
              <w:tblW w:w="6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81"/>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序号</w:t>
                  </w:r>
                </w:p>
              </w:tc>
              <w:tc>
                <w:tcPr>
                  <w:tcW w:w="2181" w:type="dxa"/>
                  <w:shd w:val="clear" w:color="auto" w:fill="auto"/>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材料名称</w:t>
                  </w:r>
                </w:p>
              </w:tc>
              <w:tc>
                <w:tcPr>
                  <w:tcW w:w="3224" w:type="dxa"/>
                  <w:shd w:val="clear" w:color="auto" w:fill="auto"/>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电线电缆</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瑞鑫、辉阳、胜宇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2</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桥架</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瑞鑫、朝业、云阳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3</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灯具</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雷士、永利达、辉日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4</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开关插座</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三雄极光、鸿雁、鸿联（红联）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5</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沟槽配件</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鼎梁、圣诺、白沙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6</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JDG线管</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凯必吉、银奥、盛超凯越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7</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镀锌管</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辉源、正金元、友发</w:t>
                  </w:r>
                </w:p>
              </w:tc>
            </w:tr>
            <w:tr>
              <w:tblPrEx>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8</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阀门</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泉牌、胜利、福思特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9</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消防器材</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白沙、闽山、百安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10</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水泵</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瑞邦、塔克、连成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11</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水炮</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天广、三鲸、水力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12</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消防报警系统、防火门监控、电源监控电气火灾系统</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海湾、北大青鸟、泰和安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13</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钢丝骨架管</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集泰、中财、金牛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14</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PVC、PPR管材</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金牛、中财、元财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15</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洁具</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九牧、美加华、朝阳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16</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铜管</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海亮、宏泰、飞轮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17</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防火卷帘门、挡烟垂壁</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鸿鑫、恒辉、上华、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18</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抗震支架</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rPr>
                  </w:pPr>
                  <w:r>
                    <w:rPr>
                      <w:rFonts w:hint="eastAsia" w:ascii="宋体" w:hAnsi="宋体" w:cs="宋体"/>
                      <w:bCs/>
                      <w:sz w:val="21"/>
                      <w:szCs w:val="21"/>
                      <w:lang w:val="en-US" w:eastAsia="zh-CN"/>
                    </w:rPr>
                    <w:t>力衡、安固士、欧丽舍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vMerge w:val="restart"/>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19</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配电箱</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国强、马控、瑞鑫、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vMerge w:val="continue"/>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断路器</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ABB、施耐德、罗格朗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vMerge w:val="restart"/>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20</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柴油机组</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重庆康明斯、无锡重柴动力、上海凯普、上海乾能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vMerge w:val="continue"/>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发电机组</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福建迪欧、闽源、莆田昌发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21</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灯具（花灯）</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腾博、rodeker（莆阳照明）、洋俊、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22</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通风设备</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长远、骥江、湖南鑫宏源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23</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空调设备</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美的、海信、日立、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24</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交织纤维增强钢面型复合风管板材、酚醛芯材</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闽天利、江苏维沃、南京迅腾、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25</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消防智能应急疏散标志灯具</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敏华、浙江台谊、尼特、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26</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综合布线</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大唐电信、腾飞、长飞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27</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计算机网络设备</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锐捷、H3C、华为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28</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视频监控系统</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海康、大华、霍尼韦尔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29</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会议音响及背景音乐</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ITC、3A、Senlang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30</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投影仪</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爱普生、EPC、索尼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31</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电动投影幕</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坚果、亿立、经科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32</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SCB10型环氧树脂绝缘干式变压器</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福州福变、蓉中电气、江山源光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33</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高压开关柜、低压开关柜</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南控电气科技、福建佳灵电气、福州广发电气、福州宇成电气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34</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主要元器件高压断路器</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上海人民、江苏常熟、上海精益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hint="default" w:ascii="宋体" w:hAnsi="宋体" w:cs="宋体"/>
                      <w:bCs/>
                      <w:sz w:val="21"/>
                      <w:szCs w:val="21"/>
                      <w:lang w:val="en-US" w:eastAsia="zh-CN"/>
                    </w:rPr>
                  </w:pPr>
                  <w:r>
                    <w:rPr>
                      <w:rFonts w:hint="eastAsia" w:ascii="宋体" w:hAnsi="宋体" w:cs="宋体"/>
                      <w:bCs/>
                      <w:sz w:val="21"/>
                      <w:szCs w:val="21"/>
                      <w:lang w:val="en-US" w:eastAsia="zh-CN"/>
                    </w:rPr>
                    <w:t>35</w:t>
                  </w:r>
                </w:p>
              </w:tc>
              <w:tc>
                <w:tcPr>
                  <w:tcW w:w="2181"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充电桩</w:t>
                  </w:r>
                </w:p>
              </w:tc>
              <w:tc>
                <w:tcPr>
                  <w:tcW w:w="3224" w:type="dxa"/>
                  <w:shd w:val="clear" w:color="auto" w:fill="auto"/>
                  <w:vAlign w:val="center"/>
                </w:tcPr>
                <w:p>
                  <w:pPr>
                    <w:adjustRightInd w:val="0"/>
                    <w:snapToGrid w:val="0"/>
                    <w:ind w:left="216" w:leftChars="103"/>
                    <w:jc w:val="left"/>
                    <w:rPr>
                      <w:rFonts w:hint="eastAsia" w:ascii="宋体" w:hAnsi="宋体" w:cs="宋体"/>
                      <w:bCs/>
                      <w:sz w:val="21"/>
                      <w:szCs w:val="21"/>
                      <w:lang w:val="en-US" w:eastAsia="zh-CN"/>
                    </w:rPr>
                  </w:pPr>
                  <w:r>
                    <w:rPr>
                      <w:rFonts w:hint="eastAsia" w:ascii="宋体" w:hAnsi="宋体" w:cs="宋体"/>
                      <w:bCs/>
                      <w:sz w:val="21"/>
                      <w:szCs w:val="21"/>
                      <w:lang w:val="en-US" w:eastAsia="zh-CN"/>
                    </w:rPr>
                    <w:t>山东积成智通新能源、山东迅风电子、深圳英飞源</w:t>
                  </w:r>
                </w:p>
              </w:tc>
            </w:tr>
          </w:tbl>
          <w:p>
            <w:pPr>
              <w:adjustRightInd w:val="0"/>
              <w:snapToGrid w:val="0"/>
              <w:jc w:val="left"/>
              <w:rPr>
                <w:rFonts w:ascii="宋体" w:hAnsi="宋体" w:cs="宋体"/>
                <w:bCs/>
                <w:sz w:val="21"/>
                <w:szCs w:val="21"/>
              </w:rPr>
            </w:pPr>
          </w:p>
          <w:p>
            <w:pPr>
              <w:adjustRightInd w:val="0"/>
              <w:snapToGrid w:val="0"/>
              <w:ind w:firstLine="422" w:firstLineChars="200"/>
              <w:jc w:val="left"/>
              <w:rPr>
                <w:rFonts w:ascii="宋体" w:hAnsi="宋体" w:cs="宋体"/>
                <w:b/>
                <w:sz w:val="21"/>
                <w:szCs w:val="21"/>
              </w:rPr>
            </w:pPr>
            <w:r>
              <w:rPr>
                <w:rFonts w:hint="eastAsia" w:ascii="宋体" w:hAnsi="宋体" w:cs="宋体"/>
                <w:b/>
                <w:sz w:val="21"/>
                <w:szCs w:val="21"/>
              </w:rPr>
              <w:t>三、投标人的资格条件</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（1）投标人在法律上和财务上独立并能合法运作，具有法人地位和独立订立合同的能力。投标人必须开具正规增值税专用发票。</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（2）投标人具有完善的质量保证体系及其质量认证证明。（如项目有特殊要求可列此项）</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（3）投标人具有良好的银行资信和商业信誉，没有处于被责令停业或破产状态，且资产未被重组、接管和冻结。</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（4）具有符合相适应的资质证书。（各单位对资质需求细化，根据实际情况要求授权。）</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5）具备国家有关部门、行业或公司要求必须取得的质量、计量、安全、环保认证及其他经营许可；在有关部门和行业的监督检查中没有不良记录，与中建云筑网集采平台中没有不良合作记录且与海峡公司无不良合作记录。</w:t>
            </w:r>
          </w:p>
          <w:p>
            <w:pPr>
              <w:pStyle w:val="6"/>
              <w:widowControl/>
              <w:adjustRightInd w:val="0"/>
              <w:snapToGrid w:val="0"/>
              <w:spacing w:before="0" w:beforeAutospacing="0" w:after="0" w:afterAutospacing="0"/>
              <w:ind w:left="218" w:leftChars="104"/>
              <w:rPr>
                <w:rFonts w:ascii="宋体" w:hAnsi="宋体" w:cs="宋体"/>
                <w:bCs/>
                <w:color w:val="auto"/>
                <w:sz w:val="21"/>
                <w:szCs w:val="21"/>
              </w:rPr>
            </w:pPr>
            <w:r>
              <w:rPr>
                <w:rFonts w:hint="eastAsia" w:ascii="宋体" w:hAnsi="宋体" w:cs="宋体"/>
                <w:bCs/>
                <w:color w:val="auto"/>
                <w:sz w:val="21"/>
                <w:szCs w:val="21"/>
              </w:rPr>
              <w:t>（6）本次招标已进入中建海峡建设发展有限公司合格分包商名录或在云筑网本级库的可以免考察，针对未进入中建海峡建设发展有限公司合格分包商名录的投标人，符合要求的须按经过考察准入海峡合格名录后方可进入下阶段投标工作。</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（7）投标人在报名的同时需要上传相应的营业执照，未上传附件的，视为不符合要求。</w:t>
            </w:r>
          </w:p>
          <w:p>
            <w:pPr>
              <w:pStyle w:val="6"/>
              <w:widowControl/>
              <w:adjustRightInd w:val="0"/>
              <w:snapToGrid w:val="0"/>
              <w:spacing w:before="0" w:beforeAutospacing="0" w:after="0" w:afterAutospacing="0"/>
              <w:ind w:left="218" w:leftChars="104"/>
              <w:rPr>
                <w:rFonts w:ascii="宋体" w:hAnsi="宋体" w:cs="宋体"/>
                <w:bCs/>
                <w:sz w:val="21"/>
                <w:szCs w:val="21"/>
              </w:rPr>
            </w:pPr>
            <w:r>
              <w:rPr>
                <w:rFonts w:hint="eastAsia" w:ascii="宋体" w:hAnsi="宋体" w:cs="宋体"/>
                <w:bCs/>
                <w:color w:val="auto"/>
                <w:sz w:val="21"/>
                <w:szCs w:val="21"/>
              </w:rPr>
              <w:t>（8）符合上述条件，经机电分公司资格审查考察合格</w:t>
            </w:r>
            <w:r>
              <w:rPr>
                <w:rFonts w:hint="eastAsia" w:ascii="宋体" w:hAnsi="宋体" w:cs="宋体"/>
                <w:bCs/>
                <w:sz w:val="21"/>
                <w:szCs w:val="21"/>
              </w:rPr>
              <w:t>并按要求进入中建海峡建设发展有限公司合格供应商名录后，方为合格的投标人。</w:t>
            </w:r>
          </w:p>
          <w:p>
            <w:pPr>
              <w:pStyle w:val="6"/>
              <w:widowControl/>
              <w:adjustRightInd w:val="0"/>
              <w:snapToGrid w:val="0"/>
              <w:spacing w:before="0" w:beforeAutospacing="0" w:after="0" w:afterAutospacing="0"/>
              <w:ind w:left="216" w:leftChars="103"/>
              <w:rPr>
                <w:rFonts w:ascii="宋体" w:hAnsi="宋体" w:cs="宋体"/>
                <w:bCs/>
                <w:kern w:val="2"/>
                <w:sz w:val="21"/>
                <w:szCs w:val="21"/>
              </w:rPr>
            </w:pPr>
            <w:r>
              <w:rPr>
                <w:rFonts w:hint="eastAsia" w:ascii="宋体" w:hAnsi="宋体" w:cs="宋体"/>
                <w:bCs/>
                <w:kern w:val="2"/>
                <w:sz w:val="21"/>
                <w:szCs w:val="21"/>
              </w:rPr>
              <w:t>以上要求投标人必须同时满足，所提供的所有资质文件必须真实，且与投标人主体一致，如果需要年检的，请确保提供的文件已年检合格。</w:t>
            </w:r>
          </w:p>
          <w:p>
            <w:pPr>
              <w:adjustRightInd w:val="0"/>
              <w:snapToGrid w:val="0"/>
              <w:ind w:firstLine="422" w:firstLineChars="200"/>
              <w:jc w:val="left"/>
              <w:rPr>
                <w:rFonts w:ascii="宋体" w:hAnsi="宋体" w:cs="宋体"/>
                <w:b/>
                <w:sz w:val="21"/>
                <w:szCs w:val="21"/>
              </w:rPr>
            </w:pPr>
            <w:bookmarkStart w:id="3" w:name="_Toc26968"/>
            <w:r>
              <w:rPr>
                <w:rFonts w:hint="eastAsia" w:ascii="宋体" w:hAnsi="宋体" w:cs="宋体"/>
                <w:b/>
                <w:sz w:val="21"/>
                <w:szCs w:val="21"/>
              </w:rPr>
              <w:t>四、投标报名</w:t>
            </w:r>
            <w:bookmarkEnd w:id="3"/>
            <w:r>
              <w:rPr>
                <w:rFonts w:hint="eastAsia" w:ascii="宋体" w:hAnsi="宋体" w:cs="宋体"/>
                <w:b/>
                <w:sz w:val="21"/>
                <w:szCs w:val="21"/>
              </w:rPr>
              <w:t xml:space="preserve"> </w:t>
            </w:r>
          </w:p>
          <w:p>
            <w:pPr>
              <w:adjustRightInd w:val="0"/>
              <w:snapToGrid w:val="0"/>
              <w:ind w:firstLine="420" w:firstLineChars="200"/>
              <w:jc w:val="left"/>
              <w:rPr>
                <w:rFonts w:ascii="宋体" w:hAnsi="宋体" w:cs="宋体"/>
                <w:bCs/>
                <w:sz w:val="21"/>
                <w:szCs w:val="21"/>
              </w:rPr>
            </w:pPr>
            <w:bookmarkStart w:id="4" w:name="_Toc8345"/>
            <w:r>
              <w:rPr>
                <w:rFonts w:hint="eastAsia" w:ascii="宋体" w:hAnsi="宋体" w:cs="宋体"/>
                <w:bCs/>
                <w:sz w:val="21"/>
                <w:szCs w:val="21"/>
              </w:rPr>
              <w:t>1、报名时间：在本公告期截止前报名，逾期不再接受投标单位报名。</w:t>
            </w:r>
            <w:bookmarkEnd w:id="4"/>
          </w:p>
          <w:p>
            <w:pPr>
              <w:adjustRightInd w:val="0"/>
              <w:snapToGrid w:val="0"/>
              <w:ind w:firstLine="420" w:firstLineChars="200"/>
              <w:jc w:val="left"/>
              <w:rPr>
                <w:rFonts w:ascii="宋体" w:hAnsi="宋体" w:cs="宋体"/>
                <w:bCs/>
                <w:sz w:val="21"/>
                <w:szCs w:val="21"/>
              </w:rPr>
            </w:pPr>
            <w:bookmarkStart w:id="5" w:name="_Toc28044"/>
            <w:r>
              <w:rPr>
                <w:rFonts w:hint="eastAsia" w:ascii="宋体" w:hAnsi="宋体" w:cs="宋体"/>
                <w:bCs/>
                <w:sz w:val="21"/>
                <w:szCs w:val="21"/>
              </w:rPr>
              <w:t>2、报名方式：</w:t>
            </w:r>
            <w:bookmarkEnd w:id="5"/>
          </w:p>
          <w:p>
            <w:pPr>
              <w:adjustRightInd w:val="0"/>
              <w:snapToGrid w:val="0"/>
              <w:ind w:firstLine="420" w:firstLineChars="200"/>
              <w:jc w:val="left"/>
              <w:rPr>
                <w:rFonts w:ascii="宋体" w:hAnsi="宋体" w:cs="宋体"/>
                <w:bCs/>
                <w:sz w:val="21"/>
                <w:szCs w:val="21"/>
              </w:rPr>
            </w:pPr>
            <w:r>
              <w:rPr>
                <w:rFonts w:hint="eastAsia" w:ascii="宋体" w:hAnsi="宋体" w:cs="宋体"/>
                <w:bCs/>
                <w:sz w:val="21"/>
                <w:szCs w:val="21"/>
              </w:rPr>
              <w:t>采取网上报名方式，通过“云筑网”上进行报名（网址https://www.yzw.cn/），不接受其他方式报名。说明：</w:t>
            </w:r>
          </w:p>
          <w:p>
            <w:pPr>
              <w:adjustRightInd w:val="0"/>
              <w:snapToGrid w:val="0"/>
              <w:ind w:firstLine="420" w:firstLineChars="200"/>
              <w:jc w:val="left"/>
              <w:rPr>
                <w:rFonts w:ascii="宋体" w:hAnsi="宋体" w:cs="宋体"/>
                <w:bCs/>
                <w:sz w:val="21"/>
                <w:szCs w:val="21"/>
              </w:rPr>
            </w:pPr>
            <w:bookmarkStart w:id="6" w:name="_Toc427765429"/>
            <w:r>
              <w:rPr>
                <w:rFonts w:hint="eastAsia" w:ascii="宋体" w:hAnsi="宋体" w:cs="宋体"/>
                <w:bCs/>
                <w:sz w:val="21"/>
                <w:szCs w:val="21"/>
              </w:rPr>
              <w:t>①已在“云筑网”完成正式供应商注册的投标人，直接登录“云筑网”（网址https://www.yzw.cn/）输入用户名和密码，成功登录后签收招标公告并点击报名；</w:t>
            </w:r>
            <w:bookmarkEnd w:id="6"/>
          </w:p>
          <w:p>
            <w:pPr>
              <w:adjustRightInd w:val="0"/>
              <w:snapToGrid w:val="0"/>
              <w:ind w:firstLine="420" w:firstLineChars="200"/>
              <w:jc w:val="left"/>
              <w:rPr>
                <w:rFonts w:ascii="宋体" w:hAnsi="宋体" w:cs="宋体"/>
                <w:bCs/>
                <w:sz w:val="21"/>
                <w:szCs w:val="21"/>
              </w:rPr>
            </w:pPr>
            <w:bookmarkStart w:id="7" w:name="_Toc427765430"/>
            <w:r>
              <w:rPr>
                <w:rFonts w:hint="eastAsia" w:ascii="宋体" w:hAnsi="宋体" w:cs="宋体"/>
                <w:bCs/>
                <w:sz w:val="21"/>
                <w:szCs w:val="21"/>
              </w:rPr>
              <w:t>②未在“云筑网”注册的投标人，需先登录“云筑网”（网址https://www.yzw.cn/）网页注册成功且注册信息通过审核合格后，再行报名。</w:t>
            </w:r>
            <w:bookmarkEnd w:id="7"/>
          </w:p>
          <w:p>
            <w:pPr>
              <w:adjustRightInd w:val="0"/>
              <w:snapToGrid w:val="0"/>
              <w:ind w:firstLine="422" w:firstLineChars="200"/>
              <w:jc w:val="left"/>
              <w:rPr>
                <w:rFonts w:ascii="宋体" w:hAnsi="宋体" w:cs="宋体"/>
                <w:b/>
                <w:color w:val="auto"/>
                <w:sz w:val="21"/>
                <w:szCs w:val="21"/>
              </w:rPr>
            </w:pPr>
            <w:bookmarkStart w:id="8" w:name="_Toc27866"/>
            <w:r>
              <w:rPr>
                <w:rFonts w:hint="eastAsia" w:ascii="宋体" w:hAnsi="宋体" w:cs="宋体"/>
                <w:b/>
                <w:color w:val="auto"/>
                <w:sz w:val="21"/>
                <w:szCs w:val="21"/>
              </w:rPr>
              <w:t>五、资格审查</w:t>
            </w:r>
            <w:bookmarkEnd w:id="8"/>
          </w:p>
          <w:p>
            <w:pPr>
              <w:adjustRightInd w:val="0"/>
              <w:snapToGrid w:val="0"/>
              <w:ind w:firstLine="420" w:firstLineChars="200"/>
              <w:jc w:val="left"/>
              <w:rPr>
                <w:rFonts w:ascii="宋体" w:hAnsi="宋体" w:cs="宋体"/>
                <w:bCs/>
                <w:color w:val="auto"/>
                <w:sz w:val="21"/>
                <w:szCs w:val="21"/>
              </w:rPr>
            </w:pPr>
            <w:bookmarkStart w:id="9" w:name="_Toc4025"/>
            <w:r>
              <w:rPr>
                <w:rFonts w:hint="eastAsia" w:ascii="宋体" w:hAnsi="宋体" w:cs="宋体"/>
                <w:bCs/>
                <w:color w:val="auto"/>
                <w:sz w:val="21"/>
                <w:szCs w:val="21"/>
              </w:rPr>
              <w:t>1、资格审查渠道</w:t>
            </w:r>
            <w:bookmarkEnd w:id="9"/>
          </w:p>
          <w:p>
            <w:pPr>
              <w:adjustRightInd w:val="0"/>
              <w:snapToGrid w:val="0"/>
              <w:ind w:firstLine="420" w:firstLineChars="200"/>
              <w:jc w:val="left"/>
              <w:rPr>
                <w:rFonts w:ascii="宋体" w:hAnsi="宋体" w:cs="宋体"/>
                <w:bCs/>
                <w:color w:val="auto"/>
                <w:sz w:val="21"/>
                <w:szCs w:val="21"/>
              </w:rPr>
            </w:pPr>
            <w:bookmarkStart w:id="10" w:name="_Toc427765433"/>
            <w:r>
              <w:rPr>
                <w:rFonts w:hint="eastAsia" w:ascii="宋体" w:hAnsi="宋体" w:cs="宋体"/>
                <w:bCs/>
                <w:color w:val="auto"/>
                <w:sz w:val="21"/>
                <w:szCs w:val="21"/>
              </w:rPr>
              <w:t>本次招标的投标人由“云筑网”网络交易平台公开报名产生，资格审查由机电分公司招评标工作小组进行审核</w:t>
            </w:r>
            <w:bookmarkEnd w:id="10"/>
            <w:r>
              <w:rPr>
                <w:rFonts w:hint="eastAsia" w:ascii="宋体" w:hAnsi="宋体" w:cs="宋体"/>
                <w:bCs/>
                <w:color w:val="auto"/>
                <w:sz w:val="21"/>
                <w:szCs w:val="21"/>
              </w:rPr>
              <w:t>。</w:t>
            </w:r>
          </w:p>
          <w:p>
            <w:pPr>
              <w:adjustRightInd w:val="0"/>
              <w:snapToGrid w:val="0"/>
              <w:ind w:left="218" w:leftChars="104"/>
              <w:jc w:val="left"/>
              <w:rPr>
                <w:rFonts w:ascii="宋体" w:hAnsi="宋体" w:cs="宋体"/>
                <w:bCs/>
                <w:color w:val="auto"/>
                <w:sz w:val="21"/>
                <w:szCs w:val="21"/>
              </w:rPr>
            </w:pPr>
            <w:bookmarkStart w:id="11" w:name="_Toc20877"/>
            <w:r>
              <w:rPr>
                <w:rFonts w:hint="eastAsia" w:ascii="宋体" w:hAnsi="宋体" w:cs="宋体"/>
                <w:bCs/>
                <w:color w:val="auto"/>
                <w:sz w:val="21"/>
                <w:szCs w:val="21"/>
              </w:rPr>
              <w:t>2、资格审查资料清单</w:t>
            </w:r>
            <w:bookmarkEnd w:id="11"/>
            <w:r>
              <w:rPr>
                <w:rFonts w:hint="eastAsia" w:ascii="宋体" w:hAnsi="宋体" w:cs="宋体"/>
                <w:bCs/>
                <w:color w:val="auto"/>
                <w:sz w:val="21"/>
                <w:szCs w:val="21"/>
              </w:rPr>
              <w:t>存在以下情况资格审核不予通过：</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1、多家投标人投标IP地址相同，涉嫌围标、串标等情形。</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2、未上传招标公告要求</w:t>
            </w:r>
            <w:r>
              <w:rPr>
                <w:rFonts w:hint="eastAsia" w:ascii="宋体" w:hAnsi="宋体" w:cs="宋体"/>
                <w:bCs/>
                <w:color w:val="auto"/>
                <w:sz w:val="21"/>
                <w:szCs w:val="21"/>
                <w:lang w:val="en-US" w:eastAsia="zh-CN"/>
              </w:rPr>
              <w:t>的营业执照</w:t>
            </w:r>
            <w:r>
              <w:rPr>
                <w:rFonts w:hint="eastAsia" w:ascii="宋体" w:hAnsi="宋体" w:cs="宋体"/>
                <w:bCs/>
                <w:color w:val="auto"/>
                <w:sz w:val="21"/>
                <w:szCs w:val="21"/>
              </w:rPr>
              <w:t>，或上传资料不符合要求。</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3、前序参与中建海峡招标，中标后拒绝履约或者终止合作的。</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4、其他不符合上述投标资格要求的情形。</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六、招标文件的发放时间及方式</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1、发放时间：2002年06月</w:t>
            </w:r>
            <w:r>
              <w:rPr>
                <w:rFonts w:hint="eastAsia" w:ascii="宋体" w:hAnsi="宋体" w:cs="宋体"/>
                <w:bCs/>
                <w:color w:val="auto"/>
                <w:sz w:val="21"/>
                <w:szCs w:val="21"/>
                <w:lang w:val="en-US" w:eastAsia="zh-CN"/>
              </w:rPr>
              <w:t>18</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具体以云筑网发布时间为准</w:t>
            </w:r>
            <w:r>
              <w:rPr>
                <w:rFonts w:hint="eastAsia" w:ascii="宋体" w:hAnsi="宋体" w:cs="宋体"/>
                <w:bCs/>
                <w:color w:val="auto"/>
                <w:sz w:val="21"/>
                <w:szCs w:val="21"/>
              </w:rPr>
              <w:t>。</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2、发放平台：招标方通过“云筑网”（https://www.yzw.cn/）进行发放。</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3、发放对象：投标资格审查合格且经机电分公司招评标工作小组审核通过的投标人可进入下步投标环节。</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七、投标保证金及费用</w:t>
            </w:r>
          </w:p>
          <w:p>
            <w:pPr>
              <w:shd w:val="clea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1、本次招标的投标保证金10000元，通过资格审查的投标人以电汇或网银转账方式转至中建海峡建设发展有限公司机电分公司财务部提供的账户（具体账户及投标保证金缴纳截止时间详见招标文件），不得以个人名义缴纳，需由参与投标的法人单位名义缴纳。注：投标保证金转账备注信息：“机</w:t>
            </w:r>
            <w:r>
              <w:rPr>
                <w:rFonts w:hint="eastAsia" w:ascii="宋体" w:hAnsi="宋体" w:cs="宋体"/>
                <w:bCs/>
                <w:color w:val="auto"/>
                <w:sz w:val="21"/>
                <w:szCs w:val="21"/>
                <w:highlight w:val="none"/>
                <w:shd w:val="clear"/>
              </w:rPr>
              <w:t>电公司</w:t>
            </w:r>
            <w:r>
              <w:rPr>
                <w:rFonts w:hint="eastAsia" w:ascii="宋体" w:hAnsi="宋体" w:cs="宋体"/>
                <w:bCs/>
                <w:color w:val="auto"/>
                <w:sz w:val="21"/>
                <w:szCs w:val="21"/>
                <w:highlight w:val="none"/>
                <w:shd w:val="clear"/>
                <w:lang w:val="en-US" w:eastAsia="zh-CN"/>
              </w:rPr>
              <w:t>+项目投标</w:t>
            </w:r>
            <w:r>
              <w:rPr>
                <w:rFonts w:hint="eastAsia" w:ascii="宋体" w:hAnsi="宋体" w:cs="宋体"/>
                <w:bCs/>
                <w:color w:val="auto"/>
                <w:sz w:val="21"/>
                <w:szCs w:val="21"/>
                <w:highlight w:val="none"/>
                <w:shd w:val="clear"/>
              </w:rPr>
              <w:t>保证金</w:t>
            </w:r>
            <w:r>
              <w:rPr>
                <w:rFonts w:hint="eastAsia" w:ascii="宋体" w:hAnsi="宋体" w:cs="宋体"/>
                <w:bCs/>
                <w:color w:val="auto"/>
                <w:sz w:val="21"/>
                <w:szCs w:val="21"/>
                <w:highlight w:val="none"/>
                <w:shd w:val="clear"/>
                <w:lang w:eastAsia="zh-CN"/>
              </w:rPr>
              <w:t>，</w:t>
            </w:r>
            <w:r>
              <w:rPr>
                <w:rFonts w:hint="eastAsia" w:ascii="宋体" w:hAnsi="宋体" w:cs="宋体"/>
                <w:bCs/>
                <w:color w:val="auto"/>
                <w:sz w:val="21"/>
                <w:szCs w:val="21"/>
                <w:highlight w:val="none"/>
                <w:shd w:val="clear"/>
                <w:lang w:val="en-US" w:eastAsia="zh-CN"/>
              </w:rPr>
              <w:t>若缴纳年度保证金备注机电公司年度保证金</w:t>
            </w:r>
            <w:r>
              <w:rPr>
                <w:rFonts w:hint="eastAsia" w:ascii="宋体" w:hAnsi="宋体" w:cs="宋体"/>
                <w:bCs/>
                <w:color w:val="auto"/>
                <w:sz w:val="21"/>
                <w:szCs w:val="21"/>
                <w:highlight w:val="none"/>
                <w:shd w:val="clear"/>
              </w:rPr>
              <w:t>”</w:t>
            </w:r>
            <w:r>
              <w:rPr>
                <w:rFonts w:hint="eastAsia" w:ascii="宋体" w:hAnsi="宋体" w:cs="宋体"/>
                <w:bCs/>
                <w:color w:val="auto"/>
                <w:sz w:val="21"/>
                <w:szCs w:val="21"/>
              </w:rPr>
              <w:t>。</w:t>
            </w:r>
          </w:p>
          <w:p>
            <w:pPr>
              <w:shd w:val="clear"/>
              <w:adjustRightInd w:val="0"/>
              <w:snapToGrid w:val="0"/>
              <w:ind w:left="216" w:leftChars="103"/>
              <w:jc w:val="left"/>
              <w:rPr>
                <w:rFonts w:ascii="宋体" w:hAnsi="宋体" w:cs="宋体"/>
                <w:bCs/>
                <w:sz w:val="21"/>
                <w:szCs w:val="21"/>
              </w:rPr>
            </w:pPr>
            <w:r>
              <w:rPr>
                <w:rFonts w:hint="eastAsia" w:ascii="宋体" w:hAnsi="宋体" w:cs="宋体"/>
                <w:bCs/>
                <w:sz w:val="21"/>
                <w:szCs w:val="21"/>
              </w:rPr>
              <w:t>2、投标保证金接收账户信息（详见招标文件）。</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3、投标人在递交书面投标文件时，应出示投标保证金转账凭证备查，没有按时缴纳投标保证金的投标人，取消其本次投标资格。</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4、发生以下情况，投标保证金将被招标人没收：</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（1）投标人在招标文件中规定的投标有效期内，撤回其投标的；</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（2）若拟中标人未按投标文件要求签约（另行议标除外）；</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（3）投标人无正当理由不与招标人订立合同或在签订合同时向招标人提出附加条件的；</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（4）经查实，在投标文件中提供虚假材料的；</w:t>
            </w:r>
          </w:p>
          <w:p>
            <w:pPr>
              <w:ind w:firstLine="210" w:firstLineChars="100"/>
              <w:jc w:val="left"/>
              <w:rPr>
                <w:rFonts w:ascii="仿宋_GB2312" w:hAnsi="仿宋_GB2312" w:eastAsia="仿宋_GB2312" w:cs="仿宋_GB2312"/>
                <w:sz w:val="24"/>
              </w:rPr>
            </w:pPr>
            <w:r>
              <w:rPr>
                <w:rFonts w:hint="eastAsia" w:ascii="宋体" w:hAnsi="宋体" w:cs="宋体"/>
                <w:bCs/>
                <w:sz w:val="21"/>
                <w:szCs w:val="21"/>
              </w:rPr>
              <w:t>（5）经查实，中标人以他人名义投标或者以其他方式弄虚作假，骗取中标的。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报名时间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2020年6月</w:t>
            </w:r>
            <w:r>
              <w:rPr>
                <w:rFonts w:hint="eastAsia" w:ascii="仿宋_GB2312" w:hAnsi="仿宋_GB2312" w:eastAsia="仿宋_GB2312" w:cs="仿宋_GB2312"/>
                <w:sz w:val="24"/>
                <w:lang w:val="en-US" w:eastAsia="zh-CN"/>
              </w:rPr>
              <w:t>15</w:t>
            </w:r>
            <w:bookmarkStart w:id="12" w:name="_GoBack"/>
            <w:bookmarkEnd w:id="12"/>
            <w:r>
              <w:rPr>
                <w:rFonts w:hint="eastAsia" w:ascii="仿宋_GB2312" w:hAnsi="仿宋_GB2312" w:eastAsia="仿宋_GB2312" w:cs="仿宋_GB2312"/>
                <w:sz w:val="24"/>
              </w:rPr>
              <w:t>日 11:00（具体时间以云筑网为准）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报名截止时间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2020年6月1</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日14:00（具体时间以云筑网为准）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招标开标时间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2020年06月</w:t>
            </w:r>
            <w:r>
              <w:rPr>
                <w:rFonts w:hint="eastAsia" w:ascii="仿宋_GB2312" w:hAnsi="仿宋_GB2312" w:eastAsia="仿宋_GB2312" w:cs="仿宋_GB2312"/>
                <w:sz w:val="24"/>
                <w:lang w:val="en-US" w:eastAsia="zh-CN"/>
              </w:rPr>
              <w:t>22</w:t>
            </w:r>
            <w:r>
              <w:rPr>
                <w:rFonts w:hint="eastAsia" w:ascii="仿宋_GB2312" w:hAnsi="仿宋_GB2312" w:eastAsia="仿宋_GB2312" w:cs="仿宋_GB2312"/>
                <w:sz w:val="24"/>
              </w:rPr>
              <w:t>日（具体时间以云筑网为准）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联系地址/邮编</w:t>
            </w:r>
          </w:p>
        </w:tc>
        <w:tc>
          <w:tcPr>
            <w:tcW w:w="6923" w:type="dxa"/>
            <w:vAlign w:val="center"/>
          </w:tcPr>
          <w:p>
            <w:pPr>
              <w:pStyle w:val="3"/>
              <w:tabs>
                <w:tab w:val="left" w:pos="4452"/>
              </w:tabs>
              <w:spacing w:after="156" w:afterLines="50" w:line="500" w:lineRule="exact"/>
              <w:jc w:val="center"/>
              <w:rPr>
                <w:rFonts w:ascii="仿宋_GB2312" w:hAnsi="仿宋_GB2312" w:eastAsia="仿宋_GB2312" w:cs="仿宋_GB2312"/>
                <w:sz w:val="24"/>
              </w:rPr>
            </w:pPr>
            <w:r>
              <w:rPr>
                <w:rFonts w:hint="eastAsia" w:eastAsia="仿宋_GB2312"/>
                <w:sz w:val="24"/>
              </w:rPr>
              <w:t>福州市马尾区儒江西路60号    邮编：350000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联系人及</w:t>
            </w:r>
          </w:p>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6923" w:type="dxa"/>
            <w:vAlign w:val="center"/>
          </w:tcPr>
          <w:p>
            <w:pPr>
              <w:pStyle w:val="3"/>
              <w:tabs>
                <w:tab w:val="left" w:pos="4452"/>
              </w:tabs>
              <w:spacing w:after="156" w:afterLines="50" w:line="500" w:lineRule="exact"/>
              <w:jc w:val="center"/>
              <w:rPr>
                <w:rFonts w:ascii="仿宋_GB2312" w:hAnsi="仿宋_GB2312" w:eastAsia="仿宋_GB2312" w:cs="仿宋_GB2312"/>
                <w:sz w:val="24"/>
              </w:rPr>
            </w:pPr>
            <w:r>
              <w:rPr>
                <w:rFonts w:hint="eastAsia" w:eastAsia="仿宋_GB2312"/>
                <w:sz w:val="24"/>
              </w:rPr>
              <w:t>吴永峰/15679732241</w:t>
            </w:r>
          </w:p>
        </w:tc>
      </w:tr>
    </w:tbl>
    <w:p>
      <w:pPr>
        <w:jc w:val="center"/>
        <w:rPr>
          <w:rFonts w:ascii="仿宋_GB2312" w:eastAsia="仿宋_GB2312"/>
          <w:b/>
          <w:bCs/>
          <w:sz w:val="28"/>
          <w:szCs w:val="28"/>
        </w:rPr>
      </w:pPr>
      <w:r>
        <w:rPr>
          <w:rFonts w:ascii="仿宋_GB2312" w:eastAsia="仿宋_GB2312"/>
          <w:sz w:val="28"/>
        </w:rPr>
        <w:br w:type="page"/>
      </w:r>
      <w:r>
        <w:rPr>
          <w:rFonts w:hint="eastAsia" w:ascii="仿宋_GB2312" w:hAnsi="Times New Roman" w:eastAsia="仿宋_GB2312" w:cs="Times New Roman"/>
          <w:b/>
          <w:bCs/>
          <w:sz w:val="28"/>
          <w:szCs w:val="28"/>
        </w:rPr>
        <w:t>妈祖健康城康养及配套服务设施项目（一期）工程总承包（EPC）项目机电安装工程</w:t>
      </w:r>
      <w:r>
        <w:rPr>
          <w:rFonts w:hint="eastAsia" w:ascii="仿宋_GB2312" w:hAnsi="Times New Roman" w:eastAsia="仿宋_GB2312" w:cs="Times New Roman"/>
          <w:b/>
          <w:bCs/>
          <w:sz w:val="28"/>
          <w:szCs w:val="28"/>
          <w:lang w:val="en-US" w:eastAsia="zh-CN"/>
        </w:rPr>
        <w:t>空调设备、电线电缆、柴油发电机 、配电箱、消防系统设备、智能化系统设备等</w:t>
      </w:r>
      <w:r>
        <w:rPr>
          <w:rFonts w:hint="eastAsia" w:ascii="仿宋_GB2312" w:hAnsi="Times New Roman" w:eastAsia="仿宋_GB2312" w:cs="Times New Roman"/>
          <w:b/>
          <w:bCs/>
          <w:sz w:val="28"/>
          <w:szCs w:val="28"/>
        </w:rPr>
        <w:t>材料</w:t>
      </w:r>
      <w:r>
        <w:rPr>
          <w:rFonts w:hint="eastAsia" w:ascii="仿宋_GB2312" w:eastAsia="仿宋_GB2312"/>
          <w:b/>
          <w:bCs/>
          <w:sz w:val="28"/>
          <w:szCs w:val="28"/>
        </w:rPr>
        <w:t>采购清单</w:t>
      </w:r>
    </w:p>
    <w:tbl>
      <w:tblPr>
        <w:tblStyle w:val="8"/>
        <w:tblW w:w="8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223"/>
        <w:gridCol w:w="2811"/>
        <w:gridCol w:w="639"/>
        <w:gridCol w:w="766"/>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2223"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材料名称</w:t>
            </w:r>
          </w:p>
        </w:tc>
        <w:tc>
          <w:tcPr>
            <w:tcW w:w="2811"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规格型号</w:t>
            </w:r>
          </w:p>
        </w:tc>
        <w:tc>
          <w:tcPr>
            <w:tcW w:w="639"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w:t>
            </w:r>
          </w:p>
        </w:tc>
        <w:tc>
          <w:tcPr>
            <w:tcW w:w="766"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数量</w:t>
            </w:r>
          </w:p>
        </w:tc>
        <w:tc>
          <w:tcPr>
            <w:tcW w:w="1150"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kern w:val="0"/>
                <w:sz w:val="18"/>
                <w:szCs w:val="18"/>
              </w:rPr>
            </w:pPr>
            <w:r>
              <w:rPr>
                <w:rFonts w:hint="eastAsia" w:ascii="宋体" w:hAnsi="宋体" w:eastAsia="宋体" w:cs="宋体"/>
                <w:i w:val="0"/>
                <w:color w:val="000000"/>
                <w:kern w:val="0"/>
                <w:sz w:val="18"/>
                <w:szCs w:val="18"/>
                <w:u w:val="none"/>
                <w:lang w:val="en-US" w:eastAsia="zh-CN" w:bidi="ar"/>
              </w:rPr>
              <w:t>16路网络硬盘录像机</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18U标准机柜</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24口POE交换机</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24口光纤配线架</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架</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24口数据配线架</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架</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24千兆网络交换机</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24千兆网络交换机</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42U标准机柜</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600×600×1800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46"显示器</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4分区寻呼模块</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6芯单模光缆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163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70°C防火阀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630X400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70°C防火阀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500X400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70°C防火阀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320X200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400×200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500×400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630×400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800×400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1600×500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630X400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70°防火阀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500X400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87型雨水斗</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AP授权</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系统</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JDG管</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DN32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502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JDG管</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4193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JDG管</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1503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KBG钢管</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212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LED灯带</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14.4W/米</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1105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LED灯盘</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32W</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R410A制冷剂</w:t>
            </w:r>
          </w:p>
        </w:tc>
        <w:tc>
          <w:tcPr>
            <w:tcW w:w="2811" w:type="dxa"/>
            <w:shd w:val="clear" w:color="000000" w:fill="FFFFFF"/>
            <w:vAlign w:val="center"/>
          </w:tcPr>
          <w:p>
            <w:pPr>
              <w:jc w:val="center"/>
              <w:rPr>
                <w:rFonts w:hint="eastAsia" w:ascii="宋体" w:hAnsi="宋体" w:eastAsia="宋体" w:cs="宋体"/>
                <w:kern w:val="0"/>
                <w:sz w:val="18"/>
                <w:szCs w:val="18"/>
              </w:rPr>
            </w:pP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KG</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733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sc单模跳线</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条</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UPS</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W筒灯</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Y型过滤器</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闭式喷头</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211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彩色半球网络摄像机</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2T1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1APE01-1(2)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1AP01-1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1AL01-gg2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AL01-2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2AP01-1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1AL01-gg1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AP-cd</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AL02-1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2AC02-1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1AT01-1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2AL01-gg1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1AT01-bd</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2AL01-gg2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2AP02-kt1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2AT01-1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ATB1-xf</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ACB1-1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2AT01-xk</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1AC02-1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1AC02-2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1AC02-3</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1AP02-kt1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1ELS-1F-2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ALEB1-1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1AP02-kt2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1ELS-1F-1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ACB1-2</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AL01-1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成套配电箱</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AL01-3</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成套洗脸盆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成套坐便器</w:t>
            </w:r>
          </w:p>
        </w:tc>
        <w:tc>
          <w:tcPr>
            <w:tcW w:w="2811" w:type="dxa"/>
            <w:shd w:val="clear" w:color="000000" w:fill="FFFFFF"/>
            <w:vAlign w:val="center"/>
          </w:tcPr>
          <w:p>
            <w:pPr>
              <w:jc w:val="center"/>
              <w:rPr>
                <w:rFonts w:hint="eastAsia" w:ascii="宋体" w:hAnsi="宋体" w:eastAsia="宋体" w:cs="宋体"/>
                <w:kern w:val="0"/>
                <w:sz w:val="18"/>
                <w:szCs w:val="18"/>
              </w:rPr>
            </w:pP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充电桩</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功率45KW</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组</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充电桩</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功率7KW</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组</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纯后级功放</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单管荧光灯</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2*15W</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单管荧光灯</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1*15W</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单输入模块</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挡烟垂壁控制装置</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低噪声节能混流风机</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PF-001-01</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低阻力倒流防止器</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低阻力倒流防止器</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电磁阀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电磁阀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电动挡烟垂壁</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1150mm高</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m2</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电动幕</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电动闸阀</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电气火灾监控器</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WDZ-BYJ-10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2102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WDZ-BYJ-2.5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21452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87</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WDZN-BYJ-2.5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5603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88</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WDZ-BYJ-4</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682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89</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ZBN-RV-2.5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1726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90</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TJ-2.5～4</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191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91</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RVV2*1.0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352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92</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ZR-RVS2*1.5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228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93</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ZBN-RVVP-2x1.5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94</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ZBN-RVVP-4x1.5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240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ZBN-RVS-2X1.5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3431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ZR-RVS2*1.5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243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EVJV2*2.5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BV-2.5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4242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BVR-4</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2329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BVR-6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WDZN-YJY-4X2.5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WDZN-YJY-4x185+1x95</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WDZN-YJY-3x10+1x10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WDZN-YJY-5x16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106</w:t>
            </w:r>
          </w:p>
        </w:tc>
        <w:tc>
          <w:tcPr>
            <w:tcW w:w="2223"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WDZN-YJY-5x10</w:t>
            </w:r>
          </w:p>
        </w:tc>
        <w:tc>
          <w:tcPr>
            <w:tcW w:w="639"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76 </w:t>
            </w:r>
          </w:p>
        </w:tc>
        <w:tc>
          <w:tcPr>
            <w:tcW w:w="1150" w:type="dxa"/>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WDZ-YJY-4x50+1x25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WDZ-YJY-4x95+1x50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195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WDZN-YJY-4x120+1x70 </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WDZ-YJY-4x185+1x95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WDZN-YJY-3x50+1x50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WDZN-YJY-3x50+1x50(PE)</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WDZN-YJY-3x10+1x10(PE)</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WDZ-YJY-5x10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332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WDZ-YJY-4x35+1x16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WDZN-YJY-5x4</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50 </w:t>
            </w:r>
          </w:p>
        </w:tc>
        <w:tc>
          <w:tcPr>
            <w:tcW w:w="1150" w:type="dxa"/>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WDZ-YJY-4x25+1x16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CAT6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2451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电线电缆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HDMI</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根</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电源</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吊灯</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蝶阀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蝶阀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镀锌钢管接头管件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640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镀锌钢管接头管件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DN32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124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镀锌钢管接头管件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162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短路隔离器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对开多叶调节阀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多功能水泵控制阀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多功能水泵控制阀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多媒体插座</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多叶调节阀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φ315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法兰闸阀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防火桥架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XFSP-(50+50+50)x50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风管侧向抗震支架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500X250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风管侧向抗震支架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630X400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风管双向抗震支架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500X250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风管双向抗震支架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630X400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风机盘管调速开关</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风扇调速开关</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封闭式热镀锌金属桥架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CTE(150+150)×100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封闭式热镀锌金属桥架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CT300×150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封闭式热镀锌金属桥架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CTE-(100+100)x100mm</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复合型板材</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m2</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1170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感烟探测器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感应龙头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干线传输设备(光放大器)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钢骨架塑料复合管直接</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DN80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钢骨架塑料复合管直接</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1270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钢骨架塑料复合管直接</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钢骨架塑料复合管直接</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Φ160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460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钢丝骨架复合管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228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钢丝骨架复合管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DN80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236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钢丝骨架复合管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377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钢丝骨架复合管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239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钢纤维混凝土井盖</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700*700*130mm厚</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钢制桥架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CT100*100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钢制桥架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CT100*50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公共广播、背景音乐系统设备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公共广播、背景音乐系统设备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功率音频处理器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沟槽阀门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沟槽阀门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沟槽阀门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沟槽法兰</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片</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沟槽法兰</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片</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沟槽法兰</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片</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沟槽法兰</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片</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沟槽式管件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DN65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沟槽式管件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164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沟槽式管件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沟槽式管接头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副</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沟槽式管接头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副</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沟槽式管接头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副</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沟槽直接头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DN70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沟槽直接头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296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沟槽直接头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123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焊接钢管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DN32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313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焊接钢管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748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焊接钢管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199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焊接钢管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230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会议音箱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火灾报警器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集控应急照明配电箱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2ELS-1F-2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集控应急照明配电箱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2ELS-1F-1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接地母线</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截止阀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DN32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截止阀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截止阀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卡箍连接件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卡箍连接件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卡箍连接件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可曲挠橡胶接头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可曲挠橡胶接头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可曲挠橡胶接头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可曲挠橡胶接头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XF-02-01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KT-02-09</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KT-02-10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KT-02-11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MDV-D45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MDV-D56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MDV-D63</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MDV-D71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MDV-D80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RF28T(RF28W)风量m3/h4500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RF50T(RF25X2W)风量m3/h7000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XF-02-01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XF-02-02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XF-02-03</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PF-01-01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8060m3/h,370W,70dB(A)</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RF50T(RF25X2W)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RF28T(RF28W)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KT-02-04</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KT-02-05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KT-02-17</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MDV-D63</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空调设备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MDV-D90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组合式消防柜</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SG18E65Z-J</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控制柜</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KQK-PGX-18.5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控制柜</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KQK-PJX-1.1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冷媒管铜分支器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φ28.6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冷凝结塑料管UPVC</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Φ20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247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冷凝结塑料管UPVC</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Φ32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250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流量计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六类网络跳线（RJ45)</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条</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螺纹管件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铝合金单层百叶风口</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2800X400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铝合金单层百叶风口</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2600X400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铝皮保护壳</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m2</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灭火器手提式</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MF/ABC5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灭火器箱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100 </w:t>
            </w:r>
          </w:p>
        </w:tc>
        <w:tc>
          <w:tcPr>
            <w:tcW w:w="1150" w:type="dxa"/>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模块箱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模拟末端试水装置</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992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DN32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266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DN40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175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281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DN65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334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DN80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173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501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365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内外壁热浸镀锌钢管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127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喷口</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喷口</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φ315 单个风量：1000m3/h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喷口</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φ315 单个风量：900m3/h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喷淋泵</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普通插座</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气压罐</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SQL800-0.6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潜污泵</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65WQ/C247-2.2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潜污泵</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潜污泵控制箱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桥架侧向抗震支架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MYQ-200-T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桥架侧向抗震支架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MYQ-200-TL</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桥架侧向抗震支架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MYQ-200+300-T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桥架侧向抗震支架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MYQ-200+300-TL</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桥架侧向抗震支架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MYQ-300+200-TL</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球墨铸铁井盖</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约重85kg ZQΦ700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取源部件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全向麦</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热镀锌扁钢</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40*4</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286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热轧薄钢板</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δ1.6～1.9</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kg</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20270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热轧厚钢板</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δ8～20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kg</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750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热轧厚钢板</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δ10～20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kg</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7950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热轧厚钢板</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δ12～20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kg</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1410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柔性排水铸铁管90°弯头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柔性排水铸铁管90°弯头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柔性排水铸铁管90°弯头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柔性排水铸铁管正三通</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柔性排水铸铁管正三通</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三管荧光灯</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3x15W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射灯LED</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494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射灯LED</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703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射灯灯带</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米</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318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声光报警器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湿式报警阀组</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ZSFZ150型</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试验消火栓</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室内消火栓水泵 立式单级消防泵</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Q=15L/S，H=60m，N=18.5Kw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手持无线话筒</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手动报警按钮</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输入输出模块</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LXL-50型</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水锤消除器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水锤消除器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MYS-DN65-T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MYS-DN80-T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MYS-DN100-T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MYS-DN65-TL</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MYS-DN70-TL</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MYS-DN80-TL</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MYS-DN100-TL</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MYS-DN150-T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水管侧向抗震支架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MYS-DN150-TL</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水流指示器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水嘴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四面出风嵌入机</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MDV-D71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塑料给水管PPR</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Φ20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242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塑料给水管PPR</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Φ32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塑料给水管PPR</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塑料给水管直接</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塑料给水管直接</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Φ110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433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塑料给水管直接</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Φ160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塑料接线盒</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600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塑料排水管UPVC</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Φ110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563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塑料排水管UPVC</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Φ160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天花板型换气扇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207m3/h,26W,100Pa,39.5dB(A)</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天花板型换气扇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207m3/h,0.026KW,39.5dB(A),100Pa</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调音台</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Φ12.7</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235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Φ15.9</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533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Φ18</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491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Φ19.1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221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Φ22.2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Φ28.6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340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Φ35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Φ38.1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183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铜管卡压管件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Φ12.7</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292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铜管卡压管件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Φ15.9</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698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铜管卡压管件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Φ15(18)</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641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铜管卡压管件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Φ19.1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227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铜管卡压管件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Φ22.2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铜管卡压管件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Φ28.6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349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铜管卡压管件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Φ38.1</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123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铜接线卡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1.0-2.5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1066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筒灯</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投影设备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图形显示装置</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尾纤</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10m</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根</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无缝钢管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Φ159×4.5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无缝钢管</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Φ219×6</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无线AP控制器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无线AP控制器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吸顶喇叭</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洗脸盆</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洗脸盆排水附件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下垂型喷头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638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显示器支架</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副</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显示消防水池及消防水箱水位装置</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现场编码控制器</w:t>
            </w:r>
          </w:p>
        </w:tc>
        <w:tc>
          <w:tcPr>
            <w:tcW w:w="2811" w:type="dxa"/>
            <w:shd w:val="clear" w:color="auto" w:fill="auto"/>
            <w:vAlign w:val="center"/>
          </w:tcPr>
          <w:p>
            <w:pPr>
              <w:jc w:val="center"/>
              <w:rPr>
                <w:rFonts w:hint="eastAsia" w:ascii="宋体" w:hAnsi="宋体" w:eastAsia="宋体" w:cs="宋体"/>
                <w:kern w:val="0"/>
                <w:sz w:val="18"/>
                <w:szCs w:val="18"/>
              </w:rPr>
            </w:pP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线管理器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线型光束感烟火灾探测器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橡胶管壳</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m3</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消防泵机械应急启动柜</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消防电话</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部</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消防电话</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部</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消防电源电压型监控模块</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消防电源电压型监控模块</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消防广播及电话主机(柜)</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消防广播区域控制盘</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功放功率500WX2</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消防设备电源监控器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消防水炮</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消防水炮主机</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消防巡检柜</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消防应急标志灯具</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消防应急标志灯具</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9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1000X800X500(H)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1400X1200X500(H)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1400X800X500(H)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1500X800X500(H)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1600X1000X500(H)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1600X900X500(H)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2000X1000X500(H)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2300X1300X500(H)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3500X800X500(H)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5000X1400X500(H)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5000X1500X500(H)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5000X800X500(H)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6400X1000X500(H)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6800X1400X500(H)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800X600X500(H)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8400X1000X500(H)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1200x600x600(H)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800×400×600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2400×1200×500（H)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1600×1000×500（H)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1800×1000×500（H)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1000×1000×500（H)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6200×1000×500（H)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5200×1400×500（H)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1000×700×500（H)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1000X600X500(H)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800X600X500（H）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1000X600X500（H）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1000X800X500（H）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1600X800X500（H）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1600X1200X500（H）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1600X1300X500（H）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1800X800X500（H）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1800X1000X500（H）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1800X1500X500（H）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2000X1000X500（H）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3000X1000X500（H）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3600X1000X500（H）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消声静压箱</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3800X1500X500（H）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小便器</w:t>
            </w:r>
          </w:p>
        </w:tc>
        <w:tc>
          <w:tcPr>
            <w:tcW w:w="2811" w:type="dxa"/>
            <w:shd w:val="clear" w:color="auto" w:fill="auto"/>
            <w:vAlign w:val="center"/>
          </w:tcPr>
          <w:p>
            <w:pPr>
              <w:jc w:val="center"/>
              <w:rPr>
                <w:rFonts w:hint="eastAsia" w:ascii="宋体" w:hAnsi="宋体" w:eastAsia="宋体" w:cs="宋体"/>
                <w:kern w:val="0"/>
                <w:sz w:val="18"/>
                <w:szCs w:val="18"/>
              </w:rPr>
            </w:pP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信号阀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信号源设备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压力表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0-1.6MPa</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压力开关</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压力开关</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扬声器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遥控浮球阀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一拖八数字无线会议麦克风</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一拖四数字无线会议麦克风</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仪表接头</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29 </w:t>
            </w:r>
          </w:p>
        </w:tc>
        <w:tc>
          <w:tcPr>
            <w:tcW w:w="1150" w:type="dxa"/>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应急照明集中控制器</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语音数据信息点</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增压稳压设备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Q=1L/S,H=46m,N=1.5KW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闸阀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闸阀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25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闸阀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闸阀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止回阀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止回阀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DN50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智能疏散方向标志灯</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64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智能双面显示疏散方向标志灯</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17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智能消防应急照明灯</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420</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智能消防应急照明灯</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72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421</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周边设备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422</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周边设备</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423</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铸铁井盖</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20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424</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铸铁井盖井座</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16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425</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专业功放</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3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426</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专业监控级硬盘（6T)</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8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427</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自动排气阀</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DN25</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4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428</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自起动柴油发电机组</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4500x2300x2200mm(LxWxH)</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台</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 </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429</w:t>
            </w:r>
          </w:p>
        </w:tc>
        <w:tc>
          <w:tcPr>
            <w:tcW w:w="2223"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阻火圈</w:t>
            </w:r>
          </w:p>
        </w:tc>
        <w:tc>
          <w:tcPr>
            <w:tcW w:w="281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DN100</w:t>
            </w:r>
          </w:p>
        </w:tc>
        <w:tc>
          <w:tcPr>
            <w:tcW w:w="6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个</w:t>
            </w:r>
          </w:p>
        </w:tc>
        <w:tc>
          <w:tcPr>
            <w:tcW w:w="76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19 </w:t>
            </w:r>
          </w:p>
        </w:tc>
        <w:tc>
          <w:tcPr>
            <w:tcW w:w="1150" w:type="dxa"/>
            <w:shd w:val="clear" w:color="auto" w:fill="auto"/>
            <w:vAlign w:val="center"/>
          </w:tcPr>
          <w:p>
            <w:pPr>
              <w:widowControl/>
              <w:jc w:val="center"/>
              <w:rPr>
                <w:rFonts w:ascii="宋体" w:hAnsi="宋体" w:cs="宋体"/>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8BA26"/>
    <w:multiLevelType w:val="singleLevel"/>
    <w:tmpl w:val="5588BA2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6D"/>
    <w:rsid w:val="006A55F7"/>
    <w:rsid w:val="006E486D"/>
    <w:rsid w:val="009B2081"/>
    <w:rsid w:val="00B34965"/>
    <w:rsid w:val="00B83260"/>
    <w:rsid w:val="00EE00DE"/>
    <w:rsid w:val="13D22A3A"/>
    <w:rsid w:val="321631B5"/>
    <w:rsid w:val="33EB3830"/>
    <w:rsid w:val="4AD92B54"/>
    <w:rsid w:val="4C5379C5"/>
    <w:rsid w:val="53903581"/>
    <w:rsid w:val="7EB2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kern w:val="0"/>
      <w:szCs w:val="20"/>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样式 样式 仿宋_GB2312 小四 加粗 段前: 7.8 磅 段后: 7.8 磅 行距: 固定值 18 磅 + 左侧:  0 ..."/>
    <w:basedOn w:val="2"/>
    <w:qFormat/>
    <w:uiPriority w:val="0"/>
    <w:pPr>
      <w:numPr>
        <w:ilvl w:val="1"/>
        <w:numId w:val="1"/>
      </w:numPr>
      <w:tabs>
        <w:tab w:val="left" w:pos="804"/>
      </w:tabs>
      <w:spacing w:before="156" w:beforeLines="50" w:after="156" w:afterLines="50"/>
      <w:ind w:left="805" w:hanging="805"/>
    </w:pPr>
    <w:rPr>
      <w:rFonts w:ascii="Arial" w:hAnsi="Arial" w:eastAsia="黑体" w:cs="Times New Roman"/>
      <w:sz w:val="24"/>
    </w:rPr>
  </w:style>
  <w:style w:type="character" w:customStyle="1" w:styleId="10">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1">
    <w:name w:val="页眉 Char"/>
    <w:basedOn w:val="7"/>
    <w:link w:val="5"/>
    <w:qFormat/>
    <w:uiPriority w:val="99"/>
    <w:rPr>
      <w:rFonts w:ascii="Times New Roman" w:hAnsi="Times New Roman" w:eastAsia="宋体" w:cs="Times New Roman"/>
      <w:kern w:val="2"/>
      <w:sz w:val="18"/>
      <w:szCs w:val="18"/>
    </w:rPr>
  </w:style>
  <w:style w:type="character" w:customStyle="1" w:styleId="12">
    <w:name w:val="页脚 Char"/>
    <w:basedOn w:val="7"/>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2465</Words>
  <Characters>14052</Characters>
  <Lines>117</Lines>
  <Paragraphs>32</Paragraphs>
  <TotalTime>0</TotalTime>
  <ScaleCrop>false</ScaleCrop>
  <LinksUpToDate>false</LinksUpToDate>
  <CharactersWithSpaces>16485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2020-06-05T03:13:00Z</dcterms:created>
  <dc:creator>吴 鸽</dc:creator>
  <cp:lastModifiedBy>吴永峰</cp:lastModifiedBy>
  <dcterms:modified xsi:type="dcterms:W3CDTF">2020-06-14T08:23:59Z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