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 标 公 告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eastAsia="黑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一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招标条件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根据中国建筑一局（集团）有限公司华南区域公司承接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广东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广州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市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花都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区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南航综合培训中心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项目施工进度安排，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电缆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采购已具备招标条件，特此公开招标 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项目概况及招标内容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1、项目名称：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南航综合培训中心项目施工总承包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2、项目地点：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广州市花都区山前大道以北，武广高铁以东，毗邻南航碧花园，南航综合培训中心地块（花都区CH0301 规划管理单元）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3、项目概况：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项目总用地面积112145.5㎡（可建设用地面积112011.4㎡），总建筑面积138000㎡（地上建筑面积106103㎡，地下建筑面积31897㎡）。建设内容包括：通用教学楼、展览楼、学员宿舍、乘务实操楼、综合服务楼等新建主体建筑、基础配套工程及保留建筑升级改造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4、招标内容：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>电缆采购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5、主要招标内容简介：物资名称、规格型号、计量单位、数量详见云筑网清单，送货城市（区域）：广州市花都区；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6、计价方法：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固定综合单价包干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7、评标方法及标准：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合理最低价中标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8、招标结果适用范围：中国建筑一局（集团）有限公司华南区域公司南航综合培训中心项目。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投标人资格要求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1、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具备商品电缆生产销售资质，两条以上生产线；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2、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无大额股权、债务、民事纠纷等法律诉讼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3、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具备一般纳税人资格，且可以开具专用增值税专用发票；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4、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上一年度“云筑网”评级结果在合格及以上，且无不良行为记录；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5、往期工程未出现较大质量事故；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6、具备一定的经营规模和服务能力；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7、具有良好的商业信誉和健全的财务会计制度；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符合上述全部条件，经招标人招标工作组审查合格后，才能成为合格的投标人。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报名方式与相关要求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1、报名时间：以“云筑网”通知的报名截止时间为准，逾期不再接受投标单位的报名；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2、报名方式：网络报名，通过“云筑网”（网址：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"https://www.yzw.cn/）上进行报名，不接受其他方式报名。" </w:instrTex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https://www.yzw.cn/）上进行报名，不接受其他方式报名；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3、说明：已在“云筑网”完成正式供应商注册的投标人，直接登录“云筑网”输入用户名和密码，成功登录后签收对应的招标公告并点击报名；未在“云筑网”注册的投标人，需先进行注册，注册信息通过审核合格后，再进行报名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1、资格免审：有以下情形的投标人可以免去现场资格审查环节：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（1）上一年度内与中建一局华南区域公司有合作且无不良行为记录；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（2）中建股份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电缆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联采中标单位；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（3）上一年度内云筑网评级结果为优质；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（4）其他符合招标人特定情形的投标单位；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2、资格审查资料清单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（1）投标单位三证合一营业执照，</w:t>
      </w:r>
      <w:r>
        <w:rPr>
          <w:rFonts w:hint="eastAsia" w:ascii="Times New Roman" w:hAnsi="Times New Roman" w:cs="Times New Roman"/>
          <w:sz w:val="24"/>
          <w:szCs w:val="24"/>
          <w:u w:val="single"/>
          <w:lang w:val="en-US" w:eastAsia="zh-CN"/>
        </w:rPr>
        <w:t xml:space="preserve"> 电缆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生产销售资质，提供一套复印件加盖公章存档使用；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（2）法定代表人身份证明及法定代表人授权书证明原件，格式参照招标公告附件；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（3）投标单位资信等级证书，质量、环境、职业健康安全管理体系认证证书原件；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（4）招标公告中</w:t>
      </w:r>
      <w:r>
        <w:rPr>
          <w:rFonts w:hint="eastAsia" w:ascii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三、投标人资格要求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中所列必须条件的证明资料原件；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3、资格审查时间及地点：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（1）资格审查时间：云筑网报名截止后1个工作日内；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（2）资格审查地点：以线上审查为主，报名时以所有文件加盖公章的扫描件作为附件上传云筑网，无需交纸质资料；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（3）投标人应将相应资料在规定时间内通过云筑网报名的附件形式上传，已报名但未上传附件的投标人视为资格审查不合格；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（4）提供虚假资资格审查资料的投标人，任何时候一经发现，取消其投标资格。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招标文件发放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1、发放时间：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投标人通过资格预审后，招标人通过“云筑网”（网址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"https://www.yzw.cn/）发布招标文件，具体时间另行通知。" </w:instrTex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https://www.yzw.cn/）发布招标文件，具体时间以“云筑网”发布为主</w:t>
      </w: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发放形式：招标文件发布电子版</w:t>
      </w: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发放对象：招标人招标工作组审核通过的投标人</w:t>
      </w: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发放渠道</w:t>
      </w: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（1）电子版招标文件：招标人通过“云筑网”（网址http://www.yzw.cn）进行发放，请投标人注意上线查收；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Style w:val="12"/>
          <w:rFonts w:hint="default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ascii="Times New Roman" w:hAnsi="Times New Roman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（2）书面版招标文件：本次招标不发放书面版招标文件。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投标文件递交及开标相关要求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投标文件递交截止时间及具体要求详见招标文件。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firstLine="482" w:firstLineChars="200"/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sz w:val="24"/>
          <w:szCs w:val="24"/>
        </w:rPr>
        <w:t>招标人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 xml:space="preserve">中国建筑一局（集团）有限公司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2、</w:t>
      </w:r>
      <w:r>
        <w:rPr>
          <w:rFonts w:hint="default" w:ascii="Times New Roman" w:hAnsi="Times New Roman" w:cs="Times New Roman"/>
          <w:sz w:val="24"/>
          <w:szCs w:val="24"/>
        </w:rPr>
        <w:t>联系人：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zh-CN"/>
        </w:rPr>
        <w:t xml:space="preserve"> 李扬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850" w:right="1134" w:bottom="850" w:left="1134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/>
      <w:textAlignment w:val="auto"/>
      <w:rPr>
        <w:rFonts w:hint="default"/>
        <w:lang w:val="en-US"/>
      </w:rPr>
    </w:pPr>
    <w:r>
      <w:rPr>
        <w:rFonts w:hint="eastAsia" w:ascii="黑体" w:hAnsi="黑体" w:eastAsia="黑体"/>
        <w:sz w:val="24"/>
        <w:szCs w:val="24"/>
      </w:rPr>
      <w:t xml:space="preserve"> </w:t>
    </w:r>
    <w:r>
      <w:rPr>
        <w:rFonts w:hint="eastAsia"/>
      </w:rPr>
      <w:object>
        <v:shape id="_x0000_i1025" o:spt="75" type="#_x0000_t75" style="height:14.8pt;width:15.8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  <w:r>
      <w:rPr>
        <w:rFonts w:hint="eastAsia" w:ascii="楷体" w:hAnsi="楷体" w:eastAsia="楷体" w:cs="楷体"/>
        <w:b/>
        <w:bCs/>
        <w:sz w:val="18"/>
        <w:szCs w:val="18"/>
      </w:rPr>
      <w:t>中国建筑一局（集团）有限公司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368CA"/>
    <w:multiLevelType w:val="singleLevel"/>
    <w:tmpl w:val="C27368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C2893"/>
    <w:rsid w:val="01E911F1"/>
    <w:rsid w:val="022A01D1"/>
    <w:rsid w:val="0806204C"/>
    <w:rsid w:val="08BB7569"/>
    <w:rsid w:val="0BC87FE6"/>
    <w:rsid w:val="0E477E61"/>
    <w:rsid w:val="0E8F7B46"/>
    <w:rsid w:val="1059203E"/>
    <w:rsid w:val="139778E3"/>
    <w:rsid w:val="13EE7388"/>
    <w:rsid w:val="14C45CEE"/>
    <w:rsid w:val="19253AA4"/>
    <w:rsid w:val="1A6D60AD"/>
    <w:rsid w:val="1A865570"/>
    <w:rsid w:val="21F23331"/>
    <w:rsid w:val="21F760CF"/>
    <w:rsid w:val="23B13EFC"/>
    <w:rsid w:val="23F97A58"/>
    <w:rsid w:val="24B306A9"/>
    <w:rsid w:val="273F0E59"/>
    <w:rsid w:val="29AB64A8"/>
    <w:rsid w:val="2B8B1F15"/>
    <w:rsid w:val="300D318F"/>
    <w:rsid w:val="35605BF7"/>
    <w:rsid w:val="38187DCE"/>
    <w:rsid w:val="382B76C0"/>
    <w:rsid w:val="44172D0B"/>
    <w:rsid w:val="449C4108"/>
    <w:rsid w:val="466239A3"/>
    <w:rsid w:val="478B39F1"/>
    <w:rsid w:val="4B861814"/>
    <w:rsid w:val="4E1F462B"/>
    <w:rsid w:val="51683772"/>
    <w:rsid w:val="52D97315"/>
    <w:rsid w:val="52E1200A"/>
    <w:rsid w:val="56405C61"/>
    <w:rsid w:val="56FC5230"/>
    <w:rsid w:val="5CD51938"/>
    <w:rsid w:val="5D3A563C"/>
    <w:rsid w:val="5EB77831"/>
    <w:rsid w:val="62EE269A"/>
    <w:rsid w:val="64E536BF"/>
    <w:rsid w:val="64E65E1F"/>
    <w:rsid w:val="651B2683"/>
    <w:rsid w:val="66D965A3"/>
    <w:rsid w:val="6AEE29F6"/>
    <w:rsid w:val="6BB82D3A"/>
    <w:rsid w:val="6E9907F2"/>
    <w:rsid w:val="6EA97E77"/>
    <w:rsid w:val="6F3455F4"/>
    <w:rsid w:val="6FBB4546"/>
    <w:rsid w:val="70CB699E"/>
    <w:rsid w:val="765476CB"/>
    <w:rsid w:val="77416202"/>
    <w:rsid w:val="79086A0D"/>
    <w:rsid w:val="7ADB4947"/>
    <w:rsid w:val="7C3C34DD"/>
    <w:rsid w:val="7E0A3360"/>
    <w:rsid w:val="7FA6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utoSpaceDE w:val="0"/>
      <w:autoSpaceDN w:val="0"/>
      <w:adjustRightInd w:val="0"/>
      <w:spacing w:before="140" w:beforeLines="0" w:after="140" w:afterLines="0" w:line="416" w:lineRule="auto"/>
      <w:jc w:val="left"/>
      <w:textAlignment w:val="baseline"/>
      <w:outlineLvl w:val="1"/>
    </w:pPr>
    <w:rPr>
      <w:rFonts w:ascii="Arial" w:hAnsi="Arial" w:eastAsia="黑体"/>
      <w:b/>
      <w:kern w:val="0"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  <w:pPr>
      <w:spacing w:before="156" w:beforeLines="50" w:after="156" w:afterLines="50"/>
    </w:pPr>
  </w:style>
  <w:style w:type="paragraph" w:styleId="8">
    <w:name w:val="toc 2"/>
    <w:basedOn w:val="1"/>
    <w:next w:val="1"/>
    <w:qFormat/>
    <w:uiPriority w:val="0"/>
    <w:pPr>
      <w:spacing w:before="156" w:beforeLines="50" w:after="156" w:afterLines="50"/>
      <w:ind w:left="420" w:left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5891</Words>
  <Characters>6211</Characters>
  <Lines>0</Lines>
  <Paragraphs>0</Paragraphs>
  <TotalTime>221</TotalTime>
  <ScaleCrop>false</ScaleCrop>
  <LinksUpToDate>false</LinksUpToDate>
  <CharactersWithSpaces>6620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2017-09-12T11:12:00Z</dcterms:created>
  <dc:creator>Administrator</dc:creator>
  <cp:lastModifiedBy>完</cp:lastModifiedBy>
  <dcterms:modified xsi:type="dcterms:W3CDTF">2020-07-03T10:27:57Z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