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81" w:rsidRPr="005456F6" w:rsidRDefault="00F31822" w:rsidP="00454DC7">
      <w:pPr>
        <w:spacing w:line="360" w:lineRule="auto"/>
        <w:ind w:right="800" w:firstLineChars="595" w:firstLine="2150"/>
        <w:contextualSpacing/>
        <w:mirrorIndents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询价采购</w:t>
      </w:r>
      <w:r w:rsidR="00292881" w:rsidRPr="005456F6">
        <w:rPr>
          <w:rFonts w:ascii="黑体" w:eastAsia="黑体" w:hAnsi="黑体" w:hint="eastAsia"/>
          <w:b/>
          <w:sz w:val="36"/>
          <w:szCs w:val="36"/>
        </w:rPr>
        <w:t>报价</w:t>
      </w:r>
      <w:r w:rsidR="00D35FCE" w:rsidRPr="005456F6">
        <w:rPr>
          <w:rFonts w:ascii="黑体" w:eastAsia="黑体" w:hAnsi="黑体" w:hint="eastAsia"/>
          <w:b/>
          <w:sz w:val="36"/>
          <w:szCs w:val="36"/>
        </w:rPr>
        <w:t>要求</w:t>
      </w:r>
    </w:p>
    <w:p w:rsidR="006A3345" w:rsidRPr="00900039" w:rsidRDefault="005456F6" w:rsidP="00900039">
      <w:pPr>
        <w:tabs>
          <w:tab w:val="left" w:pos="0"/>
          <w:tab w:val="left" w:pos="993"/>
        </w:tabs>
        <w:spacing w:line="600" w:lineRule="exact"/>
        <w:ind w:left="1280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一、</w:t>
      </w:r>
      <w:r w:rsidR="006A3345" w:rsidRPr="00900039">
        <w:rPr>
          <w:rFonts w:ascii="仿宋_GB2312" w:eastAsia="仿宋_GB2312" w:hAnsi="黑体" w:hint="eastAsia"/>
          <w:b/>
          <w:sz w:val="28"/>
          <w:szCs w:val="28"/>
        </w:rPr>
        <w:t>供应商</w:t>
      </w:r>
      <w:r w:rsidR="00713785" w:rsidRPr="00900039">
        <w:rPr>
          <w:rFonts w:ascii="仿宋_GB2312" w:eastAsia="仿宋_GB2312" w:hAnsi="黑体" w:hint="eastAsia"/>
          <w:b/>
          <w:sz w:val="28"/>
          <w:szCs w:val="28"/>
        </w:rPr>
        <w:t>资质条件</w:t>
      </w:r>
    </w:p>
    <w:p w:rsidR="00E956AD" w:rsidRPr="00900039" w:rsidRDefault="00F06D2A" w:rsidP="00900039">
      <w:pPr>
        <w:spacing w:line="600" w:lineRule="exact"/>
        <w:contextualSpacing/>
        <w:mirrorIndents/>
        <w:jc w:val="left"/>
        <w:rPr>
          <w:rFonts w:ascii="仿宋_GB2312" w:eastAsia="仿宋_GB2312"/>
          <w:sz w:val="28"/>
          <w:szCs w:val="28"/>
        </w:rPr>
      </w:pPr>
      <w:r w:rsidRPr="00900039">
        <w:rPr>
          <w:rFonts w:ascii="仿宋_GB2312" w:eastAsia="仿宋_GB2312" w:hint="eastAsia"/>
          <w:sz w:val="28"/>
          <w:szCs w:val="28"/>
        </w:rPr>
        <w:t>（一）</w:t>
      </w:r>
      <w:r w:rsidR="001E2FC2" w:rsidRPr="00900039">
        <w:rPr>
          <w:rFonts w:ascii="仿宋_GB2312" w:eastAsia="仿宋_GB2312" w:hint="eastAsia"/>
          <w:sz w:val="28"/>
          <w:szCs w:val="28"/>
        </w:rPr>
        <w:t>能够独立承担民事责任的法人、其它组织或者个人；</w:t>
      </w:r>
    </w:p>
    <w:p w:rsidR="00E956AD" w:rsidRPr="00900039" w:rsidRDefault="00F7334D" w:rsidP="00900039">
      <w:pPr>
        <w:spacing w:line="600" w:lineRule="exact"/>
        <w:contextualSpacing/>
        <w:mirrorIndents/>
        <w:jc w:val="left"/>
        <w:rPr>
          <w:rFonts w:ascii="仿宋_GB2312" w:eastAsia="仿宋_GB2312"/>
          <w:sz w:val="28"/>
          <w:szCs w:val="28"/>
        </w:rPr>
      </w:pPr>
      <w:r w:rsidRPr="00900039">
        <w:rPr>
          <w:rFonts w:ascii="仿宋_GB2312" w:eastAsia="仿宋_GB2312" w:hint="eastAsia"/>
          <w:sz w:val="28"/>
          <w:szCs w:val="28"/>
        </w:rPr>
        <w:t>（二）</w:t>
      </w:r>
      <w:r w:rsidR="000C0A1A" w:rsidRPr="00900039">
        <w:rPr>
          <w:rFonts w:ascii="仿宋_GB2312" w:eastAsia="仿宋_GB2312" w:hint="eastAsia"/>
          <w:sz w:val="28"/>
          <w:szCs w:val="28"/>
        </w:rPr>
        <w:t xml:space="preserve">具有一般纳税人资格 ； </w:t>
      </w:r>
    </w:p>
    <w:p w:rsidR="004F38C4" w:rsidRPr="00F31822" w:rsidRDefault="001E2FC2" w:rsidP="00900039">
      <w:pPr>
        <w:tabs>
          <w:tab w:val="left" w:pos="1276"/>
        </w:tabs>
        <w:spacing w:line="600" w:lineRule="exact"/>
        <w:contextualSpacing/>
        <w:mirrorIndents/>
        <w:jc w:val="left"/>
        <w:rPr>
          <w:rFonts w:ascii="仿宋_GB2312" w:eastAsia="仿宋_GB2312" w:hint="eastAsia"/>
          <w:sz w:val="28"/>
          <w:szCs w:val="28"/>
        </w:rPr>
      </w:pPr>
      <w:r w:rsidRPr="00F31822">
        <w:rPr>
          <w:rFonts w:ascii="仿宋_GB2312" w:eastAsia="仿宋_GB2312" w:hint="eastAsia"/>
          <w:sz w:val="28"/>
          <w:szCs w:val="28"/>
        </w:rPr>
        <w:t>（三）</w:t>
      </w:r>
      <w:r w:rsidR="000C0A1A" w:rsidRPr="00F31822">
        <w:rPr>
          <w:rFonts w:ascii="仿宋_GB2312" w:eastAsia="仿宋_GB2312" w:hint="eastAsia"/>
          <w:sz w:val="28"/>
          <w:szCs w:val="28"/>
        </w:rPr>
        <w:t>须为华能集团、山东公司供应商库内的合格供应商</w:t>
      </w:r>
      <w:r w:rsidR="00A65F65" w:rsidRPr="00F31822">
        <w:rPr>
          <w:rFonts w:ascii="仿宋_GB2312" w:eastAsia="仿宋_GB2312" w:hint="eastAsia"/>
          <w:sz w:val="28"/>
          <w:szCs w:val="28"/>
        </w:rPr>
        <w:t>。</w:t>
      </w:r>
    </w:p>
    <w:p w:rsidR="00F31822" w:rsidRPr="00F31822" w:rsidRDefault="00F31822" w:rsidP="00900039">
      <w:pPr>
        <w:tabs>
          <w:tab w:val="left" w:pos="1276"/>
        </w:tabs>
        <w:spacing w:line="600" w:lineRule="exact"/>
        <w:contextualSpacing/>
        <w:mirrorIndents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F31822">
        <w:rPr>
          <w:rFonts w:ascii="仿宋_GB2312" w:eastAsia="仿宋_GB2312" w:hint="eastAsia"/>
          <w:sz w:val="28"/>
          <w:szCs w:val="28"/>
        </w:rPr>
        <w:t>（四）</w:t>
      </w:r>
      <w:r w:rsidRPr="00F31822">
        <w:rPr>
          <w:rFonts w:ascii="仿宋_GB2312" w:eastAsia="仿宋_GB2312" w:hAnsiTheme="minorEastAsia"/>
          <w:sz w:val="28"/>
          <w:szCs w:val="28"/>
        </w:rPr>
        <w:t>禁止失信被执行人、 行贿受贿行为人、 法律所禁止的存在关联关系供应商参与采购活动。</w:t>
      </w:r>
    </w:p>
    <w:p w:rsidR="00F31822" w:rsidRPr="00F31822" w:rsidRDefault="00F31822" w:rsidP="00F31822">
      <w:pPr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F31822">
        <w:rPr>
          <w:rFonts w:ascii="仿宋_GB2312" w:eastAsia="仿宋_GB2312" w:hAnsiTheme="minorEastAsia" w:hint="eastAsia"/>
          <w:sz w:val="28"/>
          <w:szCs w:val="28"/>
        </w:rPr>
        <w:t>（五）</w:t>
      </w:r>
      <w:r>
        <w:rPr>
          <w:rFonts w:ascii="仿宋_GB2312" w:eastAsia="仿宋_GB2312" w:hAnsiTheme="minorEastAsia" w:hint="eastAsia"/>
          <w:sz w:val="28"/>
          <w:szCs w:val="28"/>
        </w:rPr>
        <w:t>如果存在</w:t>
      </w:r>
      <w:r w:rsidRPr="00F31822">
        <w:rPr>
          <w:rFonts w:ascii="仿宋_GB2312" w:eastAsia="仿宋_GB2312" w:hAnsiTheme="minorEastAsia" w:hint="eastAsia"/>
          <w:sz w:val="28"/>
          <w:szCs w:val="28"/>
        </w:rPr>
        <w:t>被人民法院纳入“失信被执行人”名单，被工商行政管理机关在“国家企业信用信息公示系统”中列入严重违法失信企业名单等情况</w:t>
      </w:r>
      <w:r>
        <w:rPr>
          <w:rFonts w:ascii="仿宋_GB2312" w:eastAsia="仿宋_GB2312" w:hAnsiTheme="minorEastAsia" w:hint="eastAsia"/>
          <w:sz w:val="28"/>
          <w:szCs w:val="28"/>
        </w:rPr>
        <w:t>，禁止</w:t>
      </w:r>
      <w:r w:rsidRPr="00F31822">
        <w:rPr>
          <w:rFonts w:ascii="仿宋_GB2312" w:eastAsia="仿宋_GB2312" w:hAnsiTheme="minorEastAsia"/>
          <w:sz w:val="28"/>
          <w:szCs w:val="28"/>
        </w:rPr>
        <w:t>参与采购活动</w:t>
      </w:r>
      <w:r w:rsidRPr="00F3182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31822" w:rsidRPr="00F31822" w:rsidRDefault="00F31822" w:rsidP="00F31822">
      <w:pPr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F31822">
        <w:rPr>
          <w:rFonts w:ascii="仿宋_GB2312" w:eastAsia="仿宋_GB2312" w:hAnsiTheme="minorEastAsia" w:hint="eastAsia"/>
          <w:sz w:val="28"/>
          <w:szCs w:val="28"/>
        </w:rPr>
        <w:t>（六）参与同一采购项目的供应商</w:t>
      </w:r>
      <w:r>
        <w:rPr>
          <w:rFonts w:ascii="仿宋_GB2312" w:eastAsia="仿宋_GB2312" w:hAnsiTheme="minorEastAsia" w:hint="eastAsia"/>
          <w:sz w:val="28"/>
          <w:szCs w:val="28"/>
        </w:rPr>
        <w:t>如果</w:t>
      </w:r>
      <w:r w:rsidRPr="00F31822">
        <w:rPr>
          <w:rFonts w:ascii="仿宋_GB2312" w:eastAsia="仿宋_GB2312" w:hAnsiTheme="minorEastAsia" w:hint="eastAsia"/>
          <w:sz w:val="28"/>
          <w:szCs w:val="28"/>
        </w:rPr>
        <w:t>存在《招标投标法实施条例》所禁止的关联关系</w:t>
      </w:r>
      <w:r>
        <w:rPr>
          <w:rFonts w:ascii="仿宋_GB2312" w:eastAsia="仿宋_GB2312" w:hAnsiTheme="minorEastAsia" w:hint="eastAsia"/>
          <w:sz w:val="28"/>
          <w:szCs w:val="28"/>
        </w:rPr>
        <w:t>，则只允许其中一家供应商参与</w:t>
      </w:r>
      <w:r w:rsidRPr="00F31822">
        <w:rPr>
          <w:rFonts w:ascii="仿宋_GB2312" w:eastAsia="仿宋_GB2312" w:hAnsiTheme="minorEastAsia"/>
          <w:sz w:val="28"/>
          <w:szCs w:val="28"/>
        </w:rPr>
        <w:t>采购活动</w:t>
      </w:r>
      <w:r w:rsidRPr="00F3182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C102E1" w:rsidRPr="00900039" w:rsidRDefault="005456F6" w:rsidP="00900039">
      <w:pPr>
        <w:pStyle w:val="a3"/>
        <w:spacing w:line="600" w:lineRule="exact"/>
        <w:ind w:left="1280" w:firstLineChars="0" w:firstLine="0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F31822">
        <w:rPr>
          <w:rFonts w:ascii="仿宋_GB2312" w:eastAsia="仿宋_GB2312" w:hAnsi="黑体" w:hint="eastAsia"/>
          <w:b/>
          <w:sz w:val="28"/>
          <w:szCs w:val="28"/>
        </w:rPr>
        <w:t>二、</w:t>
      </w:r>
      <w:r w:rsidR="00D611E6" w:rsidRPr="00F31822">
        <w:rPr>
          <w:rFonts w:ascii="仿宋_GB2312" w:eastAsia="仿宋_GB2312" w:hAnsi="黑体" w:hint="eastAsia"/>
          <w:b/>
          <w:sz w:val="28"/>
          <w:szCs w:val="28"/>
        </w:rPr>
        <w:t>报价要求</w:t>
      </w:r>
    </w:p>
    <w:p w:rsidR="00D84C51" w:rsidRPr="00FB5A48" w:rsidRDefault="00D84C51" w:rsidP="00900039">
      <w:pPr>
        <w:spacing w:line="600" w:lineRule="exact"/>
        <w:contextualSpacing/>
        <w:mirrorIndents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</w:t>
      </w:r>
      <w:r w:rsidRPr="00FB5A48">
        <w:rPr>
          <w:rFonts w:ascii="仿宋_GB2312" w:eastAsia="仿宋_GB2312" w:hAnsiTheme="minorEastAsia" w:hint="eastAsia"/>
          <w:sz w:val="28"/>
          <w:szCs w:val="28"/>
        </w:rPr>
        <w:t>一）</w:t>
      </w:r>
      <w:r w:rsidR="000C0A1A" w:rsidRPr="00FB5A48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16EDF" w:rsidRPr="00FB5A48">
        <w:rPr>
          <w:rFonts w:ascii="仿宋_GB2312" w:eastAsia="仿宋_GB2312" w:hAnsiTheme="minorEastAsia" w:hint="eastAsia"/>
          <w:sz w:val="28"/>
          <w:szCs w:val="28"/>
        </w:rPr>
        <w:t>供应商</w:t>
      </w:r>
      <w:r w:rsidR="00FB5A48" w:rsidRPr="00FB5A48">
        <w:rPr>
          <w:rFonts w:ascii="仿宋_GB2312" w:eastAsia="仿宋_GB2312" w:hAnsiTheme="minorEastAsia" w:hint="eastAsia"/>
          <w:sz w:val="28"/>
          <w:szCs w:val="28"/>
        </w:rPr>
        <w:t>报价须含包装费、运杂费、保险费用等到达</w:t>
      </w:r>
      <w:r w:rsidR="00FB5A48">
        <w:rPr>
          <w:rFonts w:ascii="仿宋_GB2312" w:eastAsia="仿宋_GB2312" w:hAnsiTheme="minorEastAsia" w:hint="eastAsia"/>
          <w:sz w:val="28"/>
          <w:szCs w:val="28"/>
        </w:rPr>
        <w:t>华能</w:t>
      </w:r>
      <w:r w:rsidR="00FB5A48" w:rsidRPr="00FB5A48">
        <w:rPr>
          <w:rFonts w:ascii="仿宋_GB2312" w:eastAsia="仿宋_GB2312" w:hAnsiTheme="minorEastAsia" w:hint="eastAsia"/>
          <w:sz w:val="28"/>
          <w:szCs w:val="28"/>
        </w:rPr>
        <w:t>威海</w:t>
      </w:r>
      <w:r w:rsidR="00F5722A" w:rsidRPr="00900039">
        <w:rPr>
          <w:rFonts w:ascii="仿宋_GB2312" w:eastAsia="仿宋_GB2312" w:hAnsiTheme="minorEastAsia" w:hint="eastAsia"/>
          <w:sz w:val="28"/>
          <w:szCs w:val="28"/>
        </w:rPr>
        <w:t>发电有限责任公司</w:t>
      </w:r>
      <w:r w:rsidR="009455BA" w:rsidRPr="00FB5A48">
        <w:rPr>
          <w:rFonts w:ascii="仿宋_GB2312" w:eastAsia="仿宋_GB2312" w:hAnsiTheme="minorEastAsia" w:hint="eastAsia"/>
          <w:sz w:val="28"/>
          <w:szCs w:val="28"/>
        </w:rPr>
        <w:t>物资仓库的所有费用</w:t>
      </w:r>
      <w:r w:rsidR="001D29C2" w:rsidRPr="00FB5A48">
        <w:rPr>
          <w:rFonts w:ascii="仿宋_GB2312" w:eastAsia="仿宋_GB2312" w:hAnsiTheme="minorEastAsia" w:hint="eastAsia"/>
          <w:sz w:val="28"/>
          <w:szCs w:val="28"/>
        </w:rPr>
        <w:t>，</w:t>
      </w:r>
      <w:r w:rsidR="00181A74" w:rsidRPr="00FB5A48">
        <w:rPr>
          <w:rFonts w:ascii="仿宋_GB2312" w:eastAsia="仿宋_GB2312" w:hAnsiTheme="minorEastAsia" w:hint="eastAsia"/>
          <w:sz w:val="28"/>
          <w:szCs w:val="28"/>
        </w:rPr>
        <w:t>请报不含税单价</w:t>
      </w:r>
      <w:r w:rsidR="00D16EDF" w:rsidRPr="00FB5A48">
        <w:rPr>
          <w:rFonts w:ascii="仿宋_GB2312" w:eastAsia="仿宋_GB2312" w:hAnsiTheme="minorEastAsia" w:hint="eastAsia"/>
          <w:sz w:val="28"/>
          <w:szCs w:val="28"/>
        </w:rPr>
        <w:t>，</w:t>
      </w:r>
      <w:r w:rsidR="00C102E1" w:rsidRPr="00FB5A48">
        <w:rPr>
          <w:rFonts w:ascii="仿宋_GB2312" w:eastAsia="仿宋_GB2312" w:hAnsiTheme="minorEastAsia" w:hint="eastAsia"/>
          <w:sz w:val="28"/>
          <w:szCs w:val="28"/>
        </w:rPr>
        <w:t>税率1</w:t>
      </w:r>
      <w:r w:rsidR="00404623" w:rsidRPr="00FB5A48">
        <w:rPr>
          <w:rFonts w:ascii="仿宋_GB2312" w:eastAsia="仿宋_GB2312" w:hAnsiTheme="minorEastAsia" w:hint="eastAsia"/>
          <w:sz w:val="28"/>
          <w:szCs w:val="28"/>
        </w:rPr>
        <w:t>3</w:t>
      </w:r>
      <w:r w:rsidR="00C102E1" w:rsidRPr="00FB5A48">
        <w:rPr>
          <w:rFonts w:ascii="仿宋_GB2312" w:eastAsia="仿宋_GB2312" w:hAnsiTheme="minorEastAsia" w:hint="eastAsia"/>
          <w:sz w:val="28"/>
          <w:szCs w:val="28"/>
        </w:rPr>
        <w:t>%</w:t>
      </w:r>
      <w:r w:rsidR="00333496" w:rsidRPr="00FB5A48">
        <w:rPr>
          <w:rFonts w:ascii="仿宋_GB2312" w:eastAsia="仿宋_GB2312" w:hAnsiTheme="minorEastAsia" w:hint="eastAsia"/>
          <w:sz w:val="28"/>
          <w:szCs w:val="28"/>
        </w:rPr>
        <w:t>。</w:t>
      </w:r>
      <w:r w:rsidR="000C0A1A" w:rsidRPr="00FB5A48">
        <w:rPr>
          <w:rFonts w:ascii="仿宋_GB2312" w:eastAsia="仿宋_GB2312" w:hAnsiTheme="minorEastAsia" w:hint="eastAsia"/>
          <w:sz w:val="28"/>
          <w:szCs w:val="28"/>
        </w:rPr>
        <w:t>所有产品需</w:t>
      </w:r>
      <w:r w:rsidR="001D29C2" w:rsidRPr="00FB5A48">
        <w:rPr>
          <w:rFonts w:ascii="仿宋_GB2312" w:eastAsia="仿宋_GB2312" w:hAnsiTheme="minorEastAsia" w:hint="eastAsia"/>
          <w:sz w:val="28"/>
          <w:szCs w:val="28"/>
        </w:rPr>
        <w:t>按照要求认真填写附表（见附件）</w:t>
      </w:r>
      <w:r w:rsidR="000C0A1A" w:rsidRPr="00FB5A48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F31822" w:rsidRDefault="00963BA0" w:rsidP="006F7AFF">
      <w:pPr>
        <w:spacing w:line="600" w:lineRule="exact"/>
        <w:contextualSpacing/>
        <w:mirrorIndents/>
        <w:rPr>
          <w:rFonts w:ascii="仿宋_GB2312" w:eastAsia="仿宋_GB2312" w:hint="eastAsia"/>
          <w:sz w:val="28"/>
          <w:szCs w:val="28"/>
        </w:rPr>
      </w:pPr>
      <w:r w:rsidRPr="00FB5A48">
        <w:rPr>
          <w:rFonts w:ascii="仿宋_GB2312" w:eastAsia="仿宋_GB2312" w:hAnsiTheme="minorEastAsia" w:hint="eastAsia"/>
          <w:sz w:val="28"/>
          <w:szCs w:val="28"/>
        </w:rPr>
        <w:t>（二）</w:t>
      </w:r>
      <w:r w:rsidRPr="00FB5A48">
        <w:rPr>
          <w:rFonts w:ascii="仿宋_GB2312" w:eastAsia="仿宋_GB2312" w:hint="eastAsia"/>
          <w:sz w:val="28"/>
          <w:szCs w:val="28"/>
        </w:rPr>
        <w:t>原则上</w:t>
      </w:r>
      <w:r w:rsidR="006F7AFF" w:rsidRPr="00FB5A48">
        <w:rPr>
          <w:rFonts w:ascii="仿宋_GB2312" w:eastAsia="仿宋_GB2312" w:hint="eastAsia"/>
          <w:sz w:val="28"/>
          <w:szCs w:val="28"/>
        </w:rPr>
        <w:t>从原生产商或制造商处购买产品，如果生产商或制造商只通过代理商渠道销售产品的，代理商应出具生产商或制造商的直接授权代理资格</w:t>
      </w:r>
      <w:r w:rsidR="00FB5A48">
        <w:rPr>
          <w:rFonts w:ascii="仿宋_GB2312" w:eastAsia="仿宋_GB2312" w:hint="eastAsia"/>
          <w:sz w:val="28"/>
          <w:szCs w:val="28"/>
        </w:rPr>
        <w:t>或</w:t>
      </w:r>
      <w:r w:rsidRPr="00FB5A48">
        <w:rPr>
          <w:rFonts w:ascii="仿宋_GB2312" w:eastAsia="仿宋_GB2312" w:hint="eastAsia"/>
          <w:sz w:val="28"/>
          <w:szCs w:val="28"/>
        </w:rPr>
        <w:t>证明</w:t>
      </w:r>
      <w:r w:rsidR="00FB5A48">
        <w:rPr>
          <w:rFonts w:ascii="仿宋_GB2312" w:eastAsia="仿宋_GB2312" w:hint="eastAsia"/>
          <w:sz w:val="28"/>
          <w:szCs w:val="28"/>
        </w:rPr>
        <w:t>供货产品的合格性</w:t>
      </w:r>
      <w:r w:rsidR="006F7AFF" w:rsidRPr="00FB5A48">
        <w:rPr>
          <w:rFonts w:ascii="仿宋_GB2312" w:eastAsia="仿宋_GB2312" w:hint="eastAsia"/>
          <w:sz w:val="28"/>
          <w:szCs w:val="28"/>
        </w:rPr>
        <w:t>。</w:t>
      </w:r>
    </w:p>
    <w:p w:rsidR="006F7AFF" w:rsidRPr="00FB5A48" w:rsidRDefault="00F31822" w:rsidP="00F31822">
      <w:pPr>
        <w:spacing w:line="600" w:lineRule="exact"/>
        <w:ind w:firstLineChars="200" w:firstLine="560"/>
        <w:contextualSpacing/>
        <w:mirrorIndents/>
        <w:rPr>
          <w:rFonts w:ascii="仿宋_GB2312" w:eastAsia="仿宋_GB2312"/>
          <w:sz w:val="28"/>
          <w:szCs w:val="28"/>
        </w:rPr>
      </w:pPr>
      <w:r w:rsidRPr="00F31822">
        <w:rPr>
          <w:rFonts w:ascii="仿宋_GB2312" w:eastAsia="仿宋_GB2312" w:hint="eastAsia"/>
          <w:sz w:val="28"/>
          <w:szCs w:val="28"/>
        </w:rPr>
        <w:t>允许代理商参与的采购项目，只允许生产商或制造商直接授权的代理商参与采购项目，禁止存在转授权情况的代理商参与采购项目。</w:t>
      </w:r>
      <w:r w:rsidR="006F7AFF" w:rsidRPr="00FB5A48">
        <w:rPr>
          <w:rFonts w:ascii="仿宋_GB2312" w:eastAsia="仿宋_GB2312" w:hint="eastAsia"/>
          <w:sz w:val="28"/>
          <w:szCs w:val="28"/>
        </w:rPr>
        <w:t xml:space="preserve"> </w:t>
      </w:r>
    </w:p>
    <w:p w:rsidR="006F7AFF" w:rsidRPr="00963BA0" w:rsidRDefault="00963BA0" w:rsidP="006F7AFF">
      <w:pPr>
        <w:spacing w:line="600" w:lineRule="exact"/>
        <w:contextualSpacing/>
        <w:mirrorIndents/>
        <w:rPr>
          <w:rFonts w:ascii="仿宋_GB2312" w:eastAsia="仿宋_GB2312"/>
          <w:sz w:val="28"/>
          <w:szCs w:val="28"/>
        </w:rPr>
      </w:pPr>
      <w:r w:rsidRPr="00FB5A48">
        <w:rPr>
          <w:rFonts w:ascii="仿宋_GB2312" w:eastAsia="仿宋_GB2312" w:hAnsiTheme="minorEastAsia" w:hint="eastAsia"/>
          <w:sz w:val="28"/>
          <w:szCs w:val="28"/>
        </w:rPr>
        <w:t>（三）</w:t>
      </w:r>
      <w:r w:rsidRPr="00FB5A48">
        <w:rPr>
          <w:rFonts w:ascii="仿宋_GB2312" w:eastAsia="仿宋_GB2312" w:hint="eastAsia"/>
          <w:sz w:val="28"/>
          <w:szCs w:val="28"/>
        </w:rPr>
        <w:t>如果是进口产品，</w:t>
      </w:r>
      <w:r w:rsidR="006F7AFF" w:rsidRPr="00FB5A48">
        <w:rPr>
          <w:rFonts w:ascii="仿宋_GB2312" w:eastAsia="仿宋_GB2312" w:hint="eastAsia"/>
          <w:sz w:val="28"/>
          <w:szCs w:val="28"/>
        </w:rPr>
        <w:t>供应商必须提供</w:t>
      </w:r>
      <w:r w:rsidR="00FB5A48" w:rsidRPr="00FB5A48">
        <w:rPr>
          <w:rFonts w:ascii="仿宋_GB2312" w:eastAsia="仿宋_GB2312" w:hint="eastAsia"/>
          <w:sz w:val="28"/>
          <w:szCs w:val="28"/>
        </w:rPr>
        <w:t>进口</w:t>
      </w:r>
      <w:r w:rsidR="006F7AFF" w:rsidRPr="00FB5A48">
        <w:rPr>
          <w:rFonts w:ascii="仿宋_GB2312" w:eastAsia="仿宋_GB2312" w:hint="eastAsia"/>
          <w:sz w:val="28"/>
          <w:szCs w:val="28"/>
        </w:rPr>
        <w:t>产品的原产地证明，代理商还应提供海关报关单、</w:t>
      </w:r>
      <w:r w:rsidR="006F7AFF" w:rsidRPr="00963BA0">
        <w:rPr>
          <w:rFonts w:ascii="仿宋_GB2312" w:eastAsia="仿宋_GB2312" w:hint="eastAsia"/>
          <w:sz w:val="28"/>
          <w:szCs w:val="28"/>
        </w:rPr>
        <w:t>商检证明等。</w:t>
      </w:r>
    </w:p>
    <w:p w:rsidR="0075706C" w:rsidRDefault="00E34DD5" w:rsidP="00900039">
      <w:pPr>
        <w:spacing w:line="600" w:lineRule="exact"/>
        <w:contextualSpacing/>
        <w:mirrorIndents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lastRenderedPageBreak/>
        <w:t>（</w:t>
      </w:r>
      <w:r w:rsidR="00963BA0">
        <w:rPr>
          <w:rFonts w:ascii="仿宋_GB2312" w:eastAsia="仿宋_GB2312" w:hAnsiTheme="minorEastAsia" w:hint="eastAsia"/>
          <w:sz w:val="28"/>
          <w:szCs w:val="28"/>
        </w:rPr>
        <w:t>四</w:t>
      </w:r>
      <w:r w:rsidRPr="00900039">
        <w:rPr>
          <w:rFonts w:ascii="仿宋_GB2312" w:eastAsia="仿宋_GB2312" w:hAnsiTheme="minorEastAsia" w:hint="eastAsia"/>
          <w:sz w:val="28"/>
          <w:szCs w:val="28"/>
        </w:rPr>
        <w:t>）</w:t>
      </w:r>
      <w:r w:rsidR="000C0A1A" w:rsidRPr="00900039">
        <w:rPr>
          <w:rFonts w:ascii="仿宋_GB2312" w:eastAsia="仿宋_GB2312" w:hint="eastAsia"/>
          <w:sz w:val="28"/>
          <w:szCs w:val="28"/>
        </w:rPr>
        <w:t>供应商所报价的产品须在营业执照核定的经营范围之内</w:t>
      </w:r>
      <w:r w:rsidR="00333496" w:rsidRPr="0090003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52BDF" w:rsidRPr="00900039" w:rsidRDefault="0075706C" w:rsidP="00900039">
      <w:pPr>
        <w:spacing w:line="600" w:lineRule="exact"/>
        <w:contextualSpacing/>
        <w:mirrorIndents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hint="eastAsia"/>
          <w:sz w:val="28"/>
          <w:szCs w:val="28"/>
        </w:rPr>
        <w:t>五</w:t>
      </w:r>
      <w:r w:rsidRPr="00900039">
        <w:rPr>
          <w:rFonts w:ascii="仿宋_GB2312" w:eastAsia="仿宋_GB2312" w:hAnsiTheme="minorEastAsia" w:hint="eastAsia"/>
          <w:sz w:val="28"/>
          <w:szCs w:val="28"/>
        </w:rPr>
        <w:t>）</w:t>
      </w:r>
      <w:r w:rsidR="00D84C51" w:rsidRPr="00900039">
        <w:rPr>
          <w:rFonts w:ascii="仿宋_GB2312" w:eastAsia="仿宋_GB2312" w:hAnsiTheme="minorEastAsia" w:hint="eastAsia"/>
          <w:sz w:val="28"/>
          <w:szCs w:val="28"/>
        </w:rPr>
        <w:t>对询价公告中的</w:t>
      </w:r>
      <w:r w:rsidR="00181A74" w:rsidRPr="00900039">
        <w:rPr>
          <w:rFonts w:ascii="仿宋_GB2312" w:eastAsia="仿宋_GB2312" w:hAnsiTheme="minorEastAsia" w:hint="eastAsia"/>
          <w:sz w:val="28"/>
          <w:szCs w:val="28"/>
        </w:rPr>
        <w:t>所有询价项目均要报价，</w:t>
      </w:r>
      <w:r w:rsidR="00C102E1" w:rsidRPr="00900039">
        <w:rPr>
          <w:rFonts w:ascii="仿宋_GB2312" w:eastAsia="仿宋_GB2312" w:hAnsiTheme="minorEastAsia" w:hint="eastAsia"/>
          <w:sz w:val="28"/>
          <w:szCs w:val="28"/>
        </w:rPr>
        <w:t>选择性报价将被视为无效报价。</w:t>
      </w:r>
      <w:r w:rsidR="009455BA" w:rsidRPr="00900039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FD4BA3" w:rsidRPr="00900039" w:rsidRDefault="00C102E1" w:rsidP="00900039">
      <w:pPr>
        <w:spacing w:line="600" w:lineRule="exact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三、</w:t>
      </w:r>
      <w:r w:rsidR="00FD4BA3" w:rsidRPr="00900039">
        <w:rPr>
          <w:rFonts w:ascii="仿宋_GB2312" w:eastAsia="仿宋_GB2312" w:hAnsi="黑体" w:hint="eastAsia"/>
          <w:b/>
          <w:sz w:val="28"/>
          <w:szCs w:val="28"/>
        </w:rPr>
        <w:t>询比价定标原则</w:t>
      </w:r>
    </w:p>
    <w:p w:rsidR="00FD4BA3" w:rsidRPr="00900039" w:rsidRDefault="00FD4BA3" w:rsidP="00900039">
      <w:pPr>
        <w:spacing w:line="600" w:lineRule="exact"/>
        <w:contextualSpacing/>
        <w:mirrorIndents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（一）</w:t>
      </w:r>
      <w:r w:rsidR="001B11E5" w:rsidRPr="00900039">
        <w:rPr>
          <w:rFonts w:ascii="仿宋_GB2312" w:eastAsia="仿宋_GB2312" w:hAnsiTheme="minorEastAsia" w:hint="eastAsia"/>
          <w:sz w:val="28"/>
          <w:szCs w:val="28"/>
        </w:rPr>
        <w:t>依据</w:t>
      </w:r>
      <w:r w:rsidR="001B11E5" w:rsidRPr="00900039">
        <w:rPr>
          <w:rFonts w:ascii="仿宋_GB2312" w:eastAsia="仿宋_GB2312" w:hint="eastAsia"/>
          <w:kern w:val="0"/>
          <w:sz w:val="28"/>
          <w:szCs w:val="28"/>
        </w:rPr>
        <w:t>《中国华能集团有限公司非招标采购管理办法》</w:t>
      </w:r>
      <w:r w:rsidR="00FB5A48">
        <w:rPr>
          <w:rFonts w:ascii="仿宋_GB2312" w:eastAsia="仿宋_GB2312" w:hint="eastAsia"/>
          <w:sz w:val="28"/>
          <w:szCs w:val="28"/>
        </w:rPr>
        <w:t>。</w:t>
      </w:r>
    </w:p>
    <w:p w:rsidR="002155C0" w:rsidRPr="00900039" w:rsidRDefault="00FD4BA3" w:rsidP="00900039">
      <w:pPr>
        <w:spacing w:line="600" w:lineRule="exact"/>
        <w:contextualSpacing/>
        <w:mirrorIndents/>
        <w:jc w:val="left"/>
        <w:rPr>
          <w:rFonts w:ascii="仿宋_GB2312" w:eastAsia="仿宋_GB2312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（二）</w:t>
      </w:r>
      <w:r w:rsidR="002155C0" w:rsidRPr="00900039">
        <w:rPr>
          <w:rFonts w:ascii="仿宋_GB2312" w:eastAsia="仿宋_GB2312" w:hAnsiTheme="minorEastAsia" w:hint="eastAsia"/>
          <w:sz w:val="28"/>
          <w:szCs w:val="28"/>
        </w:rPr>
        <w:t>在满足采购</w:t>
      </w:r>
      <w:r w:rsidR="00D94D5B">
        <w:rPr>
          <w:rFonts w:ascii="仿宋_GB2312" w:eastAsia="仿宋_GB2312" w:hAnsiTheme="minorEastAsia" w:hint="eastAsia"/>
          <w:sz w:val="28"/>
          <w:szCs w:val="28"/>
        </w:rPr>
        <w:t>文件</w:t>
      </w:r>
      <w:r w:rsidR="002155C0" w:rsidRPr="00900039">
        <w:rPr>
          <w:rFonts w:ascii="仿宋_GB2312" w:eastAsia="仿宋_GB2312" w:hAnsiTheme="minorEastAsia" w:hint="eastAsia"/>
          <w:sz w:val="28"/>
          <w:szCs w:val="28"/>
        </w:rPr>
        <w:t>要求的前提下，</w:t>
      </w:r>
      <w:r w:rsidR="002155C0" w:rsidRPr="00900039">
        <w:rPr>
          <w:rFonts w:ascii="仿宋_GB2312" w:eastAsia="仿宋_GB2312" w:hint="eastAsia"/>
          <w:sz w:val="28"/>
          <w:szCs w:val="28"/>
        </w:rPr>
        <w:t>采用最低</w:t>
      </w:r>
      <w:r w:rsidR="00CD3885" w:rsidRPr="00900039">
        <w:rPr>
          <w:rFonts w:ascii="仿宋_GB2312" w:eastAsia="仿宋_GB2312" w:hint="eastAsia"/>
          <w:sz w:val="28"/>
          <w:szCs w:val="28"/>
        </w:rPr>
        <w:t>评标价</w:t>
      </w:r>
      <w:r w:rsidR="002155C0" w:rsidRPr="00900039">
        <w:rPr>
          <w:rFonts w:ascii="仿宋_GB2312" w:eastAsia="仿宋_GB2312" w:hint="eastAsia"/>
          <w:sz w:val="28"/>
          <w:szCs w:val="28"/>
        </w:rPr>
        <w:t>法。</w:t>
      </w:r>
    </w:p>
    <w:p w:rsidR="00FD4BA3" w:rsidRPr="00900039" w:rsidRDefault="00FD4BA3" w:rsidP="00900039">
      <w:pPr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（三）对于平台上出现明显错误</w:t>
      </w:r>
      <w:r w:rsidR="00A00E3D" w:rsidRPr="00900039">
        <w:rPr>
          <w:rFonts w:ascii="仿宋_GB2312" w:eastAsia="仿宋_GB2312" w:hAnsiTheme="minorEastAsia" w:hint="eastAsia"/>
          <w:sz w:val="28"/>
          <w:szCs w:val="28"/>
        </w:rPr>
        <w:t>或未执行采购文件要求</w:t>
      </w:r>
      <w:r w:rsidRPr="00900039">
        <w:rPr>
          <w:rFonts w:ascii="仿宋_GB2312" w:eastAsia="仿宋_GB2312" w:hAnsiTheme="minorEastAsia" w:hint="eastAsia"/>
          <w:sz w:val="28"/>
          <w:szCs w:val="28"/>
        </w:rPr>
        <w:t>的报价，供应商可</w:t>
      </w:r>
      <w:r w:rsidR="002155C0" w:rsidRPr="00900039">
        <w:rPr>
          <w:rFonts w:ascii="仿宋_GB2312" w:eastAsia="仿宋_GB2312" w:hAnsiTheme="minorEastAsia" w:hint="eastAsia"/>
          <w:sz w:val="28"/>
          <w:szCs w:val="28"/>
        </w:rPr>
        <w:t>及时</w:t>
      </w:r>
      <w:r w:rsidRPr="00900039">
        <w:rPr>
          <w:rFonts w:ascii="仿宋_GB2312" w:eastAsia="仿宋_GB2312" w:hAnsiTheme="minorEastAsia" w:hint="eastAsia"/>
          <w:sz w:val="28"/>
          <w:szCs w:val="28"/>
        </w:rPr>
        <w:t>传真进行澄清，但取消本次报价中标资格，仅对其他报价无误供应商的报价进行比价。</w:t>
      </w:r>
    </w:p>
    <w:p w:rsidR="00A96651" w:rsidRPr="00900039" w:rsidRDefault="00C102E1" w:rsidP="00900039">
      <w:pPr>
        <w:autoSpaceDE w:val="0"/>
        <w:autoSpaceDN w:val="0"/>
        <w:spacing w:line="600" w:lineRule="exact"/>
        <w:contextualSpacing/>
        <w:mirrorIndents/>
        <w:jc w:val="left"/>
        <w:textAlignment w:val="bottom"/>
        <w:rPr>
          <w:rFonts w:ascii="仿宋_GB2312" w:eastAsia="仿宋_GB2312" w:hAnsiTheme="minorEastAsia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四、</w:t>
      </w:r>
      <w:r w:rsidR="005456F6" w:rsidRPr="00900039">
        <w:rPr>
          <w:rFonts w:ascii="仿宋_GB2312" w:eastAsia="仿宋_GB2312" w:hAnsi="黑体" w:hint="eastAsia"/>
          <w:b/>
          <w:sz w:val="28"/>
          <w:szCs w:val="28"/>
        </w:rPr>
        <w:t>交货</w:t>
      </w:r>
      <w:r w:rsidR="00A96651" w:rsidRPr="00900039">
        <w:rPr>
          <w:rFonts w:ascii="仿宋_GB2312" w:eastAsia="仿宋_GB2312" w:hAnsi="黑体" w:hint="eastAsia"/>
          <w:b/>
          <w:sz w:val="28"/>
          <w:szCs w:val="28"/>
        </w:rPr>
        <w:t>地点</w:t>
      </w:r>
    </w:p>
    <w:p w:rsidR="00A96651" w:rsidRPr="00900039" w:rsidRDefault="00B46667" w:rsidP="00900039">
      <w:pPr>
        <w:autoSpaceDE w:val="0"/>
        <w:autoSpaceDN w:val="0"/>
        <w:spacing w:line="600" w:lineRule="exact"/>
        <w:ind w:firstLineChars="150" w:firstLine="420"/>
        <w:contextualSpacing/>
        <w:mirrorIndents/>
        <w:jc w:val="left"/>
        <w:textAlignment w:val="bottom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供应商</w:t>
      </w:r>
      <w:r w:rsidR="00A96651" w:rsidRPr="00900039">
        <w:rPr>
          <w:rFonts w:ascii="仿宋_GB2312" w:eastAsia="仿宋_GB2312" w:hAnsiTheme="minorEastAsia" w:hint="eastAsia"/>
          <w:sz w:val="28"/>
          <w:szCs w:val="28"/>
        </w:rPr>
        <w:t>按交货期将合同设备全部运到华能</w:t>
      </w:r>
      <w:r w:rsidR="002155C0" w:rsidRPr="00900039">
        <w:rPr>
          <w:rFonts w:ascii="仿宋_GB2312" w:eastAsia="仿宋_GB2312" w:hAnsiTheme="minorEastAsia" w:hint="eastAsia"/>
          <w:sz w:val="28"/>
          <w:szCs w:val="28"/>
        </w:rPr>
        <w:t>威海</w:t>
      </w:r>
      <w:r w:rsidR="00A96651" w:rsidRPr="00900039">
        <w:rPr>
          <w:rFonts w:ascii="仿宋_GB2312" w:eastAsia="仿宋_GB2312" w:hAnsiTheme="minorEastAsia" w:hint="eastAsia"/>
          <w:sz w:val="28"/>
          <w:szCs w:val="28"/>
        </w:rPr>
        <w:t>发电有限</w:t>
      </w:r>
      <w:r w:rsidR="005456F6" w:rsidRPr="00900039">
        <w:rPr>
          <w:rFonts w:ascii="仿宋_GB2312" w:eastAsia="仿宋_GB2312" w:hAnsiTheme="minorEastAsia" w:hint="eastAsia"/>
          <w:sz w:val="28"/>
          <w:szCs w:val="28"/>
        </w:rPr>
        <w:t>责任</w:t>
      </w:r>
      <w:r w:rsidR="00A96651" w:rsidRPr="00900039">
        <w:rPr>
          <w:rFonts w:ascii="仿宋_GB2312" w:eastAsia="仿宋_GB2312" w:hAnsiTheme="minorEastAsia" w:hint="eastAsia"/>
          <w:sz w:val="28"/>
          <w:szCs w:val="28"/>
        </w:rPr>
        <w:t>公司物资部仓库</w:t>
      </w:r>
      <w:r w:rsidR="00C343DF" w:rsidRPr="00900039">
        <w:rPr>
          <w:rFonts w:ascii="仿宋_GB2312" w:eastAsia="仿宋_GB2312" w:hAnsiTheme="minorEastAsia" w:hint="eastAsia"/>
          <w:sz w:val="28"/>
          <w:szCs w:val="28"/>
        </w:rPr>
        <w:t>（地址：</w:t>
      </w:r>
      <w:r w:rsidR="0054795F" w:rsidRPr="00900039">
        <w:rPr>
          <w:rFonts w:ascii="仿宋_GB2312" w:eastAsia="仿宋_GB2312" w:hAnsiTheme="minorEastAsia" w:hint="eastAsia"/>
          <w:sz w:val="28"/>
          <w:szCs w:val="28"/>
        </w:rPr>
        <w:t>山东</w:t>
      </w:r>
      <w:r w:rsidR="00F830BD" w:rsidRPr="00900039">
        <w:rPr>
          <w:rFonts w:ascii="仿宋_GB2312" w:eastAsia="仿宋_GB2312" w:hAnsiTheme="minorEastAsia" w:hint="eastAsia"/>
          <w:sz w:val="28"/>
          <w:szCs w:val="28"/>
        </w:rPr>
        <w:t>威海市经济技术开发区海埠</w:t>
      </w:r>
      <w:r w:rsidR="00C343DF" w:rsidRPr="00900039">
        <w:rPr>
          <w:rFonts w:ascii="仿宋_GB2312" w:eastAsia="仿宋_GB2312" w:hAnsiTheme="minorEastAsia" w:hint="eastAsia"/>
          <w:sz w:val="28"/>
          <w:szCs w:val="28"/>
        </w:rPr>
        <w:t>路</w:t>
      </w:r>
      <w:r w:rsidR="00F830BD" w:rsidRPr="00900039">
        <w:rPr>
          <w:rFonts w:ascii="仿宋_GB2312" w:eastAsia="仿宋_GB2312" w:hAnsiTheme="minorEastAsia" w:hint="eastAsia"/>
          <w:sz w:val="28"/>
          <w:szCs w:val="28"/>
        </w:rPr>
        <w:t>58</w:t>
      </w:r>
      <w:r w:rsidR="00C343DF" w:rsidRPr="00900039">
        <w:rPr>
          <w:rFonts w:ascii="仿宋_GB2312" w:eastAsia="仿宋_GB2312" w:hAnsiTheme="minorEastAsia" w:hint="eastAsia"/>
          <w:sz w:val="28"/>
          <w:szCs w:val="28"/>
        </w:rPr>
        <w:t>号）</w:t>
      </w:r>
      <w:r w:rsidR="00A96651" w:rsidRPr="00900039">
        <w:rPr>
          <w:rFonts w:ascii="仿宋_GB2312" w:eastAsia="仿宋_GB2312" w:hAnsiTheme="minorEastAsia" w:hint="eastAsia"/>
          <w:sz w:val="28"/>
          <w:szCs w:val="28"/>
        </w:rPr>
        <w:t>，验收合格后，</w:t>
      </w:r>
      <w:r w:rsidR="003D49F0" w:rsidRPr="00900039">
        <w:rPr>
          <w:rFonts w:ascii="仿宋_GB2312" w:eastAsia="仿宋_GB2312" w:hAnsiTheme="minorEastAsia" w:hint="eastAsia"/>
          <w:sz w:val="28"/>
          <w:szCs w:val="28"/>
        </w:rPr>
        <w:t>履行付款手续</w:t>
      </w:r>
      <w:r w:rsidR="00A96651" w:rsidRPr="00900039">
        <w:rPr>
          <w:rFonts w:ascii="仿宋_GB2312" w:eastAsia="仿宋_GB2312" w:hAnsiTheme="minorEastAsia" w:hint="eastAsia"/>
          <w:sz w:val="28"/>
          <w:szCs w:val="28"/>
        </w:rPr>
        <w:t>。</w:t>
      </w:r>
      <w:r w:rsidR="002B1854" w:rsidRPr="00900039">
        <w:rPr>
          <w:rFonts w:ascii="仿宋_GB2312" w:eastAsia="仿宋_GB2312" w:hAnsiTheme="minorEastAsia" w:hint="eastAsia"/>
          <w:sz w:val="28"/>
          <w:szCs w:val="28"/>
        </w:rPr>
        <w:t>特殊备件</w:t>
      </w:r>
      <w:r w:rsidR="003D49F0" w:rsidRPr="00900039">
        <w:rPr>
          <w:rFonts w:ascii="仿宋_GB2312" w:eastAsia="仿宋_GB2312" w:hAnsiTheme="minorEastAsia" w:hint="eastAsia"/>
          <w:sz w:val="28"/>
          <w:szCs w:val="28"/>
        </w:rPr>
        <w:t>双方</w:t>
      </w:r>
      <w:r w:rsidR="002B1854" w:rsidRPr="00900039">
        <w:rPr>
          <w:rFonts w:ascii="仿宋_GB2312" w:eastAsia="仿宋_GB2312" w:hAnsiTheme="minorEastAsia" w:hint="eastAsia"/>
          <w:sz w:val="28"/>
          <w:szCs w:val="28"/>
        </w:rPr>
        <w:t>协商按合同约定执行。</w:t>
      </w:r>
      <w:bookmarkStart w:id="0" w:name="_GoBack"/>
      <w:bookmarkEnd w:id="0"/>
    </w:p>
    <w:p w:rsidR="00721D22" w:rsidRPr="00900039" w:rsidRDefault="00FE4F54" w:rsidP="00900039">
      <w:pPr>
        <w:spacing w:line="600" w:lineRule="exact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五、</w:t>
      </w:r>
      <w:r w:rsidR="00D4604D" w:rsidRPr="00900039">
        <w:rPr>
          <w:rFonts w:ascii="仿宋_GB2312" w:eastAsia="仿宋_GB2312" w:hAnsi="黑体" w:hint="eastAsia"/>
          <w:b/>
          <w:sz w:val="28"/>
          <w:szCs w:val="28"/>
        </w:rPr>
        <w:t>供应商</w:t>
      </w:r>
      <w:r w:rsidR="00721D22" w:rsidRPr="00900039">
        <w:rPr>
          <w:rFonts w:ascii="仿宋_GB2312" w:eastAsia="仿宋_GB2312" w:hAnsi="黑体" w:hint="eastAsia"/>
          <w:b/>
          <w:sz w:val="28"/>
          <w:szCs w:val="28"/>
        </w:rPr>
        <w:t>对质量负责的条件及期限</w:t>
      </w:r>
    </w:p>
    <w:p w:rsidR="00721D22" w:rsidRPr="00900039" w:rsidRDefault="00721D22" w:rsidP="00D94D5B">
      <w:pPr>
        <w:spacing w:line="600" w:lineRule="exact"/>
        <w:ind w:firstLineChars="200" w:firstLine="560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产品的保质期限为</w:t>
      </w:r>
      <w:r w:rsidR="006141EC" w:rsidRPr="00900039">
        <w:rPr>
          <w:rFonts w:ascii="仿宋_GB2312" w:eastAsia="仿宋_GB2312" w:hAnsiTheme="minorEastAsia" w:hint="eastAsia"/>
          <w:sz w:val="28"/>
          <w:szCs w:val="28"/>
        </w:rPr>
        <w:t>一年，但不能低于国家相关</w:t>
      </w:r>
      <w:r w:rsidR="007327AD" w:rsidRPr="00900039">
        <w:rPr>
          <w:rFonts w:ascii="仿宋_GB2312" w:eastAsia="仿宋_GB2312" w:hAnsiTheme="minorEastAsia" w:hint="eastAsia"/>
          <w:sz w:val="28"/>
          <w:szCs w:val="28"/>
        </w:rPr>
        <w:t>规定</w:t>
      </w:r>
      <w:r w:rsidRPr="00900039">
        <w:rPr>
          <w:rFonts w:ascii="仿宋_GB2312" w:eastAsia="仿宋_GB2312" w:hAnsiTheme="minorEastAsia" w:hint="eastAsia"/>
          <w:sz w:val="28"/>
          <w:szCs w:val="28"/>
        </w:rPr>
        <w:t>。保质期内</w:t>
      </w:r>
      <w:r w:rsidR="007327AD" w:rsidRPr="00900039">
        <w:rPr>
          <w:rFonts w:ascii="仿宋_GB2312" w:eastAsia="仿宋_GB2312" w:hAnsiTheme="minorEastAsia" w:hint="eastAsia"/>
          <w:sz w:val="28"/>
          <w:szCs w:val="28"/>
        </w:rPr>
        <w:t>产品</w:t>
      </w:r>
      <w:r w:rsidRPr="00900039">
        <w:rPr>
          <w:rFonts w:ascii="仿宋_GB2312" w:eastAsia="仿宋_GB2312" w:hAnsiTheme="minorEastAsia" w:hint="eastAsia"/>
          <w:sz w:val="28"/>
          <w:szCs w:val="28"/>
        </w:rPr>
        <w:t>出现质量问题，</w:t>
      </w:r>
      <w:r w:rsidR="006C433A" w:rsidRPr="00900039">
        <w:rPr>
          <w:rFonts w:ascii="仿宋_GB2312" w:eastAsia="仿宋_GB2312" w:hAnsiTheme="minorEastAsia" w:hint="eastAsia"/>
          <w:sz w:val="28"/>
          <w:szCs w:val="28"/>
        </w:rPr>
        <w:t>供应商</w:t>
      </w:r>
      <w:r w:rsidRPr="00900039">
        <w:rPr>
          <w:rFonts w:ascii="仿宋_GB2312" w:eastAsia="仿宋_GB2312" w:hAnsiTheme="minorEastAsia" w:hint="eastAsia"/>
          <w:sz w:val="28"/>
          <w:szCs w:val="28"/>
        </w:rPr>
        <w:t>负有</w:t>
      </w:r>
      <w:r w:rsidR="00D94D5B">
        <w:rPr>
          <w:rFonts w:ascii="仿宋_GB2312" w:eastAsia="仿宋_GB2312" w:hAnsiTheme="minorEastAsia" w:hint="eastAsia"/>
          <w:sz w:val="28"/>
          <w:szCs w:val="28"/>
        </w:rPr>
        <w:t>免费</w:t>
      </w:r>
      <w:r w:rsidRPr="00900039">
        <w:rPr>
          <w:rFonts w:ascii="仿宋_GB2312" w:eastAsia="仿宋_GB2312" w:hAnsiTheme="minorEastAsia" w:hint="eastAsia"/>
          <w:sz w:val="28"/>
          <w:szCs w:val="28"/>
        </w:rPr>
        <w:t>更换、维护、退货的义务。</w:t>
      </w:r>
    </w:p>
    <w:p w:rsidR="005456F6" w:rsidRPr="00900039" w:rsidRDefault="00721D22" w:rsidP="00900039">
      <w:pPr>
        <w:spacing w:line="600" w:lineRule="exact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六、</w:t>
      </w:r>
      <w:r w:rsidR="00615DBD" w:rsidRPr="00900039">
        <w:rPr>
          <w:rFonts w:ascii="仿宋_GB2312" w:eastAsia="仿宋_GB2312" w:hAnsi="黑体" w:hint="eastAsia"/>
          <w:b/>
          <w:sz w:val="28"/>
          <w:szCs w:val="28"/>
        </w:rPr>
        <w:t>供应商不良行为</w:t>
      </w:r>
    </w:p>
    <w:p w:rsidR="00615DBD" w:rsidRPr="00900039" w:rsidRDefault="005456F6" w:rsidP="00900039">
      <w:pPr>
        <w:spacing w:line="600" w:lineRule="exact"/>
        <w:contextualSpacing/>
        <w:mirrorIndents/>
        <w:jc w:val="left"/>
        <w:rPr>
          <w:rFonts w:ascii="仿宋_GB2312" w:eastAsia="仿宋_GB2312" w:hAnsi="黑体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（一）</w:t>
      </w:r>
      <w:r w:rsidR="00615DBD" w:rsidRPr="00900039">
        <w:rPr>
          <w:rFonts w:ascii="仿宋_GB2312" w:eastAsia="仿宋_GB2312" w:hAnsiTheme="minorEastAsia" w:hint="eastAsia"/>
          <w:sz w:val="28"/>
          <w:szCs w:val="28"/>
        </w:rPr>
        <w:t>提供虚假采购材料的；</w:t>
      </w:r>
    </w:p>
    <w:p w:rsidR="00615DBD" w:rsidRPr="00900039" w:rsidRDefault="005456F6" w:rsidP="00900039">
      <w:pPr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（二）</w:t>
      </w:r>
      <w:r w:rsidR="00615DBD" w:rsidRPr="00900039">
        <w:rPr>
          <w:rFonts w:ascii="仿宋_GB2312" w:eastAsia="仿宋_GB2312" w:hAnsiTheme="minorEastAsia" w:hint="eastAsia"/>
          <w:sz w:val="28"/>
          <w:szCs w:val="28"/>
        </w:rPr>
        <w:t>中标后</w:t>
      </w:r>
      <w:r w:rsidR="00C97846" w:rsidRPr="00900039">
        <w:rPr>
          <w:rFonts w:ascii="仿宋_GB2312" w:eastAsia="仿宋_GB2312" w:hAnsiTheme="minorEastAsia" w:hint="eastAsia"/>
          <w:sz w:val="28"/>
          <w:szCs w:val="28"/>
        </w:rPr>
        <w:t>不能履约、按时交货或验收不合格者；</w:t>
      </w:r>
    </w:p>
    <w:p w:rsidR="00615DBD" w:rsidRPr="00900039" w:rsidRDefault="005456F6" w:rsidP="00900039">
      <w:pPr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（三）</w:t>
      </w:r>
      <w:r w:rsidR="00615DBD" w:rsidRPr="00900039">
        <w:rPr>
          <w:rFonts w:ascii="仿宋_GB2312" w:eastAsia="仿宋_GB2312" w:hAnsiTheme="minorEastAsia" w:hint="eastAsia"/>
          <w:sz w:val="28"/>
          <w:szCs w:val="28"/>
        </w:rPr>
        <w:t>向采购部门、人员行贿或者提供其他不正当利益的；</w:t>
      </w:r>
    </w:p>
    <w:p w:rsidR="00615DBD" w:rsidRPr="00900039" w:rsidRDefault="005456F6" w:rsidP="00900039">
      <w:pPr>
        <w:spacing w:line="600" w:lineRule="exact"/>
        <w:contextualSpacing/>
        <w:mirrorIndents/>
        <w:jc w:val="left"/>
        <w:rPr>
          <w:rFonts w:ascii="仿宋_GB2312" w:eastAsia="仿宋_GB2312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（四）</w:t>
      </w:r>
      <w:r w:rsidR="00423DD9" w:rsidRPr="00900039">
        <w:rPr>
          <w:rFonts w:ascii="仿宋_GB2312" w:eastAsia="仿宋_GB2312" w:hAnsiTheme="minorEastAsia" w:hint="eastAsia"/>
          <w:sz w:val="28"/>
          <w:szCs w:val="28"/>
        </w:rPr>
        <w:t>其他违反</w:t>
      </w:r>
      <w:r w:rsidR="00615DBD" w:rsidRPr="00900039">
        <w:rPr>
          <w:rFonts w:ascii="仿宋_GB2312" w:eastAsia="仿宋_GB2312" w:hAnsiTheme="minorEastAsia" w:hint="eastAsia"/>
          <w:sz w:val="28"/>
          <w:szCs w:val="28"/>
        </w:rPr>
        <w:t>法律、法规和规章</w:t>
      </w:r>
      <w:r w:rsidR="00423DD9" w:rsidRPr="00900039">
        <w:rPr>
          <w:rFonts w:ascii="仿宋_GB2312" w:eastAsia="仿宋_GB2312" w:hAnsiTheme="minorEastAsia" w:hint="eastAsia"/>
          <w:sz w:val="28"/>
          <w:szCs w:val="28"/>
        </w:rPr>
        <w:t>制度</w:t>
      </w:r>
      <w:r w:rsidR="00615DBD" w:rsidRPr="00900039">
        <w:rPr>
          <w:rFonts w:ascii="仿宋_GB2312" w:eastAsia="仿宋_GB2312" w:hAnsiTheme="minorEastAsia" w:hint="eastAsia"/>
          <w:sz w:val="28"/>
          <w:szCs w:val="28"/>
        </w:rPr>
        <w:t>的。</w:t>
      </w:r>
    </w:p>
    <w:p w:rsidR="00C102E1" w:rsidRPr="00900039" w:rsidRDefault="00C15FFF" w:rsidP="00900039">
      <w:pPr>
        <w:spacing w:line="600" w:lineRule="exact"/>
        <w:ind w:right="799"/>
        <w:contextualSpacing/>
        <w:mirrorIndents/>
        <w:jc w:val="left"/>
        <w:rPr>
          <w:rFonts w:ascii="仿宋_GB2312" w:eastAsia="仿宋_GB2312" w:hAnsi="黑体"/>
          <w:b/>
          <w:sz w:val="28"/>
          <w:szCs w:val="28"/>
        </w:rPr>
      </w:pPr>
      <w:r w:rsidRPr="00900039">
        <w:rPr>
          <w:rFonts w:ascii="仿宋_GB2312" w:eastAsia="仿宋_GB2312" w:hAnsi="黑体" w:hint="eastAsia"/>
          <w:b/>
          <w:sz w:val="28"/>
          <w:szCs w:val="28"/>
        </w:rPr>
        <w:t>七、</w:t>
      </w:r>
      <w:r w:rsidR="00837DF6" w:rsidRPr="00900039">
        <w:rPr>
          <w:rFonts w:ascii="仿宋_GB2312" w:eastAsia="仿宋_GB2312" w:hAnsi="黑体" w:hint="eastAsia"/>
          <w:b/>
          <w:sz w:val="28"/>
          <w:szCs w:val="28"/>
        </w:rPr>
        <w:t>供应商不良行为的处罚措施</w:t>
      </w:r>
    </w:p>
    <w:p w:rsidR="00837DF6" w:rsidRPr="00900039" w:rsidRDefault="005456F6" w:rsidP="00900039">
      <w:pPr>
        <w:tabs>
          <w:tab w:val="num" w:pos="1418"/>
        </w:tabs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（一）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出现一般不良行为的，年度综合评价结果等级直接降到“C”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lastRenderedPageBreak/>
        <w:t>等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，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暂停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参与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我厂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所有的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采购业务权限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，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暂停期为 3 个月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837DF6" w:rsidRPr="00900039" w:rsidRDefault="005456F6" w:rsidP="00900039">
      <w:pPr>
        <w:tabs>
          <w:tab w:val="num" w:pos="1418"/>
        </w:tabs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（二）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出现较为严重不良行为的，年度综合评价结果等级直接降到 D 级，暂停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参与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我厂所有的采购业务权限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，</w:t>
      </w:r>
      <w:r w:rsidR="00837DF6" w:rsidRPr="00900039">
        <w:rPr>
          <w:rFonts w:ascii="仿宋_GB2312" w:eastAsia="仿宋_GB2312" w:hAnsiTheme="minorEastAsia" w:hint="eastAsia"/>
          <w:sz w:val="28"/>
          <w:szCs w:val="28"/>
        </w:rPr>
        <w:t>暂停期为一年</w:t>
      </w:r>
      <w:r w:rsidR="005157A1" w:rsidRPr="00900039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4354F" w:rsidRPr="00900039" w:rsidRDefault="00837DF6" w:rsidP="00900039">
      <w:pPr>
        <w:tabs>
          <w:tab w:val="num" w:pos="1418"/>
        </w:tabs>
        <w:spacing w:line="600" w:lineRule="exact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（三）出现严重不良行为的，停止合作两年：停止供应商参与我厂所有的采购业务权限，从供应商库中剔除，并且两年之内不得重新申请进入供应商库。</w:t>
      </w:r>
    </w:p>
    <w:p w:rsidR="005456F6" w:rsidRPr="00900039" w:rsidRDefault="001D29C2" w:rsidP="000A23CD">
      <w:pPr>
        <w:tabs>
          <w:tab w:val="num" w:pos="1418"/>
        </w:tabs>
        <w:spacing w:line="600" w:lineRule="exact"/>
        <w:ind w:firstLineChars="150" w:firstLine="420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</w:pPr>
      <w:r w:rsidRPr="00900039">
        <w:rPr>
          <w:rFonts w:ascii="仿宋_GB2312" w:eastAsia="仿宋_GB2312" w:hAnsiTheme="minorEastAsia" w:hint="eastAsia"/>
          <w:sz w:val="28"/>
          <w:szCs w:val="28"/>
        </w:rPr>
        <w:t>附表：报价清单</w:t>
      </w:r>
    </w:p>
    <w:p w:rsidR="001D29C2" w:rsidRPr="00900039" w:rsidRDefault="00FB5A48" w:rsidP="00900039">
      <w:pPr>
        <w:tabs>
          <w:tab w:val="num" w:pos="1418"/>
        </w:tabs>
        <w:spacing w:line="600" w:lineRule="exact"/>
        <w:ind w:firstLineChars="100" w:firstLine="280"/>
        <w:contextualSpacing/>
        <w:mirrorIndents/>
        <w:jc w:val="left"/>
        <w:rPr>
          <w:rFonts w:ascii="仿宋_GB2312" w:eastAsia="仿宋_GB2312" w:hAnsiTheme="minorEastAsia"/>
          <w:sz w:val="28"/>
          <w:szCs w:val="28"/>
        </w:rPr>
        <w:sectPr w:rsidR="001D29C2" w:rsidRPr="00900039" w:rsidSect="004331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:rsidR="004D0289" w:rsidRDefault="001D29C2" w:rsidP="004D0289">
      <w:pPr>
        <w:tabs>
          <w:tab w:val="num" w:pos="1418"/>
        </w:tabs>
        <w:adjustRightInd w:val="0"/>
        <w:snapToGrid w:val="0"/>
        <w:spacing w:line="360" w:lineRule="auto"/>
        <w:ind w:firstLineChars="300" w:firstLine="84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附表：</w:t>
      </w:r>
      <w:r w:rsidR="004D0289">
        <w:rPr>
          <w:rFonts w:ascii="仿宋_GB2312" w:eastAsia="仿宋_GB2312" w:hAnsiTheme="minorEastAsia" w:hint="eastAsia"/>
          <w:sz w:val="28"/>
          <w:szCs w:val="28"/>
        </w:rPr>
        <w:t>报价清单</w:t>
      </w:r>
    </w:p>
    <w:tbl>
      <w:tblPr>
        <w:tblW w:w="13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3511"/>
        <w:gridCol w:w="1843"/>
        <w:gridCol w:w="567"/>
        <w:gridCol w:w="567"/>
        <w:gridCol w:w="2584"/>
        <w:gridCol w:w="1134"/>
        <w:gridCol w:w="1134"/>
        <w:gridCol w:w="1529"/>
      </w:tblGrid>
      <w:tr w:rsidR="004D0289" w:rsidRPr="00F209B9" w:rsidTr="003C331C">
        <w:trPr>
          <w:trHeight w:val="484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209B9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 w:rsidRPr="00692B6B">
              <w:rPr>
                <w:rFonts w:ascii="宋体" w:hAnsi="宋体" w:hint="eastAsia"/>
              </w:rPr>
              <w:t>主要物资名称、规格、型号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Pr="00F209B9" w:rsidRDefault="004D0289" w:rsidP="00313D8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型号规格是否和询价要求相同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单位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 w:rsidRPr="00F209B9">
              <w:rPr>
                <w:rFonts w:ascii="宋体" w:hAnsi="宋体" w:hint="eastAsia"/>
                <w:color w:val="000000"/>
              </w:rPr>
              <w:t>数量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生产厂家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品牌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交货期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F209B9" w:rsidRDefault="004D0289" w:rsidP="003C33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4D0289" w:rsidRPr="00F209B9" w:rsidTr="003C331C">
        <w:trPr>
          <w:trHeight w:val="359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0289" w:rsidRPr="00933004" w:rsidRDefault="004D0289" w:rsidP="003C331C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289" w:rsidRPr="00F209B9" w:rsidTr="003C331C">
        <w:trPr>
          <w:trHeight w:val="377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0289" w:rsidRPr="006C6CD7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6C6CD7">
              <w:rPr>
                <w:rFonts w:ascii="Arial" w:hAnsi="Arial" w:cs="Arial" w:hint="eastAsia"/>
                <w:sz w:val="20"/>
              </w:rPr>
              <w:t>2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289" w:rsidRPr="00F209B9" w:rsidTr="003C331C">
        <w:trPr>
          <w:trHeight w:val="336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6C6CD7" w:rsidRDefault="004D0289" w:rsidP="003C331C">
            <w:pPr>
              <w:pStyle w:val="a4"/>
              <w:jc w:val="center"/>
            </w:pPr>
            <w:r w:rsidRPr="006C6CD7">
              <w:rPr>
                <w:rFonts w:hint="eastAsia"/>
              </w:rPr>
              <w:t>3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289" w:rsidRPr="00F209B9" w:rsidTr="003C331C">
        <w:trPr>
          <w:trHeight w:val="106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6C6CD7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6C6CD7">
              <w:rPr>
                <w:rFonts w:ascii="Arial" w:hAnsi="Arial" w:cs="Arial" w:hint="eastAsia"/>
                <w:sz w:val="20"/>
              </w:rPr>
              <w:t>4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289" w:rsidRPr="00F209B9" w:rsidTr="003C331C">
        <w:trPr>
          <w:trHeight w:val="106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6C6CD7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6C6CD7">
              <w:rPr>
                <w:rFonts w:ascii="Arial" w:hAnsi="Arial" w:cs="Arial" w:hint="eastAsia"/>
                <w:sz w:val="20"/>
              </w:rPr>
              <w:t>5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0289" w:rsidRPr="00F209B9" w:rsidTr="003C331C">
        <w:trPr>
          <w:trHeight w:val="106"/>
        </w:trPr>
        <w:tc>
          <w:tcPr>
            <w:tcW w:w="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Pr="006C6CD7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6C6CD7">
              <w:rPr>
                <w:rFonts w:ascii="Arial" w:hAnsi="Arial" w:cs="Arial" w:hint="eastAsia"/>
                <w:sz w:val="20"/>
              </w:rPr>
              <w:t>6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0289" w:rsidRDefault="004D0289" w:rsidP="003C331C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D0289" w:rsidRDefault="004D0289" w:rsidP="004D0289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Theme="minorEastAsia"/>
          <w:sz w:val="28"/>
          <w:szCs w:val="28"/>
        </w:rPr>
      </w:pPr>
    </w:p>
    <w:p w:rsidR="004D0289" w:rsidRDefault="004D0289" w:rsidP="004D0289">
      <w:pPr>
        <w:tabs>
          <w:tab w:val="num" w:pos="1418"/>
        </w:tabs>
        <w:adjustRightInd w:val="0"/>
        <w:snapToGrid w:val="0"/>
        <w:spacing w:line="360" w:lineRule="auto"/>
        <w:ind w:firstLineChars="250" w:firstLine="70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备注：请严格按要求填写，报价时请上传此表</w:t>
      </w:r>
      <w:r w:rsidR="0075706C">
        <w:rPr>
          <w:rFonts w:ascii="仿宋_GB2312" w:eastAsia="仿宋_GB2312" w:hAnsiTheme="minorEastAsia" w:hint="eastAsia"/>
          <w:sz w:val="28"/>
          <w:szCs w:val="28"/>
        </w:rPr>
        <w:t>并加盖公司公章。</w:t>
      </w:r>
    </w:p>
    <w:p w:rsidR="00313D80" w:rsidRPr="00DF64D3" w:rsidRDefault="00313D80" w:rsidP="004D0289">
      <w:pPr>
        <w:tabs>
          <w:tab w:val="num" w:pos="1418"/>
        </w:tabs>
        <w:adjustRightInd w:val="0"/>
        <w:snapToGrid w:val="0"/>
        <w:spacing w:line="360" w:lineRule="auto"/>
        <w:ind w:firstLineChars="250" w:firstLine="700"/>
        <w:jc w:val="left"/>
        <w:rPr>
          <w:rFonts w:ascii="仿宋_GB2312" w:eastAsia="仿宋_GB2312" w:hAnsiTheme="minorEastAsia"/>
          <w:sz w:val="28"/>
          <w:szCs w:val="28"/>
        </w:rPr>
      </w:pPr>
    </w:p>
    <w:p w:rsidR="004D0289" w:rsidRPr="004D0289" w:rsidRDefault="004D0289" w:rsidP="0043052C">
      <w:pPr>
        <w:tabs>
          <w:tab w:val="num" w:pos="1418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Theme="minorEastAsia"/>
          <w:sz w:val="28"/>
          <w:szCs w:val="28"/>
        </w:rPr>
      </w:pPr>
    </w:p>
    <w:sectPr w:rsidR="004D0289" w:rsidRPr="004D0289" w:rsidSect="00DF64D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CD" w:rsidRDefault="00C361CD" w:rsidP="00404623">
      <w:r>
        <w:separator/>
      </w:r>
    </w:p>
  </w:endnote>
  <w:endnote w:type="continuationSeparator" w:id="0">
    <w:p w:rsidR="00C361CD" w:rsidRDefault="00C361CD" w:rsidP="0040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CD" w:rsidRDefault="00C361CD" w:rsidP="00404623">
      <w:r>
        <w:separator/>
      </w:r>
    </w:p>
  </w:footnote>
  <w:footnote w:type="continuationSeparator" w:id="0">
    <w:p w:rsidR="00C361CD" w:rsidRDefault="00C361CD" w:rsidP="00404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8A"/>
    <w:multiLevelType w:val="hybridMultilevel"/>
    <w:tmpl w:val="0A30182E"/>
    <w:lvl w:ilvl="0" w:tplc="0409000F">
      <w:start w:val="1"/>
      <w:numFmt w:val="decimal"/>
      <w:lvlText w:val="%1."/>
      <w:lvlJc w:val="left"/>
      <w:pPr>
        <w:ind w:left="3540" w:hanging="420"/>
      </w:pPr>
      <w:rPr>
        <w:rFonts w:hint="eastAsia"/>
        <w:b w:val="0"/>
        <w:i w:val="0"/>
        <w:color w:val="auto"/>
        <w:sz w:val="32"/>
        <w:szCs w:val="32"/>
        <w:lang w:val="en-US"/>
      </w:rPr>
    </w:lvl>
    <w:lvl w:ilvl="1" w:tplc="51A6E73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ECE4704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3390C"/>
    <w:multiLevelType w:val="hybridMultilevel"/>
    <w:tmpl w:val="9E5CA8B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887269B"/>
    <w:multiLevelType w:val="hybridMultilevel"/>
    <w:tmpl w:val="A446BB92"/>
    <w:lvl w:ilvl="0" w:tplc="EAF660BA">
      <w:start w:val="1"/>
      <w:numFmt w:val="chineseCountingThousand"/>
      <w:lvlText w:val="(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B0079A"/>
    <w:multiLevelType w:val="hybridMultilevel"/>
    <w:tmpl w:val="BB6A55C6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1E5E2C82"/>
    <w:multiLevelType w:val="hybridMultilevel"/>
    <w:tmpl w:val="6BE47E34"/>
    <w:lvl w:ilvl="0" w:tplc="9B324D56">
      <w:start w:val="7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E6827D7"/>
    <w:multiLevelType w:val="hybridMultilevel"/>
    <w:tmpl w:val="25EAED4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01636BA"/>
    <w:multiLevelType w:val="hybridMultilevel"/>
    <w:tmpl w:val="19FADC8C"/>
    <w:lvl w:ilvl="0" w:tplc="EC1C6DDC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3DA0B72"/>
    <w:multiLevelType w:val="hybridMultilevel"/>
    <w:tmpl w:val="5972C0E2"/>
    <w:lvl w:ilvl="0" w:tplc="AA8063C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66D2641"/>
    <w:multiLevelType w:val="hybridMultilevel"/>
    <w:tmpl w:val="0E44AFD4"/>
    <w:lvl w:ilvl="0" w:tplc="614647FC">
      <w:start w:val="7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6CA182E"/>
    <w:multiLevelType w:val="hybridMultilevel"/>
    <w:tmpl w:val="C466F99A"/>
    <w:lvl w:ilvl="0" w:tplc="E2928724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DEC3C50"/>
    <w:multiLevelType w:val="hybridMultilevel"/>
    <w:tmpl w:val="911C69E8"/>
    <w:lvl w:ilvl="0" w:tplc="30440D9E">
      <w:start w:val="1"/>
      <w:numFmt w:val="chineseCountingThousand"/>
      <w:suff w:val="nothing"/>
      <w:lvlText w:val="(%1)"/>
      <w:lvlJc w:val="left"/>
      <w:pPr>
        <w:ind w:left="1134" w:hanging="71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D53357"/>
    <w:multiLevelType w:val="hybridMultilevel"/>
    <w:tmpl w:val="B414E91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464B7083"/>
    <w:multiLevelType w:val="hybridMultilevel"/>
    <w:tmpl w:val="53EC0BCE"/>
    <w:lvl w:ilvl="0" w:tplc="1DEA001A">
      <w:start w:val="1"/>
      <w:numFmt w:val="japaneseCounting"/>
      <w:lvlText w:val="（%1）"/>
      <w:lvlJc w:val="left"/>
      <w:pPr>
        <w:ind w:left="169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88427B0"/>
    <w:multiLevelType w:val="hybridMultilevel"/>
    <w:tmpl w:val="7DC42EF4"/>
    <w:lvl w:ilvl="0" w:tplc="DAD81172">
      <w:start w:val="41"/>
      <w:numFmt w:val="chineseCountingThousand"/>
      <w:lvlText w:val="第%1条"/>
      <w:lvlJc w:val="left"/>
      <w:pPr>
        <w:tabs>
          <w:tab w:val="num" w:pos="1074"/>
        </w:tabs>
        <w:ind w:left="840" w:hanging="420"/>
      </w:pPr>
      <w:rPr>
        <w:rFonts w:hint="eastAsia"/>
        <w:b/>
        <w:i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EF7038"/>
    <w:multiLevelType w:val="hybridMultilevel"/>
    <w:tmpl w:val="7D769FD4"/>
    <w:lvl w:ilvl="0" w:tplc="54ACE1E4">
      <w:start w:val="6"/>
      <w:numFmt w:val="japaneseCounting"/>
      <w:lvlText w:val="%1、"/>
      <w:lvlJc w:val="left"/>
      <w:pPr>
        <w:ind w:left="11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2AA7CB8"/>
    <w:multiLevelType w:val="hybridMultilevel"/>
    <w:tmpl w:val="641E2D82"/>
    <w:lvl w:ilvl="0" w:tplc="5B3EB368">
      <w:start w:val="3"/>
      <w:numFmt w:val="japaneseCounting"/>
      <w:lvlText w:val="（%1）"/>
      <w:lvlJc w:val="left"/>
      <w:pPr>
        <w:ind w:left="1305" w:hanging="885"/>
      </w:pPr>
      <w:rPr>
        <w:rFonts w:ascii="仿宋_GB2312" w:eastAsia="仿宋_GB2312" w:hint="eastAsia"/>
      </w:rPr>
    </w:lvl>
    <w:lvl w:ilvl="1" w:tplc="02641832">
      <w:start w:val="2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6B47043"/>
    <w:multiLevelType w:val="hybridMultilevel"/>
    <w:tmpl w:val="2C926656"/>
    <w:lvl w:ilvl="0" w:tplc="896676A0">
      <w:start w:val="1"/>
      <w:numFmt w:val="chineseCountingThousand"/>
      <w:lvlText w:val="第%1条"/>
      <w:lvlJc w:val="left"/>
      <w:pPr>
        <w:tabs>
          <w:tab w:val="num" w:pos="938"/>
        </w:tabs>
        <w:ind w:left="704" w:hanging="420"/>
      </w:pPr>
      <w:rPr>
        <w:rFonts w:ascii="黑体" w:eastAsia="黑体" w:hAnsi="黑体" w:hint="eastAsia"/>
        <w:b w:val="0"/>
        <w:i w:val="0"/>
        <w:color w:val="000000"/>
        <w:lang w:val="en-US"/>
      </w:rPr>
    </w:lvl>
    <w:lvl w:ilvl="1" w:tplc="21843B16">
      <w:start w:val="1"/>
      <w:numFmt w:val="lowerLetter"/>
      <w:lvlText w:val="%2)"/>
      <w:lvlJc w:val="left"/>
      <w:pPr>
        <w:ind w:left="644" w:hanging="420"/>
      </w:pPr>
    </w:lvl>
    <w:lvl w:ilvl="2" w:tplc="12E42228" w:tentative="1">
      <w:start w:val="1"/>
      <w:numFmt w:val="lowerRoman"/>
      <w:lvlText w:val="%3."/>
      <w:lvlJc w:val="right"/>
      <w:pPr>
        <w:ind w:left="1064" w:hanging="420"/>
      </w:pPr>
    </w:lvl>
    <w:lvl w:ilvl="3" w:tplc="D8A27C24" w:tentative="1">
      <w:start w:val="1"/>
      <w:numFmt w:val="decimal"/>
      <w:lvlText w:val="%4."/>
      <w:lvlJc w:val="left"/>
      <w:pPr>
        <w:ind w:left="1484" w:hanging="420"/>
      </w:pPr>
    </w:lvl>
    <w:lvl w:ilvl="4" w:tplc="EF9A68B6" w:tentative="1">
      <w:start w:val="1"/>
      <w:numFmt w:val="lowerLetter"/>
      <w:lvlText w:val="%5)"/>
      <w:lvlJc w:val="left"/>
      <w:pPr>
        <w:ind w:left="1904" w:hanging="420"/>
      </w:pPr>
    </w:lvl>
    <w:lvl w:ilvl="5" w:tplc="6586335E" w:tentative="1">
      <w:start w:val="1"/>
      <w:numFmt w:val="lowerRoman"/>
      <w:lvlText w:val="%6."/>
      <w:lvlJc w:val="right"/>
      <w:pPr>
        <w:ind w:left="2324" w:hanging="420"/>
      </w:pPr>
    </w:lvl>
    <w:lvl w:ilvl="6" w:tplc="F5566828" w:tentative="1">
      <w:start w:val="1"/>
      <w:numFmt w:val="decimal"/>
      <w:lvlText w:val="%7."/>
      <w:lvlJc w:val="left"/>
      <w:pPr>
        <w:ind w:left="2744" w:hanging="420"/>
      </w:pPr>
    </w:lvl>
    <w:lvl w:ilvl="7" w:tplc="509E4E6C" w:tentative="1">
      <w:start w:val="1"/>
      <w:numFmt w:val="lowerLetter"/>
      <w:lvlText w:val="%8)"/>
      <w:lvlJc w:val="left"/>
      <w:pPr>
        <w:ind w:left="3164" w:hanging="420"/>
      </w:pPr>
    </w:lvl>
    <w:lvl w:ilvl="8" w:tplc="EABA8DAC" w:tentative="1">
      <w:start w:val="1"/>
      <w:numFmt w:val="lowerRoman"/>
      <w:lvlText w:val="%9."/>
      <w:lvlJc w:val="right"/>
      <w:pPr>
        <w:ind w:left="3584" w:hanging="420"/>
      </w:pPr>
    </w:lvl>
  </w:abstractNum>
  <w:abstractNum w:abstractNumId="17">
    <w:nsid w:val="58AB5DC9"/>
    <w:multiLevelType w:val="hybridMultilevel"/>
    <w:tmpl w:val="8A58FB98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07E194E"/>
    <w:multiLevelType w:val="hybridMultilevel"/>
    <w:tmpl w:val="DE64673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0A275EC"/>
    <w:multiLevelType w:val="hybridMultilevel"/>
    <w:tmpl w:val="649C2392"/>
    <w:lvl w:ilvl="0" w:tplc="67DAADE4">
      <w:start w:val="1"/>
      <w:numFmt w:val="chineseCountingThousand"/>
      <w:lvlText w:val="（%1）"/>
      <w:lvlJc w:val="left"/>
      <w:pPr>
        <w:ind w:left="980" w:hanging="420"/>
      </w:pPr>
      <w:rPr>
        <w:rFonts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4347E42"/>
    <w:multiLevelType w:val="hybridMultilevel"/>
    <w:tmpl w:val="EC005560"/>
    <w:lvl w:ilvl="0" w:tplc="E2928724">
      <w:start w:val="1"/>
      <w:numFmt w:val="chineseCountingThousand"/>
      <w:lvlText w:val="（%1）"/>
      <w:lvlJc w:val="left"/>
      <w:pPr>
        <w:ind w:left="1271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>
    <w:nsid w:val="6A354122"/>
    <w:multiLevelType w:val="multilevel"/>
    <w:tmpl w:val="22E4F450"/>
    <w:lvl w:ilvl="0">
      <w:start w:val="1"/>
      <w:numFmt w:val="japaneseCounting"/>
      <w:lvlText w:val="（%1）"/>
      <w:lvlJc w:val="left"/>
      <w:pPr>
        <w:ind w:left="980" w:hanging="420"/>
      </w:pPr>
      <w:rPr>
        <w:rFonts w:ascii="仿宋_GB2312" w:eastAsia="仿宋_GB2312" w:hAnsiTheme="minorEastAsia" w:cs="Times New Roman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6FC062D7"/>
    <w:multiLevelType w:val="hybridMultilevel"/>
    <w:tmpl w:val="3D14B55C"/>
    <w:lvl w:ilvl="0" w:tplc="3B0479F6">
      <w:start w:val="1"/>
      <w:numFmt w:val="japaneseCounting"/>
      <w:lvlText w:val="（%1）"/>
      <w:lvlJc w:val="left"/>
      <w:pPr>
        <w:ind w:left="840" w:hanging="420"/>
      </w:pPr>
      <w:rPr>
        <w:rFonts w:ascii="Times New Roman" w:eastAsia="仿宋_GB2312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9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2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21"/>
  </w:num>
  <w:num w:numId="18">
    <w:abstractNumId w:val="15"/>
  </w:num>
  <w:num w:numId="19">
    <w:abstractNumId w:val="10"/>
  </w:num>
  <w:num w:numId="20">
    <w:abstractNumId w:val="4"/>
  </w:num>
  <w:num w:numId="21">
    <w:abstractNumId w:val="8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2E1"/>
    <w:rsid w:val="000052B2"/>
    <w:rsid w:val="00065BA9"/>
    <w:rsid w:val="000A23CD"/>
    <w:rsid w:val="000B3EFD"/>
    <w:rsid w:val="000C0A1A"/>
    <w:rsid w:val="001009B2"/>
    <w:rsid w:val="00112ABB"/>
    <w:rsid w:val="00163CB9"/>
    <w:rsid w:val="00171142"/>
    <w:rsid w:val="00181A74"/>
    <w:rsid w:val="00181E57"/>
    <w:rsid w:val="001910CE"/>
    <w:rsid w:val="001A4DCE"/>
    <w:rsid w:val="001A55C4"/>
    <w:rsid w:val="001B10A1"/>
    <w:rsid w:val="001B11E5"/>
    <w:rsid w:val="001C1492"/>
    <w:rsid w:val="001D29C2"/>
    <w:rsid w:val="001E26CD"/>
    <w:rsid w:val="001E2FC2"/>
    <w:rsid w:val="001F0AF1"/>
    <w:rsid w:val="00201ADF"/>
    <w:rsid w:val="002068EE"/>
    <w:rsid w:val="002155C0"/>
    <w:rsid w:val="0021569B"/>
    <w:rsid w:val="00217283"/>
    <w:rsid w:val="00220FBF"/>
    <w:rsid w:val="002214D2"/>
    <w:rsid w:val="002526AC"/>
    <w:rsid w:val="002571B8"/>
    <w:rsid w:val="0026094F"/>
    <w:rsid w:val="00282D45"/>
    <w:rsid w:val="00283DAA"/>
    <w:rsid w:val="00286DFB"/>
    <w:rsid w:val="00292881"/>
    <w:rsid w:val="00297AD7"/>
    <w:rsid w:val="002B1854"/>
    <w:rsid w:val="002D1DE3"/>
    <w:rsid w:val="002D4689"/>
    <w:rsid w:val="002F412F"/>
    <w:rsid w:val="0031272E"/>
    <w:rsid w:val="00313D80"/>
    <w:rsid w:val="0031400C"/>
    <w:rsid w:val="00333496"/>
    <w:rsid w:val="003A5E8F"/>
    <w:rsid w:val="003C1BF1"/>
    <w:rsid w:val="003D49F0"/>
    <w:rsid w:val="003F022C"/>
    <w:rsid w:val="00404623"/>
    <w:rsid w:val="00420268"/>
    <w:rsid w:val="00423DD9"/>
    <w:rsid w:val="0043052C"/>
    <w:rsid w:val="0043312A"/>
    <w:rsid w:val="00433DC1"/>
    <w:rsid w:val="00454DC7"/>
    <w:rsid w:val="00497569"/>
    <w:rsid w:val="004A6A61"/>
    <w:rsid w:val="004C5AAF"/>
    <w:rsid w:val="004D0289"/>
    <w:rsid w:val="004F38C4"/>
    <w:rsid w:val="00500C92"/>
    <w:rsid w:val="005157A1"/>
    <w:rsid w:val="00525487"/>
    <w:rsid w:val="005408D4"/>
    <w:rsid w:val="005456F6"/>
    <w:rsid w:val="0054795F"/>
    <w:rsid w:val="005620EA"/>
    <w:rsid w:val="0056346B"/>
    <w:rsid w:val="00576FF1"/>
    <w:rsid w:val="005939FA"/>
    <w:rsid w:val="005A00DE"/>
    <w:rsid w:val="005C0E6B"/>
    <w:rsid w:val="005C1E4E"/>
    <w:rsid w:val="005D6BB0"/>
    <w:rsid w:val="005F11DF"/>
    <w:rsid w:val="006141EC"/>
    <w:rsid w:val="00615DBD"/>
    <w:rsid w:val="00652F3E"/>
    <w:rsid w:val="00657CE7"/>
    <w:rsid w:val="006678C3"/>
    <w:rsid w:val="00676CB8"/>
    <w:rsid w:val="00695A7F"/>
    <w:rsid w:val="006A3345"/>
    <w:rsid w:val="006A34D2"/>
    <w:rsid w:val="006A5528"/>
    <w:rsid w:val="006C0742"/>
    <w:rsid w:val="006C433A"/>
    <w:rsid w:val="006F7AFF"/>
    <w:rsid w:val="006F7D6E"/>
    <w:rsid w:val="00705A03"/>
    <w:rsid w:val="00712368"/>
    <w:rsid w:val="00713489"/>
    <w:rsid w:val="00713785"/>
    <w:rsid w:val="00721D22"/>
    <w:rsid w:val="007327AD"/>
    <w:rsid w:val="007332B0"/>
    <w:rsid w:val="0074354F"/>
    <w:rsid w:val="007515F8"/>
    <w:rsid w:val="00752BDF"/>
    <w:rsid w:val="0075706C"/>
    <w:rsid w:val="00773AA3"/>
    <w:rsid w:val="007B4F05"/>
    <w:rsid w:val="008016A6"/>
    <w:rsid w:val="00821563"/>
    <w:rsid w:val="0083391C"/>
    <w:rsid w:val="00837DF6"/>
    <w:rsid w:val="00850E30"/>
    <w:rsid w:val="008944A1"/>
    <w:rsid w:val="00896E05"/>
    <w:rsid w:val="008C2CC5"/>
    <w:rsid w:val="008D2158"/>
    <w:rsid w:val="008E6EFF"/>
    <w:rsid w:val="00900039"/>
    <w:rsid w:val="00913252"/>
    <w:rsid w:val="009455BA"/>
    <w:rsid w:val="00946B3A"/>
    <w:rsid w:val="00963BA0"/>
    <w:rsid w:val="0096750E"/>
    <w:rsid w:val="0099657E"/>
    <w:rsid w:val="009C03A5"/>
    <w:rsid w:val="009E76CE"/>
    <w:rsid w:val="00A00E3D"/>
    <w:rsid w:val="00A359E1"/>
    <w:rsid w:val="00A5328E"/>
    <w:rsid w:val="00A567ED"/>
    <w:rsid w:val="00A60FD3"/>
    <w:rsid w:val="00A65F65"/>
    <w:rsid w:val="00A9190D"/>
    <w:rsid w:val="00A96651"/>
    <w:rsid w:val="00AB2A3D"/>
    <w:rsid w:val="00AC6900"/>
    <w:rsid w:val="00AE1970"/>
    <w:rsid w:val="00AE67C6"/>
    <w:rsid w:val="00AF2AA9"/>
    <w:rsid w:val="00B13D81"/>
    <w:rsid w:val="00B22BE7"/>
    <w:rsid w:val="00B24AF0"/>
    <w:rsid w:val="00B46667"/>
    <w:rsid w:val="00B709A3"/>
    <w:rsid w:val="00BE7259"/>
    <w:rsid w:val="00C031F1"/>
    <w:rsid w:val="00C07012"/>
    <w:rsid w:val="00C102E1"/>
    <w:rsid w:val="00C11F54"/>
    <w:rsid w:val="00C148D8"/>
    <w:rsid w:val="00C15FF9"/>
    <w:rsid w:val="00C15FFF"/>
    <w:rsid w:val="00C343DF"/>
    <w:rsid w:val="00C361CD"/>
    <w:rsid w:val="00C50B55"/>
    <w:rsid w:val="00C55A97"/>
    <w:rsid w:val="00C83B31"/>
    <w:rsid w:val="00C97846"/>
    <w:rsid w:val="00CA0EB3"/>
    <w:rsid w:val="00CB1AAB"/>
    <w:rsid w:val="00CB695E"/>
    <w:rsid w:val="00CD3885"/>
    <w:rsid w:val="00CF34B9"/>
    <w:rsid w:val="00D127C4"/>
    <w:rsid w:val="00D16EDF"/>
    <w:rsid w:val="00D34495"/>
    <w:rsid w:val="00D35FCE"/>
    <w:rsid w:val="00D4604D"/>
    <w:rsid w:val="00D52AE5"/>
    <w:rsid w:val="00D611E6"/>
    <w:rsid w:val="00D62CB9"/>
    <w:rsid w:val="00D77553"/>
    <w:rsid w:val="00D84C51"/>
    <w:rsid w:val="00D87CDC"/>
    <w:rsid w:val="00D94D5B"/>
    <w:rsid w:val="00DB47A6"/>
    <w:rsid w:val="00DC1E3C"/>
    <w:rsid w:val="00DD676F"/>
    <w:rsid w:val="00DE6269"/>
    <w:rsid w:val="00E34DD5"/>
    <w:rsid w:val="00E420C6"/>
    <w:rsid w:val="00E854F8"/>
    <w:rsid w:val="00E956AD"/>
    <w:rsid w:val="00EA118A"/>
    <w:rsid w:val="00EA3683"/>
    <w:rsid w:val="00EB06BB"/>
    <w:rsid w:val="00EC15C0"/>
    <w:rsid w:val="00EC69ED"/>
    <w:rsid w:val="00ED77D9"/>
    <w:rsid w:val="00EE4E26"/>
    <w:rsid w:val="00F06D2A"/>
    <w:rsid w:val="00F071C6"/>
    <w:rsid w:val="00F20700"/>
    <w:rsid w:val="00F31822"/>
    <w:rsid w:val="00F5722A"/>
    <w:rsid w:val="00F62489"/>
    <w:rsid w:val="00F7334D"/>
    <w:rsid w:val="00F830BD"/>
    <w:rsid w:val="00F857C7"/>
    <w:rsid w:val="00F97D7F"/>
    <w:rsid w:val="00FB5A48"/>
    <w:rsid w:val="00FB6207"/>
    <w:rsid w:val="00FD31DC"/>
    <w:rsid w:val="00FD4BA3"/>
    <w:rsid w:val="00FE00DE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F8"/>
    <w:pPr>
      <w:ind w:firstLineChars="200" w:firstLine="420"/>
    </w:pPr>
  </w:style>
  <w:style w:type="character" w:customStyle="1" w:styleId="fomtxtlangtxt">
    <w:name w:val="fom_txt lang_txt"/>
    <w:basedOn w:val="a0"/>
    <w:rsid w:val="00A96651"/>
  </w:style>
  <w:style w:type="paragraph" w:styleId="a4">
    <w:name w:val="No Spacing"/>
    <w:uiPriority w:val="1"/>
    <w:qFormat/>
    <w:rsid w:val="00F733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40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046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04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046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F8"/>
    <w:pPr>
      <w:ind w:firstLineChars="200" w:firstLine="420"/>
    </w:pPr>
  </w:style>
  <w:style w:type="character" w:customStyle="1" w:styleId="fomtxtlangtxt">
    <w:name w:val="fom_txt lang_txt"/>
    <w:basedOn w:val="a0"/>
    <w:rsid w:val="00A96651"/>
  </w:style>
  <w:style w:type="paragraph" w:styleId="a4">
    <w:name w:val="No Spacing"/>
    <w:uiPriority w:val="1"/>
    <w:qFormat/>
    <w:rsid w:val="00F7334D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F86D-9653-4081-8733-4175E26C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lqing.ht</dc:creator>
  <cp:lastModifiedBy>颜福华/hnsd</cp:lastModifiedBy>
  <cp:revision>24</cp:revision>
  <dcterms:created xsi:type="dcterms:W3CDTF">2019-09-27T04:39:00Z</dcterms:created>
  <dcterms:modified xsi:type="dcterms:W3CDTF">2020-05-15T03:09:00Z</dcterms:modified>
</cp:coreProperties>
</file>