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40"/>
          <w:szCs w:val="44"/>
          <w:highlight w:val="none"/>
          <w:lang w:eastAsia="zh-CN"/>
        </w:rPr>
      </w:pPr>
      <w:r>
        <w:rPr>
          <w:rFonts w:hint="eastAsia" w:ascii="宋体" w:hAnsi="宋体" w:cs="宋体"/>
          <w:b/>
          <w:bCs/>
          <w:color w:val="auto"/>
          <w:sz w:val="40"/>
          <w:szCs w:val="44"/>
          <w:highlight w:val="none"/>
          <w:lang w:eastAsia="zh-CN"/>
        </w:rPr>
        <w:t>中铁上海工程局银川市第一再生水厂项目</w:t>
      </w:r>
    </w:p>
    <w:p>
      <w:pPr>
        <w:jc w:val="center"/>
        <w:rPr>
          <w:rFonts w:hint="eastAsia" w:ascii="宋体" w:hAnsi="宋体" w:eastAsia="宋体" w:cs="宋体"/>
          <w:b/>
          <w:bCs/>
          <w:color w:val="auto"/>
          <w:sz w:val="40"/>
          <w:szCs w:val="44"/>
          <w:highlight w:val="none"/>
        </w:rPr>
      </w:pPr>
      <w:r>
        <w:rPr>
          <w:rFonts w:hint="eastAsia" w:ascii="宋体" w:hAnsi="宋体" w:cs="宋体"/>
          <w:b/>
          <w:bCs/>
          <w:color w:val="auto"/>
          <w:sz w:val="40"/>
          <w:szCs w:val="44"/>
          <w:highlight w:val="none"/>
          <w:lang w:eastAsia="zh-CN"/>
        </w:rPr>
        <w:t>电线电缆采购招标</w:t>
      </w:r>
      <w:r>
        <w:rPr>
          <w:rFonts w:hint="eastAsia" w:ascii="宋体" w:hAnsi="宋体" w:eastAsia="宋体" w:cs="宋体"/>
          <w:b/>
          <w:bCs/>
          <w:color w:val="auto"/>
          <w:sz w:val="40"/>
          <w:szCs w:val="44"/>
          <w:highlight w:val="none"/>
        </w:rPr>
        <w:t>公告</w:t>
      </w:r>
    </w:p>
    <w:p>
      <w:pPr>
        <w:pStyle w:val="11"/>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招标编号：</w:t>
      </w:r>
      <w:r>
        <w:rPr>
          <w:rFonts w:hint="eastAsia" w:cs="Times New Roman"/>
          <w:color w:val="auto"/>
          <w:szCs w:val="21"/>
          <w:highlight w:val="none"/>
          <w:lang w:eastAsia="zh-CN"/>
        </w:rPr>
        <w:t>CRECSH-WZCG（2020）70号</w:t>
      </w:r>
    </w:p>
    <w:p>
      <w:pPr>
        <w:pStyle w:val="3"/>
        <w:pageBreakBefore w:val="0"/>
        <w:kinsoku/>
        <w:wordWrap/>
        <w:overflowPunct/>
        <w:topLinePunct w:val="0"/>
        <w:autoSpaceDE/>
        <w:autoSpaceDN/>
        <w:bidi w:val="0"/>
        <w:spacing w:line="440" w:lineRule="exact"/>
        <w:textAlignment w:val="auto"/>
        <w:rPr>
          <w:rFonts w:hint="default" w:eastAsia="宋体"/>
          <w:color w:val="auto"/>
          <w:highlight w:val="none"/>
          <w:lang w:val="en-US" w:eastAsia="zh-CN"/>
        </w:rPr>
      </w:pPr>
      <w:bookmarkStart w:id="0" w:name="_Toc2414"/>
      <w:r>
        <w:rPr>
          <w:rFonts w:hint="eastAsia"/>
          <w:color w:val="auto"/>
          <w:highlight w:val="none"/>
        </w:rPr>
        <w:t>1．招标条件</w:t>
      </w:r>
      <w:bookmarkEnd w:id="0"/>
    </w:p>
    <w:p>
      <w:pPr>
        <w:pStyle w:val="11"/>
        <w:pageBreakBefore w:val="0"/>
        <w:kinsoku/>
        <w:wordWrap/>
        <w:overflowPunct/>
        <w:topLinePunct w:val="0"/>
        <w:autoSpaceDE/>
        <w:autoSpaceDN/>
        <w:bidi w:val="0"/>
        <w:spacing w:line="440" w:lineRule="exact"/>
        <w:textAlignment w:val="auto"/>
        <w:rPr>
          <w:rFonts w:hint="eastAsia"/>
          <w:color w:val="auto"/>
          <w:highlight w:val="none"/>
        </w:rPr>
      </w:pPr>
      <w:r>
        <w:rPr>
          <w:rFonts w:hint="eastAsia"/>
          <w:color w:val="auto"/>
          <w:highlight w:val="none"/>
          <w:lang w:eastAsia="zh-CN"/>
        </w:rPr>
        <w:t>本招标项目为中铁上海工程局银川市第一再生水厂项目，</w:t>
      </w:r>
      <w:r>
        <w:rPr>
          <w:rFonts w:hint="eastAsia"/>
          <w:color w:val="auto"/>
          <w:highlight w:val="none"/>
        </w:rPr>
        <w:t>建设单位</w:t>
      </w:r>
      <w:r>
        <w:rPr>
          <w:rFonts w:hint="eastAsia"/>
          <w:color w:val="auto"/>
          <w:highlight w:val="none"/>
          <w:lang w:val="en-US" w:eastAsia="zh-CN"/>
        </w:rPr>
        <w:t>为北控水务集团有限公司</w:t>
      </w:r>
      <w:r>
        <w:rPr>
          <w:rFonts w:hint="eastAsia"/>
          <w:color w:val="auto"/>
          <w:highlight w:val="none"/>
        </w:rPr>
        <w:t>，施工单位为中铁上海工程局集团有限公司</w:t>
      </w:r>
      <w:r>
        <w:rPr>
          <w:rFonts w:hint="eastAsia"/>
          <w:color w:val="auto"/>
          <w:highlight w:val="none"/>
          <w:lang w:eastAsia="zh-CN"/>
        </w:rPr>
        <w:t>。本</w:t>
      </w:r>
      <w:r>
        <w:rPr>
          <w:rFonts w:hint="eastAsia"/>
          <w:color w:val="auto"/>
          <w:highlight w:val="none"/>
        </w:rPr>
        <w:t>项目</w:t>
      </w:r>
      <w:r>
        <w:rPr>
          <w:rFonts w:hint="eastAsia"/>
          <w:color w:val="auto"/>
          <w:highlight w:val="none"/>
          <w:lang w:val="en-US" w:eastAsia="zh-CN"/>
        </w:rPr>
        <w:t>施工所需</w:t>
      </w:r>
      <w:r>
        <w:rPr>
          <w:rFonts w:hint="eastAsia"/>
          <w:b/>
          <w:bCs/>
          <w:color w:val="auto"/>
          <w:highlight w:val="none"/>
          <w:lang w:val="en-US" w:eastAsia="zh-CN"/>
        </w:rPr>
        <w:t>电线电缆</w:t>
      </w:r>
      <w:r>
        <w:rPr>
          <w:rFonts w:hint="eastAsia"/>
          <w:color w:val="auto"/>
          <w:highlight w:val="none"/>
        </w:rPr>
        <w:t>已具备招标条件，现进行公开招标。</w:t>
      </w:r>
    </w:p>
    <w:p>
      <w:pPr>
        <w:pStyle w:val="3"/>
        <w:pageBreakBefore w:val="0"/>
        <w:kinsoku/>
        <w:wordWrap/>
        <w:overflowPunct/>
        <w:topLinePunct w:val="0"/>
        <w:autoSpaceDE/>
        <w:autoSpaceDN/>
        <w:bidi w:val="0"/>
        <w:spacing w:line="440" w:lineRule="exact"/>
        <w:textAlignment w:val="auto"/>
        <w:rPr>
          <w:color w:val="auto"/>
          <w:highlight w:val="none"/>
        </w:rPr>
      </w:pPr>
      <w:bookmarkStart w:id="1" w:name="_Toc30770"/>
      <w:r>
        <w:rPr>
          <w:rFonts w:hint="eastAsia"/>
          <w:color w:val="auto"/>
          <w:highlight w:val="none"/>
        </w:rPr>
        <w:t>2．项目概况与招标内容</w:t>
      </w:r>
      <w:bookmarkEnd w:id="1"/>
    </w:p>
    <w:p>
      <w:pPr>
        <w:pStyle w:val="11"/>
        <w:pageBreakBefore w:val="0"/>
        <w:kinsoku/>
        <w:wordWrap/>
        <w:overflowPunct/>
        <w:topLinePunct w:val="0"/>
        <w:autoSpaceDE/>
        <w:autoSpaceDN/>
        <w:bidi w:val="0"/>
        <w:spacing w:line="440" w:lineRule="exact"/>
        <w:ind w:firstLine="422" w:firstLineChars="201"/>
        <w:textAlignment w:val="auto"/>
        <w:rPr>
          <w:rFonts w:hint="eastAsia"/>
          <w:color w:val="auto"/>
          <w:highlight w:val="none"/>
        </w:rPr>
      </w:pPr>
      <w:r>
        <w:rPr>
          <w:rFonts w:hint="eastAsia"/>
          <w:color w:val="auto"/>
          <w:highlight w:val="none"/>
        </w:rPr>
        <w:t>2.1项目概况：</w:t>
      </w:r>
    </w:p>
    <w:p>
      <w:pPr>
        <w:pStyle w:val="11"/>
        <w:pageBreakBefore w:val="0"/>
        <w:kinsoku/>
        <w:wordWrap/>
        <w:overflowPunct/>
        <w:topLinePunct w:val="0"/>
        <w:autoSpaceDE/>
        <w:autoSpaceDN/>
        <w:bidi w:val="0"/>
        <w:spacing w:line="440" w:lineRule="exact"/>
        <w:textAlignment w:val="auto"/>
        <w:rPr>
          <w:rFonts w:hint="eastAsia"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银川市第一再生水厂工程位于兴庆区东北部，东侧为友爱街和银新干沟，西侧靠近G6京藏高速，南侧为主干道大连东路东延区段，北侧靠近银新干沟，规划用地面积约23.3公顷。本工程再生水供水规模达到30万m³/d。银川市第一再生水厂工程包含：粗格栅及进水泵房、细格栅间及曝气沉砂池、速沉池、生物池、二沉池、回流及剩余污泥泵房、鼓风机房、高效沉淀池、V型砂滤池、滤池反冲洗废水池、液氧储罐、臭氧制备间及接触池、清水池及接触消毒池、贮泥池、变电室、污泥浓缩机房、污泥脱水机房、鼓风机房、配水泵房、综合加药间、综合楼及场区道路。</w:t>
      </w:r>
    </w:p>
    <w:p>
      <w:pPr>
        <w:pStyle w:val="11"/>
        <w:pageBreakBefore w:val="0"/>
        <w:kinsoku/>
        <w:wordWrap/>
        <w:overflowPunct/>
        <w:topLinePunct w:val="0"/>
        <w:autoSpaceDE/>
        <w:autoSpaceDN/>
        <w:bidi w:val="0"/>
        <w:spacing w:line="440" w:lineRule="exact"/>
        <w:textAlignment w:val="auto"/>
        <w:rPr>
          <w:rFonts w:hint="eastAsia"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2.2招标内容：（物资名称、包件划分、计划交货期等，详见附表1）。</w:t>
      </w:r>
    </w:p>
    <w:p>
      <w:pPr>
        <w:pStyle w:val="3"/>
        <w:pageBreakBefore w:val="0"/>
        <w:kinsoku/>
        <w:wordWrap/>
        <w:overflowPunct/>
        <w:topLinePunct w:val="0"/>
        <w:autoSpaceDE/>
        <w:autoSpaceDN/>
        <w:bidi w:val="0"/>
        <w:spacing w:line="440" w:lineRule="exact"/>
        <w:textAlignment w:val="auto"/>
        <w:rPr>
          <w:color w:val="auto"/>
          <w:highlight w:val="none"/>
        </w:rPr>
      </w:pPr>
      <w:bookmarkStart w:id="2" w:name="_Toc10746"/>
      <w:r>
        <w:rPr>
          <w:rFonts w:hint="eastAsia"/>
          <w:color w:val="auto"/>
          <w:highlight w:val="none"/>
        </w:rPr>
        <w:t>3．投标人资格要求</w:t>
      </w:r>
      <w:bookmarkEnd w:id="2"/>
    </w:p>
    <w:p>
      <w:pPr>
        <w:pageBreakBefore w:val="0"/>
        <w:kinsoku/>
        <w:wordWrap/>
        <w:overflowPunct/>
        <w:topLinePunct w:val="0"/>
        <w:autoSpaceDE/>
        <w:autoSpaceDN/>
        <w:bidi w:val="0"/>
        <w:spacing w:line="440" w:lineRule="exact"/>
        <w:ind w:firstLine="424" w:firstLineChars="202"/>
        <w:jc w:val="left"/>
        <w:textAlignment w:val="auto"/>
        <w:rPr>
          <w:rFonts w:hint="eastAsia"/>
          <w:color w:val="auto"/>
          <w:highlight w:val="none"/>
        </w:rPr>
      </w:pPr>
      <w:r>
        <w:rPr>
          <w:rFonts w:hint="eastAsia"/>
          <w:color w:val="auto"/>
          <w:highlight w:val="none"/>
        </w:rPr>
        <w:t>3.1本次招标要求投标人须</w:t>
      </w:r>
      <w:r>
        <w:rPr>
          <w:rFonts w:hint="eastAsia"/>
          <w:color w:val="auto"/>
          <w:highlight w:val="none"/>
          <w:lang w:val="en-US" w:eastAsia="zh-CN"/>
        </w:rPr>
        <w:t>满足招标人资格要求</w:t>
      </w:r>
      <w:r>
        <w:rPr>
          <w:rFonts w:hint="eastAsia"/>
          <w:color w:val="auto"/>
          <w:highlight w:val="none"/>
          <w:lang w:eastAsia="zh-CN"/>
        </w:rPr>
        <w:t>详见附表</w:t>
      </w:r>
      <w:r>
        <w:rPr>
          <w:rFonts w:hint="eastAsia"/>
          <w:color w:val="auto"/>
          <w:highlight w:val="none"/>
          <w:lang w:val="en-US" w:eastAsia="zh-CN"/>
        </w:rPr>
        <w:t>2</w:t>
      </w:r>
      <w:r>
        <w:rPr>
          <w:rFonts w:hint="eastAsia"/>
          <w:color w:val="auto"/>
          <w:highlight w:val="none"/>
        </w:rPr>
        <w:t>。</w:t>
      </w:r>
    </w:p>
    <w:p>
      <w:pPr>
        <w:pStyle w:val="11"/>
        <w:pageBreakBefore w:val="0"/>
        <w:kinsoku/>
        <w:wordWrap/>
        <w:overflowPunct/>
        <w:topLinePunct w:val="0"/>
        <w:autoSpaceDE/>
        <w:autoSpaceDN/>
        <w:bidi w:val="0"/>
        <w:spacing w:line="440" w:lineRule="exact"/>
        <w:ind w:firstLine="485"/>
        <w:textAlignment w:val="auto"/>
        <w:rPr>
          <w:rFonts w:ascii="宋体" w:hAnsi="宋体" w:cs="等线 Light"/>
          <w:color w:val="auto"/>
          <w:sz w:val="21"/>
          <w:szCs w:val="21"/>
          <w:highlight w:val="none"/>
        </w:rPr>
      </w:pPr>
      <w:r>
        <w:rPr>
          <w:rFonts w:hint="eastAsia" w:ascii="Times New Roman" w:hAnsi="Times New Roman" w:eastAsia="宋体" w:cs="Times New Roman"/>
          <w:color w:val="auto"/>
          <w:kern w:val="2"/>
          <w:sz w:val="21"/>
          <w:szCs w:val="22"/>
          <w:highlight w:val="none"/>
          <w:lang w:val="en-US" w:eastAsia="zh-CN" w:bidi="ar-SA"/>
        </w:rPr>
        <w:t>3.2本次招标不接受因物资质量、供应等问题，被招标项目行业主管部门处罚，且在处罚有效期内的投</w:t>
      </w:r>
      <w:r>
        <w:rPr>
          <w:rFonts w:hint="eastAsia" w:ascii="宋体" w:hAnsi="宋体" w:cs="等线 Light"/>
          <w:color w:val="auto"/>
          <w:sz w:val="21"/>
          <w:szCs w:val="21"/>
          <w:highlight w:val="none"/>
        </w:rPr>
        <w:t>标人；不接受被列入招标人及其上级单位“限制交易供应商名单”或“供应商黑名单”中的投标人</w:t>
      </w:r>
      <w:r>
        <w:rPr>
          <w:rFonts w:hint="eastAsia" w:ascii="宋体" w:hAnsi="宋体" w:cs="等线 Light"/>
          <w:color w:val="auto"/>
          <w:sz w:val="21"/>
          <w:szCs w:val="21"/>
          <w:highlight w:val="none"/>
          <w:lang w:eastAsia="zh-CN"/>
        </w:rPr>
        <w:t>；不接受</w:t>
      </w:r>
      <w:r>
        <w:rPr>
          <w:rFonts w:hint="eastAsia" w:ascii="宋体" w:hAnsi="宋体" w:cs="等线 Light"/>
          <w:color w:val="auto"/>
          <w:sz w:val="21"/>
          <w:szCs w:val="21"/>
          <w:highlight w:val="none"/>
        </w:rPr>
        <w:t>被列入</w:t>
      </w:r>
      <w:r>
        <w:rPr>
          <w:rFonts w:hint="eastAsia" w:ascii="宋体" w:hAnsi="宋体" w:cs="等线 Light"/>
          <w:color w:val="auto"/>
          <w:sz w:val="21"/>
          <w:szCs w:val="21"/>
          <w:highlight w:val="none"/>
          <w:lang w:eastAsia="zh-CN"/>
        </w:rPr>
        <w:t>项目建设单位</w:t>
      </w:r>
      <w:r>
        <w:rPr>
          <w:rFonts w:hint="eastAsia" w:ascii="宋体" w:hAnsi="宋体" w:cs="等线 Light"/>
          <w:color w:val="auto"/>
          <w:sz w:val="21"/>
          <w:szCs w:val="21"/>
          <w:highlight w:val="none"/>
        </w:rPr>
        <w:t>处罚期内的投标人</w:t>
      </w:r>
      <w:r>
        <w:rPr>
          <w:rFonts w:hint="eastAsia" w:ascii="宋体" w:hAnsi="宋体" w:cs="等线 Light"/>
          <w:color w:val="auto"/>
          <w:sz w:val="21"/>
          <w:szCs w:val="21"/>
          <w:highlight w:val="none"/>
          <w:lang w:eastAsia="zh-CN"/>
        </w:rPr>
        <w:t>；不接受近一年内交通运输部公布的质量监督抽查不合格产品的供应商</w:t>
      </w:r>
      <w:r>
        <w:rPr>
          <w:rFonts w:hint="eastAsia" w:ascii="宋体" w:hAnsi="宋体" w:cs="等线 Light"/>
          <w:color w:val="auto"/>
          <w:sz w:val="21"/>
          <w:szCs w:val="21"/>
          <w:highlight w:val="none"/>
          <w:lang w:val="en-US" w:eastAsia="zh-CN"/>
        </w:rPr>
        <w:t>投标</w:t>
      </w:r>
      <w:r>
        <w:rPr>
          <w:rFonts w:hint="eastAsia" w:ascii="宋体" w:hAnsi="宋体" w:cs="等线 Light"/>
          <w:color w:val="auto"/>
          <w:sz w:val="21"/>
          <w:szCs w:val="21"/>
          <w:highlight w:val="none"/>
        </w:rPr>
        <w:t>。</w:t>
      </w:r>
    </w:p>
    <w:p>
      <w:pPr>
        <w:pageBreakBefore w:val="0"/>
        <w:kinsoku/>
        <w:wordWrap/>
        <w:overflowPunct/>
        <w:topLinePunct w:val="0"/>
        <w:autoSpaceDE/>
        <w:autoSpaceDN/>
        <w:bidi w:val="0"/>
        <w:spacing w:line="440" w:lineRule="exact"/>
        <w:ind w:firstLine="424" w:firstLineChars="202"/>
        <w:jc w:val="left"/>
        <w:textAlignment w:val="auto"/>
        <w:rPr>
          <w:color w:val="auto"/>
          <w:highlight w:val="none"/>
        </w:rPr>
      </w:pPr>
      <w:r>
        <w:rPr>
          <w:rFonts w:hint="eastAsia"/>
          <w:color w:val="auto"/>
          <w:highlight w:val="none"/>
        </w:rPr>
        <w:t>3.</w:t>
      </w:r>
      <w:r>
        <w:rPr>
          <w:color w:val="auto"/>
          <w:highlight w:val="none"/>
        </w:rPr>
        <w:t>3</w:t>
      </w:r>
      <w:r>
        <w:rPr>
          <w:rFonts w:hint="eastAsia"/>
          <w:color w:val="auto"/>
          <w:highlight w:val="none"/>
        </w:rPr>
        <w:t>本次招标不接受联合体投标。</w:t>
      </w:r>
    </w:p>
    <w:p>
      <w:pPr>
        <w:pageBreakBefore w:val="0"/>
        <w:kinsoku/>
        <w:wordWrap/>
        <w:overflowPunct/>
        <w:topLinePunct w:val="0"/>
        <w:autoSpaceDE/>
        <w:autoSpaceDN/>
        <w:bidi w:val="0"/>
        <w:spacing w:line="440" w:lineRule="exact"/>
        <w:ind w:firstLine="424" w:firstLineChars="202"/>
        <w:jc w:val="left"/>
        <w:textAlignment w:val="auto"/>
        <w:rPr>
          <w:color w:val="auto"/>
          <w:highlight w:val="none"/>
        </w:rPr>
      </w:pPr>
      <w:r>
        <w:rPr>
          <w:rFonts w:hint="eastAsia"/>
          <w:color w:val="auto"/>
          <w:highlight w:val="none"/>
        </w:rPr>
        <w:t>3.</w:t>
      </w:r>
      <w:r>
        <w:rPr>
          <w:color w:val="auto"/>
          <w:highlight w:val="none"/>
        </w:rPr>
        <w:t>4</w:t>
      </w:r>
      <w:r>
        <w:rPr>
          <w:rFonts w:hint="eastAsia"/>
          <w:color w:val="auto"/>
          <w:highlight w:val="none"/>
        </w:rPr>
        <w:t>本次招标物资一包一投（即每个包件投标文件单独封装）。</w:t>
      </w:r>
    </w:p>
    <w:p>
      <w:pPr>
        <w:pageBreakBefore w:val="0"/>
        <w:widowControl/>
        <w:kinsoku/>
        <w:wordWrap/>
        <w:overflowPunct/>
        <w:topLinePunct w:val="0"/>
        <w:autoSpaceDE/>
        <w:autoSpaceDN/>
        <w:bidi w:val="0"/>
        <w:spacing w:line="440" w:lineRule="exact"/>
        <w:ind w:firstLine="420" w:firstLineChars="200"/>
        <w:jc w:val="left"/>
        <w:textAlignment w:val="auto"/>
        <w:rPr>
          <w:rFonts w:hint="eastAsia" w:ascii="宋体" w:hAnsi="宋体" w:cs="等线 Light"/>
          <w:color w:val="auto"/>
          <w:sz w:val="21"/>
          <w:szCs w:val="21"/>
          <w:highlight w:val="none"/>
        </w:rPr>
      </w:pPr>
      <w:r>
        <w:rPr>
          <w:rFonts w:hint="eastAsia"/>
          <w:color w:val="auto"/>
          <w:highlight w:val="none"/>
        </w:rPr>
        <w:t>3.5</w:t>
      </w:r>
      <w:r>
        <w:rPr>
          <w:rFonts w:hint="eastAsia" w:ascii="宋体" w:hAnsi="宋体" w:cs="等线 Light"/>
          <w:color w:val="auto"/>
          <w:sz w:val="21"/>
          <w:szCs w:val="21"/>
          <w:highlight w:val="none"/>
        </w:rPr>
        <w:t>资格审查方式：本次招标采用资格后审方式。</w:t>
      </w:r>
    </w:p>
    <w:p>
      <w:pPr>
        <w:pageBreakBefore w:val="0"/>
        <w:widowControl/>
        <w:kinsoku/>
        <w:wordWrap/>
        <w:overflowPunct/>
        <w:topLinePunct w:val="0"/>
        <w:autoSpaceDE/>
        <w:autoSpaceDN/>
        <w:bidi w:val="0"/>
        <w:spacing w:line="440" w:lineRule="exact"/>
        <w:ind w:firstLine="422" w:firstLineChars="200"/>
        <w:jc w:val="left"/>
        <w:textAlignment w:val="auto"/>
        <w:rPr>
          <w:b/>
          <w:bCs/>
          <w:color w:val="auto"/>
          <w:sz w:val="21"/>
          <w:szCs w:val="21"/>
          <w:highlight w:val="none"/>
        </w:rPr>
      </w:pPr>
      <w:r>
        <w:rPr>
          <w:rFonts w:hint="eastAsia"/>
          <w:b/>
          <w:bCs/>
          <w:color w:val="auto"/>
          <w:highlight w:val="none"/>
        </w:rPr>
        <w:t>3.6</w:t>
      </w:r>
      <w:r>
        <w:rPr>
          <w:rFonts w:hint="eastAsia" w:ascii="宋体" w:hAnsi="宋体" w:cs="等线 Light"/>
          <w:b/>
          <w:bCs/>
          <w:color w:val="auto"/>
          <w:sz w:val="21"/>
          <w:szCs w:val="21"/>
          <w:highlight w:val="none"/>
        </w:rPr>
        <w:t>中标能力限制：</w:t>
      </w:r>
      <w:r>
        <w:rPr>
          <w:rFonts w:hint="eastAsia" w:ascii="宋体" w:hAnsi="宋体" w:cs="等线 Light"/>
          <w:b/>
          <w:bCs/>
          <w:color w:val="auto"/>
          <w:sz w:val="21"/>
          <w:szCs w:val="21"/>
          <w:highlight w:val="none"/>
          <w:lang w:val="en-US" w:eastAsia="zh-CN"/>
        </w:rPr>
        <w:t>无</w:t>
      </w:r>
      <w:r>
        <w:rPr>
          <w:rFonts w:hint="eastAsia" w:ascii="宋体" w:hAnsi="宋体" w:cs="等线 Light"/>
          <w:b/>
          <w:bCs/>
          <w:color w:val="auto"/>
          <w:sz w:val="21"/>
          <w:szCs w:val="21"/>
          <w:highlight w:val="none"/>
        </w:rPr>
        <w:t>。</w:t>
      </w:r>
    </w:p>
    <w:p>
      <w:pPr>
        <w:pStyle w:val="3"/>
        <w:pageBreakBefore w:val="0"/>
        <w:kinsoku/>
        <w:wordWrap/>
        <w:overflowPunct/>
        <w:topLinePunct w:val="0"/>
        <w:autoSpaceDE/>
        <w:autoSpaceDN/>
        <w:bidi w:val="0"/>
        <w:spacing w:line="440" w:lineRule="exact"/>
        <w:textAlignment w:val="auto"/>
        <w:rPr>
          <w:color w:val="auto"/>
          <w:highlight w:val="none"/>
        </w:rPr>
      </w:pPr>
      <w:bookmarkStart w:id="3" w:name="_Toc16535"/>
      <w:r>
        <w:rPr>
          <w:rFonts w:hint="eastAsia"/>
          <w:color w:val="auto"/>
          <w:highlight w:val="none"/>
        </w:rPr>
        <w:t>4．招标文件的获取</w:t>
      </w:r>
      <w:bookmarkEnd w:id="3"/>
    </w:p>
    <w:p>
      <w:pPr>
        <w:pageBreakBefore w:val="0"/>
        <w:kinsoku/>
        <w:wordWrap/>
        <w:overflowPunct/>
        <w:topLinePunct w:val="0"/>
        <w:autoSpaceDE/>
        <w:autoSpaceDN/>
        <w:bidi w:val="0"/>
        <w:spacing w:line="440" w:lineRule="exact"/>
        <w:ind w:firstLine="424" w:firstLineChars="202"/>
        <w:jc w:val="left"/>
        <w:textAlignment w:val="auto"/>
        <w:rPr>
          <w:rFonts w:hint="eastAsia"/>
          <w:color w:val="auto"/>
          <w:highlight w:val="none"/>
        </w:rPr>
      </w:pPr>
      <w:r>
        <w:rPr>
          <w:color w:val="auto"/>
          <w:highlight w:val="none"/>
        </w:rPr>
        <w:t>4</w:t>
      </w:r>
      <w:r>
        <w:rPr>
          <w:rFonts w:hint="eastAsia"/>
          <w:color w:val="auto"/>
          <w:highlight w:val="none"/>
        </w:rPr>
        <w:t>.1本次招标文件仅采用电子版方式在中国中铁采购电子商务平台上发售，售价详见</w:t>
      </w:r>
      <w:r>
        <w:rPr>
          <w:rFonts w:hint="eastAsia"/>
          <w:color w:val="auto"/>
          <w:highlight w:val="none"/>
          <w:lang w:eastAsia="zh-CN"/>
        </w:rPr>
        <w:t>附表</w:t>
      </w:r>
      <w:r>
        <w:rPr>
          <w:rFonts w:hint="eastAsia"/>
          <w:color w:val="auto"/>
          <w:highlight w:val="none"/>
          <w:lang w:val="en-US" w:eastAsia="zh-CN"/>
        </w:rPr>
        <w:t>1</w:t>
      </w:r>
      <w:r>
        <w:rPr>
          <w:rFonts w:hint="eastAsia"/>
          <w:color w:val="auto"/>
          <w:highlight w:val="none"/>
        </w:rPr>
        <w:t>，招标文件售后不退（不提供</w:t>
      </w:r>
      <w:r>
        <w:rPr>
          <w:rFonts w:hint="eastAsia"/>
          <w:color w:val="auto"/>
          <w:highlight w:val="none"/>
          <w:lang w:val="en-US" w:eastAsia="zh-CN"/>
        </w:rPr>
        <w:t>招标服务费</w:t>
      </w:r>
      <w:r>
        <w:rPr>
          <w:rFonts w:hint="eastAsia"/>
          <w:color w:val="auto"/>
          <w:highlight w:val="none"/>
        </w:rPr>
        <w:t>发票，可领取收据）。</w:t>
      </w:r>
    </w:p>
    <w:p>
      <w:pPr>
        <w:pageBreakBefore w:val="0"/>
        <w:kinsoku/>
        <w:wordWrap/>
        <w:overflowPunct/>
        <w:topLinePunct w:val="0"/>
        <w:autoSpaceDE/>
        <w:autoSpaceDN/>
        <w:bidi w:val="0"/>
        <w:spacing w:line="440" w:lineRule="exact"/>
        <w:ind w:firstLine="424" w:firstLineChars="202"/>
        <w:jc w:val="left"/>
        <w:textAlignment w:val="auto"/>
        <w:rPr>
          <w:color w:val="auto"/>
          <w:highlight w:val="none"/>
        </w:rPr>
      </w:pPr>
      <w:r>
        <w:rPr>
          <w:color w:val="auto"/>
          <w:highlight w:val="none"/>
        </w:rPr>
        <w:t>4</w:t>
      </w:r>
      <w:r>
        <w:rPr>
          <w:rFonts w:hint="eastAsia"/>
          <w:color w:val="auto"/>
          <w:highlight w:val="none"/>
        </w:rPr>
        <w:t>.2凡有意参加投标的潜在投标人在中国中铁电子商务采购平台(www.crecgec.com)注册成为平台用户（须签订合同和缴纳年费），因平台审核需一定时间，建议提前操作（平台客服热线4006-010100）。</w:t>
      </w:r>
    </w:p>
    <w:p>
      <w:pPr>
        <w:pageBreakBefore w:val="0"/>
        <w:kinsoku/>
        <w:wordWrap/>
        <w:overflowPunct/>
        <w:topLinePunct w:val="0"/>
        <w:autoSpaceDE/>
        <w:autoSpaceDN/>
        <w:bidi w:val="0"/>
        <w:spacing w:line="440" w:lineRule="exact"/>
        <w:ind w:firstLine="424" w:firstLineChars="202"/>
        <w:jc w:val="left"/>
        <w:textAlignment w:val="auto"/>
        <w:rPr>
          <w:rFonts w:ascii="宋体" w:hAnsi="宋体"/>
          <w:color w:val="auto"/>
          <w:highlight w:val="none"/>
        </w:rPr>
      </w:pPr>
      <w:r>
        <w:rPr>
          <w:color w:val="auto"/>
          <w:highlight w:val="none"/>
        </w:rPr>
        <w:t>4</w:t>
      </w:r>
      <w:r>
        <w:rPr>
          <w:rFonts w:hint="eastAsia"/>
          <w:color w:val="auto"/>
          <w:highlight w:val="none"/>
        </w:rPr>
        <w:t>.3招标文件的售卖：请于</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21</w:t>
      </w:r>
      <w:r>
        <w:rPr>
          <w:rFonts w:hint="eastAsia"/>
          <w:color w:val="auto"/>
          <w:highlight w:val="none"/>
        </w:rPr>
        <w:t>日至</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27</w:t>
      </w:r>
      <w:r>
        <w:rPr>
          <w:rFonts w:hint="eastAsia"/>
          <w:color w:val="auto"/>
          <w:highlight w:val="none"/>
        </w:rPr>
        <w:t>日每日上午8时30分-16时00分（北京</w:t>
      </w:r>
      <w:r>
        <w:rPr>
          <w:rFonts w:hint="eastAsia" w:ascii="宋体" w:hAnsi="宋体"/>
          <w:color w:val="auto"/>
          <w:highlight w:val="none"/>
        </w:rPr>
        <w:t>时间，下同）完成以下相关工作：</w:t>
      </w:r>
    </w:p>
    <w:p>
      <w:pPr>
        <w:pageBreakBefore w:val="0"/>
        <w:kinsoku/>
        <w:wordWrap/>
        <w:overflowPunct/>
        <w:topLinePunct w:val="0"/>
        <w:autoSpaceDE/>
        <w:autoSpaceDN/>
        <w:bidi w:val="0"/>
        <w:spacing w:line="440" w:lineRule="exact"/>
        <w:ind w:firstLine="424" w:firstLineChars="202"/>
        <w:jc w:val="left"/>
        <w:textAlignment w:val="auto"/>
        <w:rPr>
          <w:color w:val="auto"/>
          <w:highlight w:val="none"/>
        </w:rPr>
      </w:pPr>
      <w:r>
        <w:rPr>
          <w:color w:val="auto"/>
          <w:highlight w:val="none"/>
        </w:rPr>
        <w:t>4</w:t>
      </w:r>
      <w:r>
        <w:rPr>
          <w:rFonts w:hint="eastAsia"/>
          <w:color w:val="auto"/>
          <w:highlight w:val="none"/>
        </w:rPr>
        <w:t>.3.1已注册成功的潜在投标人“响应”操作：从中国中铁采购电子商务平台登录进入“供方交易系统登录”-&gt;点击“采购信息”-&gt;在“采购名称”中找到本次招标项目名称点击进入-&gt;点击相应“包件编号”-&gt;填写“联系人、联系方式、输入</w:t>
      </w:r>
      <w:r>
        <w:rPr>
          <w:rFonts w:hint="eastAsia"/>
          <w:color w:val="auto"/>
          <w:highlight w:val="none"/>
          <w:lang w:eastAsia="zh-CN"/>
        </w:rPr>
        <w:t>密码</w:t>
      </w:r>
      <w:r>
        <w:rPr>
          <w:rFonts w:hint="eastAsia"/>
          <w:color w:val="auto"/>
          <w:highlight w:val="none"/>
        </w:rPr>
        <w:t>、确认密码”-&gt;点击“提交”-&gt;点击“响应”。</w:t>
      </w:r>
    </w:p>
    <w:p>
      <w:pPr>
        <w:pageBreakBefore w:val="0"/>
        <w:kinsoku/>
        <w:wordWrap/>
        <w:overflowPunct/>
        <w:topLinePunct w:val="0"/>
        <w:autoSpaceDE/>
        <w:autoSpaceDN/>
        <w:bidi w:val="0"/>
        <w:spacing w:line="440" w:lineRule="exact"/>
        <w:ind w:firstLine="424" w:firstLineChars="202"/>
        <w:jc w:val="left"/>
        <w:textAlignment w:val="auto"/>
        <w:rPr>
          <w:rFonts w:hint="eastAsia"/>
          <w:color w:val="auto"/>
          <w:highlight w:val="none"/>
        </w:rPr>
      </w:pPr>
      <w:r>
        <w:rPr>
          <w:rFonts w:hint="eastAsia"/>
          <w:color w:val="auto"/>
          <w:highlight w:val="none"/>
        </w:rPr>
        <w:t>注：</w:t>
      </w:r>
      <w:r>
        <w:rPr>
          <w:rFonts w:hint="eastAsia" w:ascii="宋体" w:hAnsi="宋体" w:eastAsia="宋体" w:cs="宋体"/>
          <w:color w:val="auto"/>
          <w:highlight w:val="none"/>
          <w:lang w:val="en-US" w:eastAsia="zh-CN"/>
        </w:rPr>
        <w:t>（1）</w:t>
      </w:r>
      <w:r>
        <w:rPr>
          <w:rFonts w:hint="eastAsia"/>
          <w:color w:val="auto"/>
          <w:highlight w:val="none"/>
        </w:rPr>
        <w:t>此处设置的密码非常重要，请保管好；开标前后投标人必须使用该密码进行有关操作。</w:t>
      </w:r>
    </w:p>
    <w:p>
      <w:pPr>
        <w:pageBreakBefore w:val="0"/>
        <w:kinsoku/>
        <w:wordWrap/>
        <w:overflowPunct/>
        <w:topLinePunct w:val="0"/>
        <w:autoSpaceDE/>
        <w:autoSpaceDN/>
        <w:bidi w:val="0"/>
        <w:spacing w:line="440" w:lineRule="exact"/>
        <w:ind w:firstLine="424" w:firstLineChars="202"/>
        <w:jc w:val="left"/>
        <w:textAlignment w:val="auto"/>
        <w:rPr>
          <w:rFonts w:hint="eastAsia" w:ascii="宋体" w:hAnsi="宋体" w:eastAsia="宋体"/>
          <w:color w:val="auto"/>
          <w:highlight w:val="none"/>
          <w:lang w:val="en-US" w:eastAsia="zh-CN"/>
        </w:rPr>
      </w:pPr>
      <w:r>
        <w:rPr>
          <w:rFonts w:hint="eastAsia" w:ascii="宋体" w:hAnsi="宋体" w:eastAsia="宋体" w:cs="宋体"/>
          <w:color w:val="auto"/>
          <w:highlight w:val="none"/>
          <w:lang w:val="en-US" w:eastAsia="zh-CN"/>
        </w:rPr>
        <w:t>（2）</w:t>
      </w:r>
      <w:r>
        <w:rPr>
          <w:rFonts w:hint="eastAsia"/>
          <w:color w:val="auto"/>
          <w:highlight w:val="none"/>
          <w:lang w:val="en-US" w:eastAsia="zh-CN"/>
        </w:rPr>
        <w:t>如投标人在报名截止时间前未完成注册认证的，请先完成4.3.2和4.3.3步骤，并联系招标组织单</w:t>
      </w:r>
      <w:r>
        <w:rPr>
          <w:rFonts w:hint="eastAsia" w:ascii="宋体" w:hAnsi="宋体"/>
          <w:color w:val="auto"/>
          <w:highlight w:val="none"/>
          <w:lang w:val="en-US" w:eastAsia="zh-CN"/>
        </w:rPr>
        <w:t>位。待注册认证完毕后，再进行“响应”操作；请确保开标前注册认证完成，否则无法参加投标环节，因此造成的后果自负。</w:t>
      </w:r>
    </w:p>
    <w:p>
      <w:pPr>
        <w:pageBreakBefore w:val="0"/>
        <w:kinsoku/>
        <w:wordWrap/>
        <w:overflowPunct/>
        <w:topLinePunct w:val="0"/>
        <w:autoSpaceDE/>
        <w:autoSpaceDN/>
        <w:bidi w:val="0"/>
        <w:spacing w:line="440" w:lineRule="exact"/>
        <w:ind w:firstLine="424" w:firstLineChars="202"/>
        <w:jc w:val="left"/>
        <w:textAlignment w:val="auto"/>
        <w:rPr>
          <w:rFonts w:ascii="宋体" w:hAnsi="宋体"/>
          <w:color w:val="auto"/>
          <w:highlight w:val="none"/>
        </w:rPr>
      </w:pPr>
      <w:r>
        <w:rPr>
          <w:rFonts w:hint="eastAsia"/>
          <w:color w:val="auto"/>
          <w:highlight w:val="none"/>
        </w:rPr>
        <w:t>4.3.2汇入标书款：将所购买包件的</w:t>
      </w:r>
      <w:r>
        <w:rPr>
          <w:rFonts w:hint="eastAsia"/>
          <w:color w:val="auto"/>
          <w:highlight w:val="none"/>
          <w:lang w:val="en-US" w:eastAsia="zh-CN"/>
        </w:rPr>
        <w:t>费用</w:t>
      </w:r>
      <w:r>
        <w:rPr>
          <w:rFonts w:hint="eastAsia"/>
          <w:color w:val="auto"/>
          <w:highlight w:val="none"/>
        </w:rPr>
        <w:t>从投标单位</w:t>
      </w:r>
      <w:r>
        <w:rPr>
          <w:rFonts w:hint="eastAsia"/>
          <w:color w:val="auto"/>
          <w:highlight w:val="none"/>
          <w:lang w:val="en-US" w:eastAsia="zh-CN"/>
        </w:rPr>
        <w:t>对公</w:t>
      </w:r>
      <w:r>
        <w:rPr>
          <w:rFonts w:hint="eastAsia"/>
          <w:color w:val="auto"/>
          <w:highlight w:val="none"/>
        </w:rPr>
        <w:t>银行账户汇出到招标组织单位账户</w:t>
      </w:r>
      <w:r>
        <w:rPr>
          <w:rFonts w:hint="eastAsia"/>
          <w:color w:val="auto"/>
          <w:highlight w:val="none"/>
          <w:lang w:eastAsia="zh-CN"/>
        </w:rPr>
        <w:t>（</w:t>
      </w:r>
      <w:r>
        <w:rPr>
          <w:rFonts w:hint="eastAsia"/>
          <w:color w:val="auto"/>
          <w:highlight w:val="none"/>
          <w:lang w:val="en-US" w:eastAsia="zh-CN"/>
        </w:rPr>
        <w:t>不接受个</w:t>
      </w:r>
      <w:r>
        <w:rPr>
          <w:rFonts w:hint="eastAsia" w:ascii="宋体" w:hAnsi="宋体"/>
          <w:color w:val="auto"/>
          <w:highlight w:val="none"/>
          <w:lang w:val="en-US" w:eastAsia="zh-CN"/>
        </w:rPr>
        <w:t>人汇款</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汇款用途为“招标服务费”，</w:t>
      </w:r>
      <w:r>
        <w:rPr>
          <w:rFonts w:hint="eastAsia" w:ascii="宋体" w:hAnsi="宋体"/>
          <w:color w:val="auto"/>
          <w:highlight w:val="none"/>
        </w:rPr>
        <w:t>并在汇款单上注明招标编号、所投包件号，汇款单位名称与投标人名称须完全一致。</w:t>
      </w:r>
    </w:p>
    <w:p>
      <w:pPr>
        <w:pageBreakBefore w:val="0"/>
        <w:kinsoku/>
        <w:wordWrap/>
        <w:overflowPunct/>
        <w:topLinePunct w:val="0"/>
        <w:autoSpaceDE/>
        <w:autoSpaceDN/>
        <w:bidi w:val="0"/>
        <w:spacing w:line="440" w:lineRule="exact"/>
        <w:ind w:firstLine="426" w:firstLineChars="202"/>
        <w:jc w:val="left"/>
        <w:textAlignment w:val="auto"/>
        <w:rPr>
          <w:rFonts w:ascii="宋体" w:hAnsi="宋体"/>
          <w:b/>
          <w:bCs/>
          <w:color w:val="auto"/>
          <w:highlight w:val="none"/>
        </w:rPr>
      </w:pPr>
      <w:r>
        <w:rPr>
          <w:rFonts w:hint="eastAsia"/>
          <w:b/>
          <w:bCs/>
          <w:color w:val="auto"/>
          <w:highlight w:val="none"/>
        </w:rPr>
        <w:t>4.3.3报名资料的发送：请在规定时间内，将</w:t>
      </w:r>
      <w:r>
        <w:rPr>
          <w:rFonts w:hint="eastAsia"/>
          <w:b/>
          <w:bCs/>
          <w:color w:val="auto"/>
          <w:highlight w:val="none"/>
          <w:lang w:eastAsia="zh-CN"/>
        </w:rPr>
        <w:t>标书款</w:t>
      </w:r>
      <w:r>
        <w:rPr>
          <w:rFonts w:hint="eastAsia"/>
          <w:b/>
          <w:bCs/>
          <w:color w:val="auto"/>
          <w:highlight w:val="none"/>
        </w:rPr>
        <w:t>转账凭证、投标申请表（</w:t>
      </w:r>
      <w:r>
        <w:rPr>
          <w:rFonts w:hint="eastAsia"/>
          <w:b/>
          <w:bCs/>
          <w:color w:val="auto"/>
          <w:highlight w:val="none"/>
          <w:lang w:eastAsia="zh-CN"/>
        </w:rPr>
        <w:t>附表</w:t>
      </w:r>
      <w:r>
        <w:rPr>
          <w:rFonts w:hint="eastAsia"/>
          <w:b/>
          <w:bCs/>
          <w:color w:val="auto"/>
          <w:highlight w:val="none"/>
          <w:lang w:val="en-US" w:eastAsia="zh-CN"/>
        </w:rPr>
        <w:t>4</w:t>
      </w:r>
      <w:r>
        <w:rPr>
          <w:rFonts w:hint="eastAsia"/>
          <w:b/>
          <w:bCs/>
          <w:color w:val="auto"/>
          <w:highlight w:val="none"/>
        </w:rPr>
        <w:t>）、营业执照副本、</w:t>
      </w:r>
      <w:r>
        <w:rPr>
          <w:rFonts w:hint="eastAsia" w:ascii="宋体" w:hAnsi="宋体"/>
          <w:b/>
          <w:bCs/>
          <w:color w:val="auto"/>
          <w:highlight w:val="none"/>
          <w:u w:val="none"/>
          <w:lang w:eastAsia="zh-CN"/>
        </w:rPr>
        <w:t>法人和经办人身份证</w:t>
      </w:r>
      <w:r>
        <w:rPr>
          <w:rFonts w:hint="eastAsia" w:ascii="宋体" w:hAnsi="宋体"/>
          <w:b/>
          <w:bCs/>
          <w:color w:val="auto"/>
          <w:highlight w:val="none"/>
          <w:u w:val="none"/>
        </w:rPr>
        <w:t>扫描件 以电子文档形式发送至</w:t>
      </w:r>
      <w:r>
        <w:rPr>
          <w:rFonts w:hint="default" w:ascii="Times New Roman" w:hAnsi="Times New Roman" w:cs="Times New Roman"/>
          <w:b/>
          <w:bCs/>
          <w:color w:val="auto"/>
          <w:highlight w:val="none"/>
          <w:u w:val="none"/>
        </w:rPr>
        <w:t>crecsh</w:t>
      </w:r>
      <w:r>
        <w:rPr>
          <w:rFonts w:hint="default" w:ascii="Times New Roman" w:hAnsi="Times New Roman" w:cs="Times New Roman"/>
          <w:b/>
          <w:bCs/>
          <w:color w:val="auto"/>
          <w:highlight w:val="none"/>
        </w:rPr>
        <w:t>wzzbcg@126.com</w:t>
      </w:r>
      <w:r>
        <w:rPr>
          <w:rFonts w:hint="eastAsia" w:ascii="宋体" w:hAnsi="宋体"/>
          <w:b/>
          <w:bCs/>
          <w:color w:val="auto"/>
          <w:highlight w:val="none"/>
        </w:rPr>
        <w:t>。</w:t>
      </w:r>
    </w:p>
    <w:p>
      <w:pPr>
        <w:pageBreakBefore w:val="0"/>
        <w:kinsoku/>
        <w:wordWrap/>
        <w:overflowPunct/>
        <w:topLinePunct w:val="0"/>
        <w:autoSpaceDE/>
        <w:autoSpaceDN/>
        <w:bidi w:val="0"/>
        <w:spacing w:line="440" w:lineRule="exact"/>
        <w:ind w:firstLine="424" w:firstLineChars="202"/>
        <w:jc w:val="left"/>
        <w:textAlignment w:val="auto"/>
        <w:rPr>
          <w:rFonts w:ascii="宋体" w:hAnsi="宋体"/>
          <w:color w:val="auto"/>
          <w:highlight w:val="none"/>
        </w:rPr>
      </w:pPr>
      <w:r>
        <w:rPr>
          <w:rFonts w:hint="eastAsia"/>
          <w:color w:val="auto"/>
          <w:highlight w:val="none"/>
        </w:rPr>
        <w:t>4.3.4经招标组织单位网上确认后，潜在投标人可从中国中铁采购电子商务平台（www.crecgec.com）</w:t>
      </w:r>
      <w:r>
        <w:rPr>
          <w:rFonts w:hint="eastAsia" w:ascii="宋体" w:hAnsi="宋体"/>
          <w:color w:val="auto"/>
          <w:highlight w:val="none"/>
        </w:rPr>
        <w:t>获取电子版招标文件。</w:t>
      </w:r>
    </w:p>
    <w:p>
      <w:pPr>
        <w:pageBreakBefore w:val="0"/>
        <w:kinsoku/>
        <w:wordWrap/>
        <w:overflowPunct/>
        <w:topLinePunct w:val="0"/>
        <w:autoSpaceDE/>
        <w:autoSpaceDN/>
        <w:bidi w:val="0"/>
        <w:spacing w:line="440" w:lineRule="exact"/>
        <w:ind w:firstLine="424" w:firstLineChars="202"/>
        <w:jc w:val="left"/>
        <w:textAlignment w:val="auto"/>
        <w:rPr>
          <w:rFonts w:ascii="宋体" w:hAnsi="宋体"/>
          <w:color w:val="auto"/>
          <w:highlight w:val="none"/>
        </w:rPr>
      </w:pPr>
      <w:r>
        <w:rPr>
          <w:rFonts w:hint="eastAsia" w:ascii="宋体" w:hAnsi="宋体"/>
          <w:color w:val="auto"/>
          <w:highlight w:val="none"/>
        </w:rPr>
        <w:t>招标组织单位账户：中铁上海工程局集团有限公司物资采购招标中心</w:t>
      </w:r>
    </w:p>
    <w:p>
      <w:pPr>
        <w:pageBreakBefore w:val="0"/>
        <w:kinsoku/>
        <w:wordWrap/>
        <w:overflowPunct/>
        <w:topLinePunct w:val="0"/>
        <w:autoSpaceDE/>
        <w:autoSpaceDN/>
        <w:bidi w:val="0"/>
        <w:spacing w:line="440" w:lineRule="exact"/>
        <w:ind w:firstLine="424" w:firstLineChars="202"/>
        <w:jc w:val="left"/>
        <w:textAlignment w:val="auto"/>
        <w:rPr>
          <w:rFonts w:ascii="宋体" w:hAnsi="宋体"/>
          <w:color w:val="auto"/>
          <w:highlight w:val="none"/>
        </w:rPr>
      </w:pPr>
      <w:r>
        <w:rPr>
          <w:rFonts w:hint="eastAsia" w:ascii="宋体" w:hAnsi="宋体"/>
          <w:color w:val="auto"/>
          <w:highlight w:val="none"/>
        </w:rPr>
        <w:t>开户银行：中国建设银行股份有限公司上海第六支行</w:t>
      </w:r>
    </w:p>
    <w:p>
      <w:pPr>
        <w:pageBreakBefore w:val="0"/>
        <w:kinsoku/>
        <w:wordWrap/>
        <w:overflowPunct/>
        <w:topLinePunct w:val="0"/>
        <w:autoSpaceDE/>
        <w:autoSpaceDN/>
        <w:bidi w:val="0"/>
        <w:spacing w:line="440" w:lineRule="exact"/>
        <w:ind w:firstLine="424" w:firstLineChars="202"/>
        <w:jc w:val="left"/>
        <w:textAlignment w:val="auto"/>
        <w:rPr>
          <w:rFonts w:ascii="宋体" w:hAnsi="宋体"/>
          <w:color w:val="auto"/>
          <w:highlight w:val="none"/>
        </w:rPr>
      </w:pPr>
      <w:r>
        <w:rPr>
          <w:rFonts w:hint="eastAsia" w:ascii="宋体" w:hAnsi="宋体"/>
          <w:color w:val="auto"/>
          <w:highlight w:val="none"/>
        </w:rPr>
        <w:t>账号：</w:t>
      </w:r>
      <w:r>
        <w:rPr>
          <w:rFonts w:hint="default" w:ascii="Times New Roman" w:hAnsi="Times New Roman" w:cs="Times New Roman"/>
          <w:color w:val="auto"/>
          <w:highlight w:val="none"/>
        </w:rPr>
        <w:t>3100 1519 3000 5004 8917</w:t>
      </w:r>
    </w:p>
    <w:p>
      <w:pPr>
        <w:pageBreakBefore w:val="0"/>
        <w:kinsoku/>
        <w:wordWrap/>
        <w:overflowPunct/>
        <w:topLinePunct w:val="0"/>
        <w:autoSpaceDE/>
        <w:autoSpaceDN/>
        <w:bidi w:val="0"/>
        <w:spacing w:line="440" w:lineRule="exact"/>
        <w:ind w:firstLine="424" w:firstLineChars="202"/>
        <w:jc w:val="left"/>
        <w:textAlignment w:val="auto"/>
        <w:rPr>
          <w:rFonts w:hint="default" w:ascii="Times New Roman" w:hAnsi="Times New Roman" w:cs="Times New Roman"/>
          <w:color w:val="auto"/>
          <w:highlight w:val="none"/>
        </w:rPr>
      </w:pPr>
      <w:r>
        <w:rPr>
          <w:rFonts w:hint="eastAsia" w:ascii="宋体" w:hAnsi="宋体"/>
          <w:color w:val="auto"/>
          <w:highlight w:val="none"/>
        </w:rPr>
        <w:t>行号：</w:t>
      </w:r>
      <w:r>
        <w:rPr>
          <w:rFonts w:hint="default" w:ascii="Times New Roman" w:hAnsi="Times New Roman" w:cs="Times New Roman"/>
          <w:color w:val="auto"/>
          <w:highlight w:val="none"/>
        </w:rPr>
        <w:t>1052 9006 7007</w:t>
      </w:r>
    </w:p>
    <w:p>
      <w:pPr>
        <w:pStyle w:val="3"/>
        <w:pageBreakBefore w:val="0"/>
        <w:kinsoku/>
        <w:wordWrap/>
        <w:overflowPunct/>
        <w:topLinePunct w:val="0"/>
        <w:autoSpaceDE/>
        <w:autoSpaceDN/>
        <w:bidi w:val="0"/>
        <w:spacing w:line="440" w:lineRule="exact"/>
        <w:textAlignment w:val="auto"/>
        <w:rPr>
          <w:color w:val="auto"/>
          <w:highlight w:val="none"/>
        </w:rPr>
      </w:pPr>
      <w:bookmarkStart w:id="4" w:name="_Toc18002"/>
      <w:r>
        <w:rPr>
          <w:rFonts w:hint="eastAsia"/>
          <w:color w:val="auto"/>
          <w:highlight w:val="none"/>
        </w:rPr>
        <w:t>5．投标文件的递交</w:t>
      </w:r>
      <w:bookmarkEnd w:id="4"/>
    </w:p>
    <w:p>
      <w:pPr>
        <w:pageBreakBefore w:val="0"/>
        <w:kinsoku/>
        <w:wordWrap/>
        <w:overflowPunct/>
        <w:topLinePunct w:val="0"/>
        <w:autoSpaceDE/>
        <w:autoSpaceDN/>
        <w:bidi w:val="0"/>
        <w:spacing w:line="440" w:lineRule="exact"/>
        <w:ind w:firstLine="424" w:firstLineChars="202"/>
        <w:jc w:val="left"/>
        <w:textAlignment w:val="auto"/>
        <w:rPr>
          <w:rFonts w:hint="eastAsia" w:ascii="宋体" w:hAnsi="宋体"/>
          <w:b w:val="0"/>
          <w:bCs w:val="0"/>
          <w:color w:val="auto"/>
          <w:szCs w:val="21"/>
          <w:highlight w:val="none"/>
        </w:rPr>
      </w:pPr>
      <w:r>
        <w:rPr>
          <w:rFonts w:hint="eastAsia"/>
          <w:color w:val="auto"/>
          <w:highlight w:val="none"/>
        </w:rPr>
        <w:t>5.1 投标文件递交截止时间：</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15</w:t>
      </w:r>
      <w:r>
        <w:rPr>
          <w:rFonts w:hint="eastAsia"/>
          <w:color w:val="auto"/>
          <w:highlight w:val="none"/>
        </w:rPr>
        <w:t>日上午10：00；开标时间：</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15</w:t>
      </w:r>
      <w:r>
        <w:rPr>
          <w:rFonts w:hint="eastAsia"/>
          <w:color w:val="auto"/>
          <w:highlight w:val="none"/>
        </w:rPr>
        <w:t>日上午10：00</w:t>
      </w:r>
      <w:r>
        <w:rPr>
          <w:rFonts w:hint="eastAsia" w:ascii="宋体" w:hAnsi="宋体"/>
          <w:b w:val="0"/>
          <w:bCs w:val="0"/>
          <w:color w:val="auto"/>
          <w:szCs w:val="21"/>
          <w:highlight w:val="none"/>
        </w:rPr>
        <w:t>。</w:t>
      </w:r>
    </w:p>
    <w:p>
      <w:pPr>
        <w:pageBreakBefore w:val="0"/>
        <w:kinsoku/>
        <w:wordWrap/>
        <w:overflowPunct/>
        <w:topLinePunct w:val="0"/>
        <w:autoSpaceDE/>
        <w:autoSpaceDN/>
        <w:bidi w:val="0"/>
        <w:spacing w:line="440" w:lineRule="exact"/>
        <w:ind w:firstLine="420" w:firstLineChars="200"/>
        <w:jc w:val="left"/>
        <w:textAlignment w:val="auto"/>
        <w:rPr>
          <w:rFonts w:ascii="宋体" w:hAnsi="宋体" w:cs="等线 Light"/>
          <w:b/>
          <w:bCs/>
          <w:color w:val="auto"/>
          <w:sz w:val="21"/>
          <w:szCs w:val="21"/>
          <w:highlight w:val="none"/>
        </w:rPr>
      </w:pPr>
      <w:r>
        <w:rPr>
          <w:rFonts w:hint="eastAsia"/>
          <w:color w:val="auto"/>
          <w:highlight w:val="none"/>
        </w:rPr>
        <w:t>★5.2投标文件递交和开标地点：本次招标在中国中铁采购电子商务平台进行线上开评标，投标人开</w:t>
      </w:r>
      <w:r>
        <w:rPr>
          <w:rFonts w:hint="eastAsia" w:ascii="宋体" w:hAnsi="宋体" w:cs="等线 Light"/>
          <w:b/>
          <w:bCs/>
          <w:color w:val="auto"/>
          <w:sz w:val="21"/>
          <w:szCs w:val="21"/>
          <w:highlight w:val="none"/>
        </w:rPr>
        <w:t>标前须在中国中铁采购电子商务平台进行“编辑报价”和“上传投标文件扫描件”，无需提交纸质版投标文件。</w:t>
      </w:r>
    </w:p>
    <w:p>
      <w:pPr>
        <w:pageBreakBefore w:val="0"/>
        <w:kinsoku/>
        <w:wordWrap/>
        <w:overflowPunct/>
        <w:topLinePunct w:val="0"/>
        <w:autoSpaceDE/>
        <w:autoSpaceDN/>
        <w:bidi w:val="0"/>
        <w:spacing w:line="440" w:lineRule="exact"/>
        <w:ind w:firstLine="420" w:firstLineChars="200"/>
        <w:jc w:val="left"/>
        <w:textAlignment w:val="auto"/>
        <w:rPr>
          <w:rFonts w:ascii="宋体" w:hAnsi="宋体" w:cs="等线 Light"/>
          <w:color w:val="auto"/>
          <w:sz w:val="21"/>
          <w:szCs w:val="21"/>
          <w:highlight w:val="none"/>
        </w:rPr>
      </w:pPr>
      <w:r>
        <w:rPr>
          <w:rFonts w:hint="eastAsia" w:ascii="宋体" w:hAnsi="宋体" w:cs="等线 Light"/>
          <w:color w:val="auto"/>
          <w:sz w:val="21"/>
          <w:szCs w:val="21"/>
          <w:highlight w:val="none"/>
        </w:rPr>
        <w:t>注：（1）</w:t>
      </w:r>
      <w:r>
        <w:rPr>
          <w:rFonts w:hint="eastAsia" w:ascii="宋体" w:hAnsi="宋体" w:cs="等线 Light"/>
          <w:b/>
          <w:bCs/>
          <w:color w:val="auto"/>
          <w:sz w:val="21"/>
          <w:szCs w:val="21"/>
          <w:highlight w:val="none"/>
        </w:rPr>
        <w:t>提前上传</w:t>
      </w:r>
      <w:r>
        <w:rPr>
          <w:rFonts w:hint="eastAsia" w:ascii="宋体" w:hAnsi="宋体" w:cs="等线 Light"/>
          <w:color w:val="auto"/>
          <w:sz w:val="21"/>
          <w:szCs w:val="21"/>
          <w:highlight w:val="none"/>
        </w:rPr>
        <w:t>：鉴于本次规模较大，参与的投标人可能较多。为避免开标前上传过于集中，且上传文件和病毒检测需要一段时间，请各投标人提前上传（建议在开标前最少一天完成）；</w:t>
      </w:r>
    </w:p>
    <w:p>
      <w:pPr>
        <w:pageBreakBefore w:val="0"/>
        <w:numPr>
          <w:ilvl w:val="0"/>
          <w:numId w:val="2"/>
        </w:numPr>
        <w:kinsoku/>
        <w:wordWrap/>
        <w:overflowPunct/>
        <w:topLinePunct w:val="0"/>
        <w:autoSpaceDE/>
        <w:autoSpaceDN/>
        <w:bidi w:val="0"/>
        <w:spacing w:line="440" w:lineRule="exact"/>
        <w:ind w:firstLine="422" w:firstLineChars="200"/>
        <w:jc w:val="left"/>
        <w:textAlignment w:val="auto"/>
        <w:rPr>
          <w:rFonts w:ascii="宋体" w:hAnsi="宋体" w:cs="等线 Light"/>
          <w:color w:val="auto"/>
          <w:sz w:val="21"/>
          <w:szCs w:val="21"/>
          <w:highlight w:val="none"/>
        </w:rPr>
      </w:pPr>
      <w:r>
        <w:rPr>
          <w:rFonts w:hint="eastAsia" w:ascii="宋体" w:hAnsi="宋体" w:cs="等线 Light"/>
          <w:b/>
          <w:bCs/>
          <w:color w:val="auto"/>
          <w:sz w:val="21"/>
          <w:szCs w:val="21"/>
          <w:highlight w:val="none"/>
        </w:rPr>
        <w:t>病毒检测</w:t>
      </w:r>
      <w:r>
        <w:rPr>
          <w:rFonts w:hint="eastAsia" w:ascii="宋体" w:hAnsi="宋体" w:cs="等线 Light"/>
          <w:color w:val="auto"/>
          <w:sz w:val="21"/>
          <w:szCs w:val="21"/>
          <w:highlight w:val="none"/>
        </w:rPr>
        <w:t>：上传投标文件出现“病毒检测中”提示后，再间隔</w:t>
      </w:r>
      <w:r>
        <w:rPr>
          <w:rFonts w:hint="default" w:ascii="Times New Roman" w:hAnsi="Times New Roman" w:cs="Times New Roman"/>
          <w:color w:val="auto"/>
          <w:sz w:val="21"/>
          <w:szCs w:val="21"/>
          <w:highlight w:val="none"/>
        </w:rPr>
        <w:t>3-5</w:t>
      </w:r>
      <w:r>
        <w:rPr>
          <w:rFonts w:hint="eastAsia" w:ascii="宋体" w:hAnsi="宋体" w:cs="等线 Light"/>
          <w:color w:val="auto"/>
          <w:sz w:val="21"/>
          <w:szCs w:val="21"/>
          <w:highlight w:val="none"/>
        </w:rPr>
        <w:t>分钟（最多</w:t>
      </w:r>
      <w:r>
        <w:rPr>
          <w:rFonts w:hint="default" w:ascii="Times New Roman" w:hAnsi="Times New Roman" w:cs="Times New Roman"/>
          <w:color w:val="auto"/>
          <w:sz w:val="21"/>
          <w:szCs w:val="21"/>
          <w:highlight w:val="none"/>
        </w:rPr>
        <w:t>10</w:t>
      </w:r>
      <w:r>
        <w:rPr>
          <w:rFonts w:hint="eastAsia" w:ascii="宋体" w:hAnsi="宋体" w:cs="等线 Light"/>
          <w:color w:val="auto"/>
          <w:sz w:val="21"/>
          <w:szCs w:val="21"/>
          <w:highlight w:val="none"/>
        </w:rPr>
        <w:t>分钟）刷新上传界面，检验是否上传成功。</w:t>
      </w:r>
    </w:p>
    <w:p>
      <w:pPr>
        <w:pageBreakBefore w:val="0"/>
        <w:numPr>
          <w:ilvl w:val="0"/>
          <w:numId w:val="2"/>
        </w:numPr>
        <w:kinsoku/>
        <w:wordWrap/>
        <w:overflowPunct/>
        <w:topLinePunct w:val="0"/>
        <w:autoSpaceDE/>
        <w:autoSpaceDN/>
        <w:bidi w:val="0"/>
        <w:spacing w:line="440" w:lineRule="exact"/>
        <w:ind w:firstLine="422" w:firstLineChars="200"/>
        <w:jc w:val="left"/>
        <w:textAlignment w:val="auto"/>
        <w:rPr>
          <w:rFonts w:ascii="宋体" w:hAnsi="宋体" w:cs="等线 Light"/>
          <w:color w:val="auto"/>
          <w:sz w:val="21"/>
          <w:szCs w:val="21"/>
          <w:highlight w:val="none"/>
        </w:rPr>
      </w:pPr>
      <w:r>
        <w:rPr>
          <w:rFonts w:hint="eastAsia" w:ascii="宋体" w:hAnsi="宋体" w:cs="等线 Light"/>
          <w:b/>
          <w:bCs/>
          <w:color w:val="auto"/>
          <w:sz w:val="21"/>
          <w:szCs w:val="21"/>
          <w:highlight w:val="none"/>
        </w:rPr>
        <w:t>核实投标文件情况</w:t>
      </w:r>
      <w:r>
        <w:rPr>
          <w:rFonts w:hint="eastAsia" w:ascii="宋体" w:hAnsi="宋体" w:cs="等线 Light"/>
          <w:color w:val="auto"/>
          <w:sz w:val="21"/>
          <w:szCs w:val="21"/>
          <w:highlight w:val="none"/>
        </w:rPr>
        <w:t>：完成电子版投标文件上传后，点击“下载”保存系统中的投标文件，核实投标文件是否可以正常打开和显示是否正常。若出现乱码或无法打开的，请重新上传或联系平台客服人员</w:t>
      </w:r>
      <w:r>
        <w:rPr>
          <w:rFonts w:hint="eastAsia" w:ascii="宋体" w:hAnsi="宋体"/>
          <w:b/>
          <w:bCs/>
          <w:color w:val="auto"/>
          <w:highlight w:val="none"/>
          <w:lang w:eastAsia="zh-CN"/>
        </w:rPr>
        <w:t>（务必保证投标文件能够正常打开和显示完整，否则会被否决投标资格）</w:t>
      </w:r>
      <w:r>
        <w:rPr>
          <w:rFonts w:hint="eastAsia" w:ascii="宋体" w:hAnsi="宋体" w:cs="等线 Light"/>
          <w:color w:val="auto"/>
          <w:sz w:val="21"/>
          <w:szCs w:val="21"/>
          <w:highlight w:val="none"/>
        </w:rPr>
        <w:t>。</w:t>
      </w:r>
    </w:p>
    <w:p>
      <w:pPr>
        <w:pageBreakBefore w:val="0"/>
        <w:kinsoku/>
        <w:wordWrap/>
        <w:overflowPunct/>
        <w:topLinePunct w:val="0"/>
        <w:autoSpaceDE/>
        <w:autoSpaceDN/>
        <w:bidi w:val="0"/>
        <w:spacing w:line="440" w:lineRule="exact"/>
        <w:ind w:firstLine="424" w:firstLineChars="202"/>
        <w:jc w:val="left"/>
        <w:textAlignment w:val="auto"/>
        <w:rPr>
          <w:rFonts w:hint="eastAsia" w:ascii="宋体" w:hAnsi="宋体"/>
          <w:color w:val="auto"/>
          <w:szCs w:val="21"/>
          <w:highlight w:val="none"/>
        </w:rPr>
      </w:pPr>
      <w:r>
        <w:rPr>
          <w:rFonts w:hint="eastAsia"/>
          <w:color w:val="auto"/>
          <w:highlight w:val="none"/>
        </w:rPr>
        <w:t>5.3逾期未在中国中铁采购电子商务平台进行报价和上传投标文件的投标人，招标人视其为放弃本次投</w:t>
      </w:r>
      <w:r>
        <w:rPr>
          <w:rFonts w:hint="eastAsia" w:ascii="宋体" w:hAnsi="宋体"/>
          <w:color w:val="auto"/>
          <w:szCs w:val="21"/>
          <w:highlight w:val="none"/>
        </w:rPr>
        <w:t>标。</w:t>
      </w:r>
    </w:p>
    <w:p>
      <w:pPr>
        <w:pageBreakBefore w:val="0"/>
        <w:kinsoku/>
        <w:wordWrap/>
        <w:overflowPunct/>
        <w:topLinePunct w:val="0"/>
        <w:autoSpaceDE/>
        <w:autoSpaceDN/>
        <w:bidi w:val="0"/>
        <w:spacing w:line="440" w:lineRule="exact"/>
        <w:ind w:firstLine="424" w:firstLineChars="202"/>
        <w:jc w:val="left"/>
        <w:textAlignment w:val="auto"/>
        <w:rPr>
          <w:rFonts w:hint="eastAsia" w:ascii="宋体" w:hAnsi="宋体" w:cs="宋体"/>
          <w:color w:val="auto"/>
          <w:sz w:val="21"/>
          <w:szCs w:val="21"/>
          <w:highlight w:val="none"/>
        </w:rPr>
      </w:pPr>
      <w:r>
        <w:rPr>
          <w:rFonts w:hint="eastAsia"/>
          <w:color w:val="auto"/>
          <w:highlight w:val="none"/>
        </w:rPr>
        <w:t>5.4届时请投标人法定代表人或其委托代理人密切关注中国中铁采购电子商务平台。上述安排如有变</w:t>
      </w:r>
      <w:r>
        <w:rPr>
          <w:rFonts w:hint="eastAsia" w:ascii="宋体" w:hAnsi="宋体"/>
          <w:color w:val="auto"/>
          <w:szCs w:val="21"/>
          <w:highlight w:val="none"/>
        </w:rPr>
        <w:t>化，招标人将通过发布公告的媒介发布通知。</w:t>
      </w:r>
    </w:p>
    <w:p>
      <w:pPr>
        <w:pStyle w:val="3"/>
        <w:pageBreakBefore w:val="0"/>
        <w:kinsoku/>
        <w:wordWrap/>
        <w:overflowPunct/>
        <w:topLinePunct w:val="0"/>
        <w:autoSpaceDE/>
        <w:autoSpaceDN/>
        <w:bidi w:val="0"/>
        <w:spacing w:line="440" w:lineRule="exact"/>
        <w:textAlignment w:val="auto"/>
        <w:rPr>
          <w:color w:val="auto"/>
          <w:highlight w:val="none"/>
        </w:rPr>
      </w:pPr>
      <w:bookmarkStart w:id="5" w:name="_Toc12314"/>
      <w:r>
        <w:rPr>
          <w:rFonts w:hint="eastAsia"/>
          <w:color w:val="auto"/>
          <w:highlight w:val="none"/>
        </w:rPr>
        <w:t>6．发布公告的媒介</w:t>
      </w:r>
      <w:bookmarkEnd w:id="5"/>
    </w:p>
    <w:p>
      <w:pPr>
        <w:pageBreakBefore w:val="0"/>
        <w:kinsoku/>
        <w:wordWrap/>
        <w:overflowPunct/>
        <w:topLinePunct w:val="0"/>
        <w:autoSpaceDE/>
        <w:autoSpaceDN/>
        <w:bidi w:val="0"/>
        <w:spacing w:line="440" w:lineRule="exact"/>
        <w:ind w:firstLine="424" w:firstLineChars="202"/>
        <w:jc w:val="left"/>
        <w:textAlignment w:val="auto"/>
        <w:rPr>
          <w:color w:val="auto"/>
          <w:highlight w:val="none"/>
        </w:rPr>
      </w:pPr>
      <w:r>
        <w:rPr>
          <w:rFonts w:hint="eastAsia" w:ascii="宋体" w:hAnsi="宋体" w:cs="等线 Light"/>
          <w:color w:val="auto"/>
          <w:kern w:val="0"/>
          <w:sz w:val="21"/>
          <w:szCs w:val="21"/>
          <w:highlight w:val="none"/>
        </w:rPr>
        <w:t>本次招标公告同时在中国采购与招标网(</w:t>
      </w:r>
      <w:r>
        <w:rPr>
          <w:rFonts w:hint="default" w:ascii="Times New Roman" w:hAnsi="Times New Roman" w:cs="Times New Roman"/>
          <w:color w:val="auto"/>
          <w:kern w:val="0"/>
          <w:sz w:val="21"/>
          <w:szCs w:val="21"/>
          <w:highlight w:val="none"/>
        </w:rPr>
        <w:t>www.chinabidding.com.cn</w:t>
      </w:r>
      <w:r>
        <w:rPr>
          <w:rFonts w:hint="eastAsia" w:ascii="宋体" w:hAnsi="宋体" w:cs="等线 Light"/>
          <w:color w:val="auto"/>
          <w:kern w:val="0"/>
          <w:sz w:val="21"/>
          <w:szCs w:val="21"/>
          <w:highlight w:val="none"/>
        </w:rPr>
        <w:t>)、中国中铁采购电子商务平台（</w:t>
      </w:r>
      <w:r>
        <w:rPr>
          <w:rFonts w:hint="default" w:ascii="Times New Roman" w:hAnsi="Times New Roman" w:cs="Times New Roman"/>
          <w:color w:val="auto"/>
          <w:kern w:val="0"/>
          <w:sz w:val="21"/>
          <w:szCs w:val="21"/>
          <w:highlight w:val="none"/>
        </w:rPr>
        <w:t>www.crecgec.com</w:t>
      </w:r>
      <w:r>
        <w:rPr>
          <w:rFonts w:hint="eastAsia" w:ascii="宋体" w:hAnsi="宋体" w:cs="等线 Light"/>
          <w:color w:val="auto"/>
          <w:kern w:val="0"/>
          <w:sz w:val="21"/>
          <w:szCs w:val="21"/>
          <w:highlight w:val="none"/>
        </w:rPr>
        <w:t>）上发布</w:t>
      </w:r>
      <w:r>
        <w:rPr>
          <w:rFonts w:hint="eastAsia"/>
          <w:color w:val="auto"/>
          <w:highlight w:val="none"/>
        </w:rPr>
        <w:t>。</w:t>
      </w:r>
    </w:p>
    <w:p>
      <w:pPr>
        <w:pStyle w:val="3"/>
        <w:pageBreakBefore w:val="0"/>
        <w:kinsoku/>
        <w:wordWrap/>
        <w:overflowPunct/>
        <w:topLinePunct w:val="0"/>
        <w:autoSpaceDE/>
        <w:autoSpaceDN/>
        <w:bidi w:val="0"/>
        <w:spacing w:line="440" w:lineRule="exact"/>
        <w:textAlignment w:val="auto"/>
        <w:rPr>
          <w:color w:val="auto"/>
          <w:highlight w:val="none"/>
        </w:rPr>
      </w:pPr>
      <w:bookmarkStart w:id="6" w:name="_Toc15045"/>
      <w:r>
        <w:rPr>
          <w:rFonts w:hint="eastAsia"/>
          <w:color w:val="auto"/>
          <w:highlight w:val="none"/>
        </w:rPr>
        <w:t>7．联系方式</w:t>
      </w:r>
      <w:bookmarkEnd w:id="6"/>
    </w:p>
    <w:p>
      <w:pPr>
        <w:pageBreakBefore w:val="0"/>
        <w:kinsoku/>
        <w:wordWrap/>
        <w:overflowPunct/>
        <w:topLinePunct w:val="0"/>
        <w:autoSpaceDE/>
        <w:autoSpaceDN/>
        <w:bidi w:val="0"/>
        <w:spacing w:line="440" w:lineRule="exact"/>
        <w:ind w:firstLine="424" w:firstLineChars="202"/>
        <w:jc w:val="left"/>
        <w:textAlignment w:val="auto"/>
        <w:rPr>
          <w:rFonts w:hint="eastAsia"/>
          <w:color w:val="auto"/>
          <w:highlight w:val="none"/>
        </w:rPr>
      </w:pPr>
      <w:r>
        <w:rPr>
          <w:rFonts w:hint="eastAsia"/>
          <w:color w:val="auto"/>
          <w:highlight w:val="none"/>
        </w:rPr>
        <w:t>7.1招标组织单位：中铁上海工程局集团有限公司物资采购招标中心</w:t>
      </w:r>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auto"/>
          <w:szCs w:val="21"/>
          <w:highlight w:val="none"/>
          <w:lang w:val="en-US" w:eastAsia="zh-CN"/>
        </w:rPr>
      </w:pPr>
      <w:r>
        <w:rPr>
          <w:rFonts w:hint="eastAsia" w:ascii="宋体" w:hAnsi="宋体"/>
          <w:color w:val="auto"/>
          <w:szCs w:val="21"/>
          <w:highlight w:val="none"/>
        </w:rPr>
        <w:t>地址：上海市宝山区</w:t>
      </w:r>
      <w:r>
        <w:rPr>
          <w:rFonts w:hint="eastAsia" w:ascii="宋体" w:hAnsi="宋体"/>
          <w:color w:val="auto"/>
          <w:szCs w:val="21"/>
          <w:highlight w:val="none"/>
          <w:lang w:eastAsia="zh-CN"/>
        </w:rPr>
        <w:t>富联路</w:t>
      </w:r>
      <w:r>
        <w:rPr>
          <w:rFonts w:hint="default" w:ascii="Times New Roman" w:hAnsi="Times New Roman" w:cs="Times New Roman"/>
          <w:color w:val="auto"/>
          <w:szCs w:val="21"/>
          <w:highlight w:val="none"/>
          <w:lang w:val="en-US" w:eastAsia="zh-CN"/>
        </w:rPr>
        <w:t>777号B区B113室</w:t>
      </w:r>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cs="Times New Roman"/>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 xml:space="preserve">张泽敏  </w:t>
      </w:r>
      <w:r>
        <w:rPr>
          <w:rFonts w:hint="default" w:ascii="Times New Roman" w:hAnsi="Times New Roman" w:cs="Times New Roman"/>
          <w:color w:val="auto"/>
          <w:szCs w:val="21"/>
          <w:highlight w:val="none"/>
          <w:lang w:val="en-US" w:eastAsia="zh-CN"/>
        </w:rPr>
        <w:t>021-80277004</w:t>
      </w:r>
      <w:r>
        <w:rPr>
          <w:rFonts w:hint="eastAsia" w:ascii="宋体" w:hAnsi="宋体"/>
          <w:color w:val="auto"/>
          <w:szCs w:val="21"/>
          <w:highlight w:val="none"/>
          <w:lang w:val="en-US" w:eastAsia="zh-CN"/>
        </w:rPr>
        <w:t xml:space="preserve">   吕炳润  </w:t>
      </w:r>
      <w:r>
        <w:rPr>
          <w:rFonts w:hint="eastAsia" w:ascii="Times New Roman" w:hAnsi="Times New Roman" w:cs="Times New Roman"/>
          <w:color w:val="auto"/>
          <w:szCs w:val="21"/>
          <w:highlight w:val="none"/>
          <w:lang w:val="en-US" w:eastAsia="zh-CN"/>
        </w:rPr>
        <w:t>021-80277007</w:t>
      </w:r>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cs="Times New Roman"/>
          <w:color w:val="auto"/>
          <w:szCs w:val="21"/>
          <w:highlight w:val="none"/>
        </w:rPr>
      </w:pPr>
      <w:r>
        <w:rPr>
          <w:rFonts w:hint="eastAsia" w:ascii="宋体" w:hAnsi="宋体"/>
          <w:color w:val="auto"/>
          <w:szCs w:val="21"/>
          <w:highlight w:val="none"/>
        </w:rPr>
        <w:t>电子邮箱：</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"mailto:crecshwmgyb@126.com"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szCs w:val="21"/>
          <w:highlight w:val="none"/>
        </w:rPr>
        <w:t>crecshwzzbcg@126.com</w:t>
      </w:r>
      <w:r>
        <w:rPr>
          <w:rFonts w:hint="default" w:ascii="Times New Roman" w:hAnsi="Times New Roman" w:cs="Times New Roman"/>
          <w:color w:val="auto"/>
          <w:szCs w:val="21"/>
          <w:highlight w:val="none"/>
        </w:rPr>
        <w:fldChar w:fldCharType="end"/>
      </w:r>
    </w:p>
    <w:p>
      <w:pPr>
        <w:pageBreakBefore w:val="0"/>
        <w:kinsoku/>
        <w:wordWrap/>
        <w:overflowPunct/>
        <w:topLinePunct w:val="0"/>
        <w:autoSpaceDE/>
        <w:autoSpaceDN/>
        <w:bidi w:val="0"/>
        <w:spacing w:line="440" w:lineRule="exact"/>
        <w:ind w:firstLine="424" w:firstLineChars="202"/>
        <w:jc w:val="left"/>
        <w:textAlignment w:val="auto"/>
        <w:rPr>
          <w:rFonts w:hint="eastAsia" w:eastAsia="宋体"/>
          <w:color w:val="auto"/>
          <w:highlight w:val="none"/>
          <w:lang w:eastAsia="zh-CN"/>
        </w:rPr>
      </w:pPr>
      <w:r>
        <w:rPr>
          <w:rFonts w:hint="eastAsia"/>
          <w:color w:val="auto"/>
          <w:highlight w:val="none"/>
        </w:rPr>
        <w:t>7.2招标人：</w:t>
      </w:r>
      <w:r>
        <w:rPr>
          <w:rFonts w:hint="eastAsia"/>
          <w:color w:val="auto"/>
          <w:highlight w:val="none"/>
          <w:lang w:eastAsia="zh-CN"/>
        </w:rPr>
        <w:t>中铁上海工程局集团有限公司银川市第一再生水厂项目经理部</w:t>
      </w:r>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rPr>
        <w:t>地址：宁夏回族自治区银川市兴庆区大连东路与友爱街交叉口</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 xml:space="preserve"> </w:t>
      </w:r>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val="en-US" w:eastAsia="zh-CN"/>
        </w:rPr>
        <w:t xml:space="preserve">樊象奇  </w:t>
      </w:r>
      <w:r>
        <w:rPr>
          <w:rFonts w:hint="eastAsia" w:ascii="Times New Roman" w:hAnsi="Times New Roman" w:cs="Times New Roman"/>
          <w:color w:val="auto"/>
          <w:szCs w:val="21"/>
          <w:highlight w:val="none"/>
          <w:lang w:val="en-US" w:eastAsia="zh-CN"/>
        </w:rPr>
        <w:t>18260075776</w:t>
      </w:r>
      <w:r>
        <w:rPr>
          <w:rFonts w:hint="eastAsia" w:ascii="Times New Roman" w:hAnsi="Times New Roman" w:cs="Times New Roman"/>
          <w:color w:val="auto"/>
          <w:szCs w:val="21"/>
          <w:highlight w:val="none"/>
        </w:rPr>
        <w:t xml:space="preserve"> </w:t>
      </w:r>
    </w:p>
    <w:p>
      <w:pPr>
        <w:pStyle w:val="3"/>
        <w:pageBreakBefore w:val="0"/>
        <w:kinsoku/>
        <w:wordWrap/>
        <w:overflowPunct/>
        <w:topLinePunct w:val="0"/>
        <w:autoSpaceDE/>
        <w:autoSpaceDN/>
        <w:bidi w:val="0"/>
        <w:spacing w:line="440" w:lineRule="exact"/>
        <w:textAlignment w:val="auto"/>
        <w:rPr>
          <w:rFonts w:hint="eastAsia" w:eastAsia="宋体"/>
          <w:color w:val="auto"/>
          <w:highlight w:val="none"/>
          <w:lang w:eastAsia="zh-CN"/>
        </w:rPr>
      </w:pPr>
      <w:bookmarkStart w:id="7" w:name="_Toc22506"/>
      <w:r>
        <w:rPr>
          <w:rFonts w:hint="eastAsia"/>
          <w:color w:val="auto"/>
          <w:highlight w:val="none"/>
          <w:lang w:val="en-US" w:eastAsia="zh-CN"/>
        </w:rPr>
        <w:t>8</w:t>
      </w:r>
      <w:r>
        <w:rPr>
          <w:rFonts w:hint="eastAsia"/>
          <w:color w:val="auto"/>
          <w:highlight w:val="none"/>
        </w:rPr>
        <w:t>．</w:t>
      </w:r>
      <w:r>
        <w:rPr>
          <w:rFonts w:hint="eastAsia"/>
          <w:color w:val="auto"/>
          <w:highlight w:val="none"/>
          <w:lang w:eastAsia="zh-CN"/>
        </w:rPr>
        <w:t>附表</w:t>
      </w:r>
      <w:bookmarkEnd w:id="7"/>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Times New Roman"/>
          <w:color w:val="auto"/>
          <w:szCs w:val="21"/>
          <w:highlight w:val="none"/>
          <w:lang w:val="en-US" w:eastAsia="zh-CN"/>
        </w:rPr>
      </w:pPr>
      <w:bookmarkStart w:id="8" w:name="_Toc18812"/>
      <w:r>
        <w:rPr>
          <w:rFonts w:hint="eastAsia" w:ascii="宋体" w:hAnsi="宋体" w:eastAsia="宋体" w:cs="Times New Roman"/>
          <w:color w:val="auto"/>
          <w:szCs w:val="21"/>
          <w:highlight w:val="none"/>
          <w:lang w:val="en-US" w:eastAsia="zh-CN"/>
        </w:rPr>
        <w:t>附表1.招标物资包件清单</w:t>
      </w:r>
      <w:bookmarkEnd w:id="8"/>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Times New Roman"/>
          <w:color w:val="auto"/>
          <w:szCs w:val="21"/>
          <w:highlight w:val="none"/>
          <w:lang w:val="en-US" w:eastAsia="zh-CN"/>
        </w:rPr>
      </w:pPr>
      <w:bookmarkStart w:id="9" w:name="_Toc22645"/>
      <w:r>
        <w:rPr>
          <w:rFonts w:hint="eastAsia" w:ascii="宋体" w:hAnsi="宋体" w:eastAsia="宋体" w:cs="Times New Roman"/>
          <w:color w:val="auto"/>
          <w:szCs w:val="21"/>
          <w:highlight w:val="none"/>
          <w:lang w:val="en-US" w:eastAsia="zh-CN"/>
        </w:rPr>
        <w:t>附表2.投标人资格条件</w:t>
      </w:r>
      <w:bookmarkEnd w:id="9"/>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default"/>
          <w:color w:val="auto"/>
          <w:highlight w:val="none"/>
          <w:lang w:val="en-US" w:eastAsia="zh-CN"/>
        </w:rPr>
      </w:pPr>
      <w:r>
        <w:rPr>
          <w:rFonts w:hint="eastAsia" w:ascii="宋体" w:hAnsi="宋体" w:cs="Times New Roman"/>
          <w:color w:val="auto"/>
          <w:szCs w:val="21"/>
          <w:highlight w:val="none"/>
          <w:lang w:val="en-US" w:eastAsia="zh-CN"/>
        </w:rPr>
        <w:t>附表3.中国中铁电线电缆供应商名录</w:t>
      </w:r>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Times New Roman"/>
          <w:color w:val="auto"/>
          <w:szCs w:val="21"/>
          <w:highlight w:val="none"/>
          <w:lang w:val="en-US" w:eastAsia="zh-CN"/>
        </w:rPr>
      </w:pPr>
      <w:bookmarkStart w:id="10" w:name="_Toc1129"/>
      <w:r>
        <w:rPr>
          <w:rFonts w:hint="eastAsia" w:ascii="宋体" w:hAnsi="宋体" w:eastAsia="宋体" w:cs="Times New Roman"/>
          <w:color w:val="auto"/>
          <w:szCs w:val="21"/>
          <w:highlight w:val="none"/>
          <w:lang w:val="en-US" w:eastAsia="zh-CN"/>
        </w:rPr>
        <w:t>附表4.投标申请表</w:t>
      </w:r>
      <w:bookmarkEnd w:id="10"/>
    </w:p>
    <w:p>
      <w:pPr>
        <w:pageBreakBefore w:val="0"/>
        <w:kinsoku/>
        <w:wordWrap/>
        <w:overflowPunct/>
        <w:topLinePunct w:val="0"/>
        <w:autoSpaceDE/>
        <w:autoSpaceDN/>
        <w:bidi w:val="0"/>
        <w:spacing w:before="43" w:line="440" w:lineRule="exact"/>
        <w:ind w:left="537" w:right="0" w:firstLine="0"/>
        <w:jc w:val="left"/>
        <w:textAlignment w:val="auto"/>
        <w:rPr>
          <w:rFonts w:hint="eastAsia" w:ascii="宋体" w:hAnsi="宋体" w:cs="宋体"/>
          <w:color w:val="auto"/>
          <w:sz w:val="21"/>
          <w:szCs w:val="21"/>
          <w:highlight w:val="none"/>
          <w:u w:val="none"/>
          <w:lang w:val="en-US" w:eastAsia="zh-CN"/>
        </w:rPr>
      </w:pPr>
      <w:r>
        <w:rPr>
          <w:rFonts w:hint="eastAsia" w:ascii="宋体" w:hAnsi="宋体" w:cs="宋体"/>
          <w:color w:val="auto"/>
          <w:sz w:val="21"/>
          <w:szCs w:val="21"/>
          <w:highlight w:val="none"/>
          <w:u w:val="none"/>
          <w:lang w:val="en-US" w:eastAsia="zh-CN"/>
        </w:rPr>
        <w:t xml:space="preserve">                            </w:t>
      </w:r>
    </w:p>
    <w:p>
      <w:pPr>
        <w:pageBreakBefore w:val="0"/>
        <w:kinsoku/>
        <w:wordWrap/>
        <w:overflowPunct/>
        <w:topLinePunct w:val="0"/>
        <w:autoSpaceDE/>
        <w:autoSpaceDN/>
        <w:bidi w:val="0"/>
        <w:spacing w:before="43" w:line="440" w:lineRule="exact"/>
        <w:ind w:left="537" w:right="0" w:firstLine="3780" w:firstLineChars="18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u w:val="none"/>
          <w:lang w:val="en-US" w:eastAsia="zh-CN"/>
        </w:rPr>
        <w:t xml:space="preserve">          </w:t>
      </w:r>
      <w:r>
        <w:rPr>
          <w:rFonts w:hint="default" w:ascii="Times New Roman" w:hAnsi="Times New Roman" w:cs="Times New Roman"/>
          <w:color w:val="auto"/>
          <w:highlight w:val="none"/>
          <w:u w:val="single"/>
          <w:lang w:val="en-US" w:eastAsia="zh-CN"/>
        </w:rPr>
        <w:t>2020</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lang w:val="en-US" w:eastAsia="zh-CN"/>
        </w:rPr>
        <w:t>8</w:t>
      </w:r>
      <w:r>
        <w:rPr>
          <w:rFonts w:hint="default" w:ascii="Times New Roman" w:hAnsi="Times New Roman" w:cs="Times New Roman"/>
          <w:color w:val="auto"/>
          <w:highlight w:val="none"/>
        </w:rPr>
        <w:t>月</w:t>
      </w:r>
      <w:r>
        <w:rPr>
          <w:rFonts w:hint="eastAsia" w:cs="Times New Roman"/>
          <w:color w:val="auto"/>
          <w:highlight w:val="none"/>
          <w:u w:val="single"/>
          <w:lang w:val="en-US" w:eastAsia="zh-CN"/>
        </w:rPr>
        <w:t>21</w:t>
      </w:r>
      <w:r>
        <w:rPr>
          <w:rFonts w:hint="default" w:ascii="Times New Roman" w:hAnsi="Times New Roman" w:cs="Times New Roman"/>
          <w:color w:val="auto"/>
          <w:highlight w:val="none"/>
        </w:rPr>
        <w:t>日</w:t>
      </w:r>
    </w:p>
    <w:p>
      <w:pPr>
        <w:pageBreakBefore w:val="0"/>
        <w:widowControl/>
        <w:kinsoku/>
        <w:wordWrap/>
        <w:overflowPunct/>
        <w:topLinePunct w:val="0"/>
        <w:autoSpaceDE/>
        <w:autoSpaceDN/>
        <w:bidi w:val="0"/>
        <w:spacing w:line="440" w:lineRule="exact"/>
        <w:jc w:val="left"/>
        <w:textAlignment w:val="auto"/>
        <w:rPr>
          <w:rFonts w:hint="eastAsia" w:ascii="宋体" w:hAnsi="宋体" w:cs="等线 Light"/>
          <w:color w:val="auto"/>
          <w:sz w:val="24"/>
          <w:szCs w:val="28"/>
          <w:highlight w:val="none"/>
        </w:rPr>
        <w:sectPr>
          <w:footerReference r:id="rId3" w:type="default"/>
          <w:pgSz w:w="11905" w:h="16838"/>
          <w:pgMar w:top="1440" w:right="1083" w:bottom="1440" w:left="1083" w:header="850" w:footer="992" w:gutter="0"/>
          <w:pgBorders>
            <w:top w:val="none" w:sz="0" w:space="0"/>
            <w:left w:val="none" w:sz="0" w:space="0"/>
            <w:bottom w:val="none" w:sz="0" w:space="0"/>
            <w:right w:val="none" w:sz="0" w:space="0"/>
          </w:pgBorders>
          <w:pgNumType w:fmt="decimal" w:start="1"/>
          <w:cols w:space="720" w:num="1"/>
          <w:rtlGutter w:val="0"/>
          <w:docGrid w:type="lines" w:linePitch="317" w:charSpace="0"/>
        </w:sectPr>
      </w:pPr>
    </w:p>
    <w:p>
      <w:pPr>
        <w:widowControl/>
        <w:spacing w:line="240" w:lineRule="auto"/>
        <w:jc w:val="left"/>
        <w:rPr>
          <w:rFonts w:hint="eastAsia" w:ascii="宋体" w:hAnsi="宋体" w:eastAsia="宋体" w:cs="等线 Light"/>
          <w:color w:val="auto"/>
          <w:highlight w:val="none"/>
          <w:lang w:eastAsia="zh-CN"/>
        </w:rPr>
      </w:pPr>
      <w:r>
        <w:rPr>
          <w:rFonts w:hint="eastAsia" w:ascii="宋体" w:hAnsi="宋体" w:cs="等线 Light"/>
          <w:color w:val="auto"/>
          <w:sz w:val="24"/>
          <w:szCs w:val="28"/>
          <w:highlight w:val="none"/>
        </w:rPr>
        <w:t>附</w:t>
      </w:r>
      <w:r>
        <w:rPr>
          <w:rFonts w:hint="eastAsia" w:ascii="宋体" w:hAnsi="宋体" w:cs="等线 Light"/>
          <w:color w:val="auto"/>
          <w:sz w:val="24"/>
          <w:szCs w:val="28"/>
          <w:highlight w:val="none"/>
          <w:lang w:val="en-US" w:eastAsia="zh-CN"/>
        </w:rPr>
        <w:t>表1</w:t>
      </w:r>
      <w:r>
        <w:rPr>
          <w:rFonts w:hint="eastAsia" w:ascii="宋体" w:hAnsi="宋体" w:cs="等线 Light"/>
          <w:color w:val="auto"/>
          <w:sz w:val="24"/>
          <w:szCs w:val="28"/>
          <w:highlight w:val="none"/>
        </w:rPr>
        <w:t>.</w:t>
      </w:r>
      <w:r>
        <w:rPr>
          <w:rFonts w:hint="eastAsia" w:ascii="宋体" w:hAnsi="宋体" w:cs="等线 Light"/>
          <w:color w:val="auto"/>
          <w:sz w:val="24"/>
          <w:szCs w:val="28"/>
          <w:highlight w:val="none"/>
          <w:lang w:eastAsia="zh-CN"/>
        </w:rPr>
        <w:t>招标物资包件清单</w:t>
      </w:r>
    </w:p>
    <w:p>
      <w:pPr>
        <w:widowControl/>
        <w:spacing w:line="240" w:lineRule="auto"/>
        <w:jc w:val="center"/>
        <w:textAlignment w:val="center"/>
        <w:rPr>
          <w:rFonts w:hint="eastAsia" w:ascii="宋体" w:hAnsi="宋体" w:cs="宋体"/>
          <w:b/>
          <w:color w:val="auto"/>
          <w:kern w:val="0"/>
          <w:sz w:val="28"/>
          <w:szCs w:val="28"/>
          <w:highlight w:val="none"/>
          <w:lang w:bidi="ar"/>
        </w:rPr>
      </w:pPr>
      <w:r>
        <w:rPr>
          <w:rFonts w:hint="eastAsia" w:ascii="宋体" w:hAnsi="宋体" w:cs="宋体"/>
          <w:b/>
          <w:color w:val="auto"/>
          <w:kern w:val="0"/>
          <w:sz w:val="28"/>
          <w:szCs w:val="28"/>
          <w:highlight w:val="none"/>
          <w:lang w:bidi="ar"/>
        </w:rPr>
        <w:t>招标物资包件清单</w:t>
      </w:r>
    </w:p>
    <w:p>
      <w:pPr>
        <w:pStyle w:val="4"/>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kern w:val="0"/>
          <w:sz w:val="24"/>
          <w:szCs w:val="24"/>
          <w:highlight w:val="none"/>
          <w:lang w:val="en-US" w:eastAsia="zh-CN" w:bidi="ar"/>
        </w:rPr>
        <w:t>本次招标共设置1个包件，包件号为DXDL-1，包件售价1000元人民币，投标保证金8万元人民币，明细如下：</w:t>
      </w:r>
    </w:p>
    <w:tbl>
      <w:tblPr>
        <w:tblStyle w:val="8"/>
        <w:tblW w:w="4998" w:type="pct"/>
        <w:jc w:val="center"/>
        <w:tblLayout w:type="autofit"/>
        <w:tblCellMar>
          <w:top w:w="0" w:type="dxa"/>
          <w:left w:w="0" w:type="dxa"/>
          <w:bottom w:w="0" w:type="dxa"/>
          <w:right w:w="0" w:type="dxa"/>
        </w:tblCellMar>
      </w:tblPr>
      <w:tblGrid>
        <w:gridCol w:w="1477"/>
        <w:gridCol w:w="2940"/>
        <w:gridCol w:w="3161"/>
        <w:gridCol w:w="2996"/>
        <w:gridCol w:w="3408"/>
      </w:tblGrid>
      <w:tr>
        <w:tblPrEx>
          <w:tblCellMar>
            <w:top w:w="0" w:type="dxa"/>
            <w:left w:w="0" w:type="dxa"/>
            <w:bottom w:w="0" w:type="dxa"/>
            <w:right w:w="0" w:type="dxa"/>
          </w:tblCellMar>
        </w:tblPrEx>
        <w:trPr>
          <w:trHeight w:val="462" w:hRule="atLeast"/>
          <w:tblHeader/>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物资名称</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jc w:val="center"/>
              <w:textAlignment w:val="center"/>
              <w:rPr>
                <w:rFonts w:hint="default" w:ascii="宋体" w:hAnsi="宋体" w:eastAsia="宋体" w:cs="宋体"/>
                <w:b/>
                <w:color w:val="auto"/>
                <w:kern w:val="0"/>
                <w:szCs w:val="21"/>
                <w:highlight w:val="none"/>
                <w:lang w:val="en-US" w:eastAsia="zh-CN" w:bidi="ar"/>
              </w:rPr>
            </w:pPr>
            <w:r>
              <w:rPr>
                <w:rFonts w:hint="eastAsia" w:ascii="宋体" w:hAnsi="宋体" w:cs="宋体"/>
                <w:b/>
                <w:color w:val="auto"/>
                <w:kern w:val="0"/>
                <w:szCs w:val="21"/>
                <w:highlight w:val="none"/>
                <w:lang w:val="en-US" w:eastAsia="zh-CN" w:bidi="ar"/>
              </w:rPr>
              <w:t>规格型号</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计量单位</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YJV-1，3*150+2*70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 w:val="21"/>
                <w:szCs w:val="21"/>
                <w:highlight w:val="none"/>
              </w:rPr>
              <w:t>1976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YJV-1,3*120+2*70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 w:val="21"/>
                <w:szCs w:val="21"/>
                <w:highlight w:val="none"/>
              </w:rPr>
              <w:t>1757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YJV-1,3*70+2*35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277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YJV-1,3*95+2*50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1661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YJV-1,3*150+2*70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240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YJV-1,,3*240+2*120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4450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YJV-1，4*150+1*70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198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YJV-1,3*35+1*16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5054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YJV-1,4*95+1*50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YJV-1，3*70+2*35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YJV-1,3*95+1*50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1684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YJV-1,3*25+1*16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1683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YJV-，3*50+2*25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YJV-1,3*50+1*25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310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YJV-1,3*25+2*16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YJV-1,3*35+2*16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288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YJV-1,4*50+1*25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332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YJV-1,3*50+2*25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YJV-1,4*35+1*16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619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YJV-1,3*185+1*95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1032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消防电缆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ZRNH-YJV-1,3*35+2*16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230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消防电缆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ZRNH-YJV-1,4*16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YJV-10，3*120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1981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YJV-1,5*16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1380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YJV-1，5*6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3406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YJV-1，5*4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5436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25250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YJV-1,5*2.5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15421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1547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6091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3352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YJV-1,4*16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5839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YJV-1，5*10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2733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YJV-10，3*95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503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282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 3*4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YJV-1,4*25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1200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YJV-1,3*2.5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NH-YJV-1,5*10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KVV-0.45/0.75kV，7*1.5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1976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KVV-0.45/0.75kV，12*1.5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5560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KVVP-0.45/0.75kV，12*1.5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736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KVV-0.5,4*1.5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1466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KVV-0.45/0.75,14*1.5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8204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KVVP-0.5,8*1.5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KVVP-0.5,4*2.5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KVV-0.5,4*2.5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KVV-0.5,5*1.5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420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KVVP-0.5,3*1.0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10x2x1.0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20x2x1.0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364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2x2x1.0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25074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3x2x1.0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12526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通讯电缆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3x2x1.5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4x2x1.0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441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5x2x1.0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 6x2x1.0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DJYPVP22 3x2x1.0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273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HYV-20(2x0.5)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315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HYV-25(2x0.5)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315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 10x1.5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473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 3x1.5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13322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 3x2.5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31158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 4x1.5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195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 5x1.5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22426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KVV22 3x2.5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273</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10x1.5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2554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3x1.0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997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3x1.5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2254</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4x1.5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5x1.5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7772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7x1.5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29315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 8x1.5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399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通讯电缆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Modbus</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2358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3x1.5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955</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3x2.5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441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3x4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79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3x6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5x10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5x4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5x6</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171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 5x2.5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3636</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电力电缆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YJV-4x4</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819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 3x1.5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617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 3x2.5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829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  5x1.5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ZR-KVVP 10x1.5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32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ZR-KVVP 4x1.5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922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ZR-KVVP 5x1.5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ZR-KVVP 7x1.5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548</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ZR-KVVP14x1.5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59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ZR-RVS-2X1.0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869</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ZRA-KVVP-7x1.5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95</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控制电缆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ZRNH-RVS-2X1.5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1631</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96</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通讯电缆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超五类屏蔽双绞线,4对</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4050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97</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通讯电缆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电话线RVB-2x0.5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98</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光纤</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铠装四芯多模光纤</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112</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99</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通讯电缆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视频线 SYV-75-9</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100</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通讯电缆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视频线 SYV-75-5</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800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101</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光纤</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四芯多模光纤</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17867</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102</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信号电缆</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KVVP-0.5,3*1.0</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660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103</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电线</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BV-2.5MM²</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59000</w:t>
            </w:r>
          </w:p>
        </w:tc>
      </w:tr>
      <w:tr>
        <w:tblPrEx>
          <w:tblCellMar>
            <w:top w:w="0" w:type="dxa"/>
            <w:left w:w="0" w:type="dxa"/>
            <w:bottom w:w="0" w:type="dxa"/>
            <w:right w:w="0" w:type="dxa"/>
          </w:tblCellMar>
        </w:tblPrEx>
        <w:trPr>
          <w:trHeight w:val="454" w:hRule="exact"/>
          <w:jc w:val="center"/>
        </w:trPr>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104</w:t>
            </w:r>
          </w:p>
        </w:tc>
        <w:tc>
          <w:tcPr>
            <w:tcW w:w="10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电线</w:t>
            </w:r>
          </w:p>
        </w:tc>
        <w:tc>
          <w:tcPr>
            <w:tcW w:w="112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BV-4MM²</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31000</w:t>
            </w:r>
          </w:p>
        </w:tc>
      </w:tr>
      <w:tr>
        <w:tblPrEx>
          <w:tblCellMar>
            <w:top w:w="0" w:type="dxa"/>
            <w:left w:w="0" w:type="dxa"/>
            <w:bottom w:w="0" w:type="dxa"/>
            <w:right w:w="0" w:type="dxa"/>
          </w:tblCellMar>
        </w:tblPrEx>
        <w:trPr>
          <w:trHeight w:val="454" w:hRule="exact"/>
          <w:jc w:val="center"/>
        </w:trPr>
        <w:tc>
          <w:tcPr>
            <w:tcW w:w="2709" w:type="pct"/>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beforeLines="0" w:afterLines="0"/>
              <w:jc w:val="center"/>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合计</w:t>
            </w:r>
          </w:p>
        </w:tc>
        <w:tc>
          <w:tcPr>
            <w:tcW w:w="10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米</w:t>
            </w:r>
          </w:p>
        </w:tc>
        <w:tc>
          <w:tcPr>
            <w:tcW w:w="1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0" w:afterLines="0"/>
              <w:jc w:val="center"/>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396927</w:t>
            </w:r>
          </w:p>
        </w:tc>
      </w:tr>
    </w:tbl>
    <w:p>
      <w:pPr>
        <w:rPr>
          <w:rFonts w:hint="eastAsia" w:ascii="宋体" w:hAnsi="宋体" w:cs="等线 Light"/>
          <w:b/>
          <w:bCs/>
          <w:color w:val="auto"/>
          <w:kern w:val="0"/>
          <w:sz w:val="22"/>
          <w:highlight w:val="none"/>
          <w:lang w:bidi="ar"/>
        </w:rPr>
      </w:pPr>
      <w:r>
        <w:rPr>
          <w:rFonts w:hint="eastAsia" w:ascii="宋体" w:hAnsi="宋体" w:eastAsia="宋体" w:cs="等线 Light"/>
          <w:b/>
          <w:bCs/>
          <w:color w:val="auto"/>
          <w:kern w:val="0"/>
          <w:sz w:val="22"/>
          <w:highlight w:val="none"/>
          <w:lang w:eastAsia="zh-CN" w:bidi="ar"/>
        </w:rPr>
        <w:t>注：</w:t>
      </w:r>
      <w:r>
        <w:rPr>
          <w:rFonts w:hint="eastAsia" w:ascii="宋体" w:hAnsi="宋体" w:cs="等线 Light"/>
          <w:b/>
          <w:bCs/>
          <w:color w:val="auto"/>
          <w:kern w:val="0"/>
          <w:sz w:val="22"/>
          <w:highlight w:val="none"/>
          <w:lang w:val="en-US" w:eastAsia="zh-CN" w:bidi="ar"/>
        </w:rPr>
        <w:t>1.</w:t>
      </w:r>
      <w:r>
        <w:rPr>
          <w:rFonts w:hint="eastAsia" w:ascii="宋体" w:hAnsi="宋体" w:cs="等线 Light"/>
          <w:b/>
          <w:bCs/>
          <w:color w:val="auto"/>
          <w:kern w:val="0"/>
          <w:sz w:val="22"/>
          <w:highlight w:val="none"/>
          <w:lang w:bidi="ar"/>
        </w:rPr>
        <w:t>以上材料具体规格型号，详见招标文件“物资需求一览表”。</w:t>
      </w:r>
    </w:p>
    <w:p>
      <w:pPr>
        <w:ind w:firstLine="442" w:firstLineChars="200"/>
        <w:rPr>
          <w:rFonts w:hint="default" w:ascii="宋体" w:hAnsi="宋体" w:eastAsia="宋体" w:cs="等线 Light"/>
          <w:b/>
          <w:bCs/>
          <w:color w:val="auto"/>
          <w:kern w:val="0"/>
          <w:sz w:val="22"/>
          <w:highlight w:val="none"/>
          <w:lang w:val="en-US" w:eastAsia="zh-CN" w:bidi="ar"/>
        </w:rPr>
        <w:sectPr>
          <w:pgSz w:w="16838" w:h="11905" w:orient="landscape"/>
          <w:pgMar w:top="1083" w:right="1440" w:bottom="1083" w:left="1440" w:header="850" w:footer="992" w:gutter="0"/>
          <w:pgBorders>
            <w:top w:val="none" w:sz="0" w:space="0"/>
            <w:left w:val="none" w:sz="0" w:space="0"/>
            <w:bottom w:val="none" w:sz="0" w:space="0"/>
            <w:right w:val="none" w:sz="0" w:space="0"/>
          </w:pgBorders>
          <w:pgNumType w:fmt="decimal"/>
          <w:cols w:space="720" w:num="1"/>
          <w:rtlGutter w:val="0"/>
          <w:docGrid w:type="lines" w:linePitch="317" w:charSpace="0"/>
        </w:sectPr>
      </w:pPr>
      <w:r>
        <w:rPr>
          <w:rFonts w:hint="eastAsia" w:ascii="宋体" w:hAnsi="宋体" w:cs="等线 Light"/>
          <w:b/>
          <w:bCs/>
          <w:color w:val="auto"/>
          <w:kern w:val="0"/>
          <w:sz w:val="22"/>
          <w:highlight w:val="none"/>
          <w:lang w:val="en-US" w:eastAsia="zh-CN" w:bidi="ar"/>
        </w:rPr>
        <w:t>2.本次招标要求投标人必须为中国中铁2019-2021年度电线电缆准入供应商名录内企业，详见附表3。</w:t>
      </w:r>
    </w:p>
    <w:p>
      <w:pPr>
        <w:rPr>
          <w:rFonts w:hint="default" w:ascii="宋体" w:hAnsi="宋体" w:eastAsia="宋体" w:cs="等线 Light"/>
          <w:color w:val="auto"/>
          <w:kern w:val="0"/>
          <w:sz w:val="22"/>
          <w:highlight w:val="none"/>
          <w:lang w:val="en-US" w:eastAsia="zh-CN" w:bidi="ar"/>
        </w:rPr>
      </w:pPr>
      <w:r>
        <w:rPr>
          <w:rFonts w:hint="eastAsia" w:ascii="宋体" w:hAnsi="宋体" w:cs="等线 Light"/>
          <w:color w:val="auto"/>
          <w:kern w:val="0"/>
          <w:sz w:val="22"/>
          <w:highlight w:val="none"/>
          <w:lang w:bidi="ar"/>
        </w:rPr>
        <w:t>附</w:t>
      </w:r>
      <w:r>
        <w:rPr>
          <w:rFonts w:hint="eastAsia" w:ascii="宋体" w:hAnsi="宋体" w:cs="等线 Light"/>
          <w:color w:val="auto"/>
          <w:kern w:val="0"/>
          <w:sz w:val="22"/>
          <w:highlight w:val="none"/>
          <w:lang w:val="en-US" w:eastAsia="zh-CN" w:bidi="ar"/>
        </w:rPr>
        <w:t>表2</w:t>
      </w:r>
      <w:r>
        <w:rPr>
          <w:rFonts w:hint="eastAsia" w:ascii="宋体" w:hAnsi="宋体" w:cs="等线 Light"/>
          <w:color w:val="auto"/>
          <w:kern w:val="0"/>
          <w:sz w:val="22"/>
          <w:highlight w:val="none"/>
          <w:lang w:bidi="ar"/>
        </w:rPr>
        <w:t>：</w:t>
      </w:r>
      <w:r>
        <w:rPr>
          <w:rFonts w:hint="eastAsia" w:ascii="宋体" w:hAnsi="宋体" w:cs="等线 Light"/>
          <w:color w:val="auto"/>
          <w:kern w:val="0"/>
          <w:sz w:val="22"/>
          <w:highlight w:val="none"/>
          <w:lang w:eastAsia="zh-CN" w:bidi="ar"/>
        </w:rPr>
        <w:t>投标人资格条件</w:t>
      </w:r>
    </w:p>
    <w:tbl>
      <w:tblPr>
        <w:tblStyle w:val="8"/>
        <w:tblW w:w="0" w:type="auto"/>
        <w:jc w:val="center"/>
        <w:tblLayout w:type="fixed"/>
        <w:tblCellMar>
          <w:top w:w="0" w:type="dxa"/>
          <w:left w:w="15" w:type="dxa"/>
          <w:bottom w:w="0" w:type="dxa"/>
          <w:right w:w="15" w:type="dxa"/>
        </w:tblCellMar>
      </w:tblPr>
      <w:tblGrid>
        <w:gridCol w:w="704"/>
        <w:gridCol w:w="1046"/>
        <w:gridCol w:w="12198"/>
      </w:tblGrid>
      <w:tr>
        <w:tblPrEx>
          <w:tblCellMar>
            <w:top w:w="0" w:type="dxa"/>
            <w:left w:w="15" w:type="dxa"/>
            <w:bottom w:w="0" w:type="dxa"/>
            <w:right w:w="15" w:type="dxa"/>
          </w:tblCellMar>
        </w:tblPrEx>
        <w:trPr>
          <w:trHeight w:val="536" w:hRule="atLeast"/>
          <w:tblHeader/>
          <w:jc w:val="center"/>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auto"/>
              <w:jc w:val="center"/>
              <w:textAlignment w:val="center"/>
              <w:rPr>
                <w:rFonts w:ascii="宋体" w:hAnsi="宋体" w:cs="等线 Light"/>
                <w:b/>
                <w:color w:val="auto"/>
                <w:sz w:val="21"/>
                <w:szCs w:val="21"/>
                <w:highlight w:val="none"/>
              </w:rPr>
            </w:pPr>
            <w:r>
              <w:rPr>
                <w:rFonts w:hint="eastAsia" w:ascii="宋体" w:hAnsi="宋体" w:cs="等线 Light"/>
                <w:b/>
                <w:color w:val="auto"/>
                <w:sz w:val="21"/>
                <w:szCs w:val="21"/>
                <w:highlight w:val="none"/>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auto"/>
              <w:jc w:val="center"/>
              <w:textAlignment w:val="center"/>
              <w:rPr>
                <w:rFonts w:ascii="宋体" w:hAnsi="宋体" w:cs="等线 Light"/>
                <w:b/>
                <w:color w:val="auto"/>
                <w:sz w:val="21"/>
                <w:szCs w:val="21"/>
                <w:highlight w:val="none"/>
              </w:rPr>
            </w:pPr>
            <w:r>
              <w:rPr>
                <w:rFonts w:hint="eastAsia" w:ascii="宋体" w:hAnsi="宋体" w:cs="等线 Light"/>
                <w:b/>
                <w:color w:val="auto"/>
                <w:sz w:val="21"/>
                <w:szCs w:val="21"/>
                <w:highlight w:val="none"/>
              </w:rPr>
              <w:t>物资名称</w:t>
            </w:r>
          </w:p>
        </w:tc>
        <w:tc>
          <w:tcPr>
            <w:tcW w:w="1219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auto"/>
              <w:jc w:val="center"/>
              <w:textAlignment w:val="center"/>
              <w:rPr>
                <w:rFonts w:hint="eastAsia" w:ascii="宋体" w:hAnsi="宋体" w:eastAsia="宋体" w:cs="等线 Light"/>
                <w:b/>
                <w:color w:val="auto"/>
                <w:sz w:val="21"/>
                <w:szCs w:val="21"/>
                <w:highlight w:val="none"/>
                <w:lang w:eastAsia="zh-CN"/>
              </w:rPr>
            </w:pPr>
            <w:r>
              <w:rPr>
                <w:rFonts w:hint="eastAsia" w:ascii="宋体" w:hAnsi="宋体" w:cs="等线 Light"/>
                <w:b/>
                <w:color w:val="auto"/>
                <w:sz w:val="21"/>
                <w:szCs w:val="21"/>
                <w:highlight w:val="none"/>
              </w:rPr>
              <w:t>投  标  人  资  格  条  件</w:t>
            </w:r>
          </w:p>
        </w:tc>
      </w:tr>
      <w:tr>
        <w:tblPrEx>
          <w:tblCellMar>
            <w:top w:w="0" w:type="dxa"/>
            <w:left w:w="15" w:type="dxa"/>
            <w:bottom w:w="0" w:type="dxa"/>
            <w:right w:w="15" w:type="dxa"/>
          </w:tblCellMar>
        </w:tblPrEx>
        <w:trPr>
          <w:trHeight w:val="8300" w:hRule="atLeast"/>
          <w:jc w:val="center"/>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exact"/>
              <w:jc w:val="center"/>
              <w:textAlignment w:val="center"/>
              <w:rPr>
                <w:rFonts w:ascii="宋体" w:hAnsi="宋体" w:cs="等线 Light"/>
                <w:b/>
                <w:bCs w:val="0"/>
                <w:color w:val="auto"/>
                <w:sz w:val="21"/>
                <w:szCs w:val="21"/>
                <w:highlight w:val="none"/>
              </w:rPr>
            </w:pPr>
            <w:r>
              <w:rPr>
                <w:rFonts w:hint="eastAsia" w:ascii="宋体" w:hAnsi="宋体" w:cs="等线 Light"/>
                <w:b/>
                <w:bCs w:val="0"/>
                <w:color w:val="auto"/>
                <w:sz w:val="21"/>
                <w:szCs w:val="21"/>
                <w:highlight w:val="none"/>
              </w:rPr>
              <w:t>1</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exact"/>
              <w:jc w:val="center"/>
              <w:textAlignment w:val="center"/>
              <w:rPr>
                <w:rFonts w:hint="default" w:ascii="宋体" w:hAnsi="宋体" w:eastAsia="宋体" w:cs="等线 Light"/>
                <w:b/>
                <w:bCs w:val="0"/>
                <w:color w:val="auto"/>
                <w:sz w:val="21"/>
                <w:szCs w:val="21"/>
                <w:highlight w:val="none"/>
                <w:lang w:val="en-US" w:eastAsia="zh-CN"/>
              </w:rPr>
            </w:pPr>
            <w:r>
              <w:rPr>
                <w:rFonts w:hint="eastAsia" w:ascii="宋体" w:hAnsi="宋体" w:cs="等线 Light"/>
                <w:b/>
                <w:bCs w:val="0"/>
                <w:color w:val="auto"/>
                <w:sz w:val="21"/>
                <w:szCs w:val="21"/>
                <w:highlight w:val="none"/>
                <w:lang w:val="en-US" w:eastAsia="zh-CN"/>
              </w:rPr>
              <w:t>电线电缆</w:t>
            </w:r>
          </w:p>
        </w:tc>
        <w:tc>
          <w:tcPr>
            <w:tcW w:w="1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1394"/>
              </w:tabs>
              <w:kinsoku/>
              <w:wordWrap/>
              <w:overflowPunct/>
              <w:topLinePunct w:val="0"/>
              <w:autoSpaceDE/>
              <w:autoSpaceDN/>
              <w:bidi w:val="0"/>
              <w:adjustRightInd/>
              <w:snapToGrid/>
              <w:spacing w:line="400" w:lineRule="exact"/>
              <w:ind w:firstLine="422" w:firstLineChars="200"/>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1.营业范围要求：</w:t>
            </w:r>
            <w:r>
              <w:rPr>
                <w:rFonts w:hint="eastAsia" w:ascii="宋体" w:hAnsi="宋体" w:eastAsia="宋体" w:cs="宋体"/>
                <w:color w:val="auto"/>
                <w:sz w:val="21"/>
                <w:szCs w:val="21"/>
                <w:highlight w:val="none"/>
              </w:rPr>
              <w:t>在中华人民共和国境内依法注册，具有独立法人资格、具有招标物资生产</w:t>
            </w:r>
            <w:r>
              <w:rPr>
                <w:rFonts w:hint="eastAsia" w:ascii="宋体" w:hAnsi="宋体" w:cs="宋体"/>
                <w:color w:val="auto"/>
                <w:sz w:val="21"/>
                <w:szCs w:val="21"/>
                <w:highlight w:val="none"/>
                <w:lang w:val="en-US" w:eastAsia="zh-CN"/>
              </w:rPr>
              <w:t>或</w:t>
            </w:r>
            <w:r>
              <w:rPr>
                <w:rFonts w:hint="eastAsia" w:ascii="宋体" w:hAnsi="宋体" w:eastAsia="宋体" w:cs="宋体"/>
                <w:color w:val="auto"/>
                <w:sz w:val="21"/>
                <w:szCs w:val="21"/>
                <w:highlight w:val="none"/>
              </w:rPr>
              <w:t>供应经验的</w:t>
            </w:r>
            <w:r>
              <w:rPr>
                <w:rFonts w:hint="eastAsia" w:ascii="宋体" w:hAnsi="宋体" w:cs="宋体"/>
                <w:color w:val="auto"/>
                <w:sz w:val="21"/>
                <w:szCs w:val="21"/>
                <w:highlight w:val="none"/>
                <w:lang w:val="en-US" w:eastAsia="zh-CN"/>
              </w:rPr>
              <w:t>生产厂</w:t>
            </w:r>
            <w:r>
              <w:rPr>
                <w:rFonts w:hint="eastAsia" w:ascii="宋体" w:hAnsi="宋体" w:eastAsia="宋体" w:cs="宋体"/>
                <w:color w:val="auto"/>
                <w:sz w:val="21"/>
                <w:szCs w:val="21"/>
                <w:highlight w:val="none"/>
              </w:rPr>
              <w:t>，并且具有合法、有效的三证合一的营业执照。</w:t>
            </w:r>
          </w:p>
          <w:p>
            <w:pPr>
              <w:keepNext w:val="0"/>
              <w:keepLines w:val="0"/>
              <w:pageBreakBefore w:val="0"/>
              <w:widowControl/>
              <w:tabs>
                <w:tab w:val="left" w:pos="1394"/>
              </w:tabs>
              <w:kinsoku/>
              <w:wordWrap/>
              <w:overflowPunct/>
              <w:topLinePunct w:val="0"/>
              <w:autoSpaceDE/>
              <w:autoSpaceDN/>
              <w:bidi w:val="0"/>
              <w:adjustRightInd/>
              <w:snapToGrid/>
              <w:spacing w:line="400" w:lineRule="exact"/>
              <w:ind w:firstLine="422" w:firstLineChars="200"/>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rPr>
              <w:t>2.生产能力要求：</w:t>
            </w:r>
            <w:r>
              <w:rPr>
                <w:rFonts w:hint="eastAsia" w:ascii="宋体" w:hAnsi="宋体" w:cs="宋体"/>
                <w:b w:val="0"/>
                <w:bCs w:val="0"/>
                <w:color w:val="auto"/>
                <w:sz w:val="21"/>
                <w:szCs w:val="21"/>
                <w:highlight w:val="none"/>
                <w:lang w:val="en-US" w:eastAsia="zh-CN"/>
              </w:rPr>
              <w:t>具备签订合同、接到供货通知单后60天内完成本次招标合同数量所有供货任务的能力，投标人所供货物必须是自产产品。</w:t>
            </w:r>
          </w:p>
          <w:p>
            <w:pPr>
              <w:keepNext w:val="0"/>
              <w:keepLines w:val="0"/>
              <w:pageBreakBefore w:val="0"/>
              <w:widowControl/>
              <w:tabs>
                <w:tab w:val="left" w:pos="1394"/>
              </w:tabs>
              <w:kinsoku/>
              <w:wordWrap/>
              <w:overflowPunct/>
              <w:topLinePunct w:val="0"/>
              <w:autoSpaceDE/>
              <w:autoSpaceDN/>
              <w:bidi w:val="0"/>
              <w:adjustRightInd/>
              <w:snapToGrid/>
              <w:spacing w:line="400" w:lineRule="exact"/>
              <w:ind w:firstLine="422" w:firstLineChars="200"/>
              <w:textAlignment w:val="center"/>
              <w:rPr>
                <w:rFonts w:hint="eastAsia" w:ascii="宋体" w:hAnsi="宋体" w:cs="宋体"/>
                <w:color w:val="auto"/>
                <w:sz w:val="21"/>
                <w:szCs w:val="21"/>
                <w:highlight w:val="none"/>
                <w:lang w:eastAsia="zh-CN"/>
              </w:rPr>
            </w:pPr>
            <w:r>
              <w:rPr>
                <w:rFonts w:hint="eastAsia" w:ascii="宋体" w:hAnsi="宋体" w:eastAsia="宋体" w:cs="宋体"/>
                <w:b/>
                <w:bCs/>
                <w:color w:val="auto"/>
                <w:sz w:val="21"/>
                <w:szCs w:val="21"/>
                <w:highlight w:val="none"/>
              </w:rPr>
              <w:t>3.财务能力要求：</w:t>
            </w:r>
            <w:r>
              <w:rPr>
                <w:rFonts w:hint="eastAsia" w:ascii="宋体" w:hAnsi="宋体" w:eastAsia="宋体" w:cs="宋体"/>
                <w:color w:val="auto"/>
                <w:sz w:val="21"/>
                <w:szCs w:val="21"/>
                <w:highlight w:val="none"/>
              </w:rPr>
              <w:t>具有一般纳税人资格，可开具13%税率的增值税专用发票。</w:t>
            </w:r>
            <w:r>
              <w:rPr>
                <w:rFonts w:hint="eastAsia" w:ascii="宋体" w:hAnsi="宋体" w:cs="宋体"/>
                <w:color w:val="auto"/>
                <w:sz w:val="21"/>
                <w:szCs w:val="21"/>
                <w:highlight w:val="none"/>
                <w:lang w:val="en-US" w:eastAsia="zh-CN"/>
              </w:rPr>
              <w:t>投标人注册资金不低于10</w:t>
            </w:r>
            <w:r>
              <w:rPr>
                <w:rFonts w:hint="eastAsia" w:ascii="宋体" w:hAnsi="宋体" w:eastAsia="宋体" w:cs="宋体"/>
                <w:color w:val="auto"/>
                <w:sz w:val="21"/>
                <w:szCs w:val="21"/>
                <w:highlight w:val="none"/>
              </w:rPr>
              <w:t>00万元人民币</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资金财务状况良好，具备实施本项目合同充足的资金保障能力，须出具</w:t>
            </w:r>
            <w:r>
              <w:rPr>
                <w:rFonts w:hint="eastAsia" w:ascii="宋体" w:hAnsi="宋体" w:cs="宋体"/>
                <w:color w:val="auto"/>
                <w:sz w:val="21"/>
                <w:szCs w:val="21"/>
                <w:highlight w:val="none"/>
                <w:lang w:val="en-US" w:eastAsia="zh-CN"/>
              </w:rPr>
              <w:t>近两年（</w:t>
            </w:r>
            <w:r>
              <w:rPr>
                <w:rFonts w:hint="eastAsia" w:ascii="宋体" w:hAnsi="宋体" w:eastAsia="宋体" w:cs="宋体"/>
                <w:color w:val="auto"/>
                <w:sz w:val="21"/>
                <w:szCs w:val="21"/>
                <w:highlight w:val="none"/>
              </w:rPr>
              <w:t>2018、2019年</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经审计的财务报告及报表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近两年</w:t>
            </w:r>
            <w:r>
              <w:rPr>
                <w:rFonts w:hint="eastAsia" w:ascii="宋体" w:hAnsi="宋体" w:cs="宋体"/>
                <w:color w:val="auto"/>
                <w:sz w:val="21"/>
                <w:szCs w:val="21"/>
                <w:highlight w:val="none"/>
                <w:lang w:eastAsia="zh-CN"/>
              </w:rPr>
              <w:t>年均综合销售收入达到1000万元人民币以上。</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b/>
                <w:bCs/>
                <w:color w:val="auto"/>
                <w:sz w:val="21"/>
                <w:szCs w:val="21"/>
                <w:highlight w:val="none"/>
              </w:rPr>
              <w:t>4.质量保证能力要求：</w:t>
            </w:r>
            <w:r>
              <w:rPr>
                <w:rFonts w:hint="eastAsia" w:ascii="宋体" w:hAnsi="宋体" w:cs="宋体"/>
                <w:b w:val="0"/>
                <w:bCs w:val="0"/>
                <w:color w:val="auto"/>
                <w:sz w:val="21"/>
                <w:szCs w:val="21"/>
                <w:highlight w:val="none"/>
                <w:lang w:val="en-US" w:eastAsia="zh-CN"/>
              </w:rPr>
              <w:t>投标人</w:t>
            </w:r>
            <w:r>
              <w:rPr>
                <w:rFonts w:hint="eastAsia" w:ascii="宋体" w:hAnsi="宋体" w:eastAsia="宋体" w:cs="宋体"/>
                <w:b w:val="0"/>
                <w:bCs w:val="0"/>
                <w:color w:val="auto"/>
                <w:sz w:val="21"/>
                <w:szCs w:val="21"/>
                <w:highlight w:val="none"/>
              </w:rPr>
              <w:t>产品符合国家现行标准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提供</w:t>
            </w:r>
            <w:r>
              <w:rPr>
                <w:rFonts w:hint="eastAsia" w:ascii="宋体" w:hAnsi="宋体" w:eastAsia="宋体" w:cs="宋体"/>
                <w:b w:val="0"/>
                <w:bCs w:val="0"/>
                <w:color w:val="auto"/>
                <w:sz w:val="21"/>
                <w:szCs w:val="21"/>
                <w:highlight w:val="none"/>
              </w:rPr>
              <w:t>近三年</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2018-2020年</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的省、部级及以上专业检测机构出具的招标物资质量检验报告。</w:t>
            </w:r>
            <w:r>
              <w:rPr>
                <w:rFonts w:hint="eastAsia" w:ascii="宋体" w:hAnsi="宋体" w:eastAsia="宋体" w:cs="宋体"/>
                <w:b w:val="0"/>
                <w:bCs w:val="0"/>
                <w:color w:val="auto"/>
                <w:sz w:val="21"/>
                <w:szCs w:val="21"/>
                <w:highlight w:val="none"/>
              </w:rPr>
              <w:br w:type="textWrapping"/>
            </w: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val="en-US" w:eastAsia="zh-CN"/>
              </w:rPr>
              <w:t>许可和认证要求</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rPr>
              <w:t>投标</w:t>
            </w:r>
            <w:r>
              <w:rPr>
                <w:rFonts w:hint="eastAsia" w:ascii="宋体" w:hAnsi="宋体" w:cs="宋体"/>
                <w:b w:val="0"/>
                <w:bCs w:val="0"/>
                <w:color w:val="auto"/>
                <w:sz w:val="21"/>
                <w:szCs w:val="21"/>
                <w:highlight w:val="none"/>
                <w:lang w:val="en-US" w:eastAsia="zh-CN"/>
              </w:rPr>
              <w:t>人</w:t>
            </w:r>
            <w:r>
              <w:rPr>
                <w:rFonts w:hint="eastAsia" w:ascii="宋体" w:hAnsi="宋体" w:eastAsia="宋体" w:cs="宋体"/>
                <w:color w:val="auto"/>
                <w:sz w:val="21"/>
                <w:szCs w:val="21"/>
                <w:highlight w:val="none"/>
              </w:rPr>
              <w:t>具有有效的ISO9000系列质量管理体系认证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具有有效的工业产品安全生产许可证（不需或取消工业品许可的产品除外）</w:t>
            </w:r>
            <w:r>
              <w:rPr>
                <w:rFonts w:hint="eastAsia" w:ascii="宋体" w:hAnsi="宋体" w:cs="宋体"/>
                <w:color w:val="auto"/>
                <w:sz w:val="21"/>
                <w:szCs w:val="21"/>
                <w:highlight w:val="none"/>
                <w:lang w:val="en-US" w:eastAsia="zh-CN"/>
              </w:rPr>
              <w:t>，</w:t>
            </w:r>
            <w:r>
              <w:rPr>
                <w:rFonts w:hint="eastAsia" w:ascii="宋体" w:hAnsi="宋体" w:eastAsia="宋体" w:cs="宋体"/>
                <w:b w:val="0"/>
                <w:bCs w:val="0"/>
                <w:color w:val="auto"/>
                <w:sz w:val="21"/>
                <w:szCs w:val="21"/>
                <w:highlight w:val="none"/>
              </w:rPr>
              <w:t>产品符合国家现行标准</w:t>
            </w:r>
            <w:r>
              <w:rPr>
                <w:rFonts w:hint="eastAsia" w:ascii="宋体" w:hAnsi="宋体" w:cs="宋体"/>
                <w:color w:val="auto"/>
                <w:sz w:val="21"/>
                <w:szCs w:val="21"/>
                <w:highlight w:val="none"/>
                <w:lang w:eastAsia="zh-CN"/>
              </w:rPr>
              <w:t>。</w:t>
            </w:r>
          </w:p>
          <w:p>
            <w:pPr>
              <w:keepNext w:val="0"/>
              <w:keepLines w:val="0"/>
              <w:pageBreakBefore w:val="0"/>
              <w:widowControl/>
              <w:tabs>
                <w:tab w:val="left" w:pos="1394"/>
              </w:tabs>
              <w:kinsoku/>
              <w:wordWrap/>
              <w:overflowPunct/>
              <w:topLinePunct w:val="0"/>
              <w:autoSpaceDE/>
              <w:autoSpaceDN/>
              <w:bidi w:val="0"/>
              <w:adjustRightInd/>
              <w:snapToGrid/>
              <w:spacing w:line="400" w:lineRule="exact"/>
              <w:ind w:firstLine="422" w:firstLineChars="200"/>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6.</w:t>
            </w:r>
            <w:r>
              <w:rPr>
                <w:rFonts w:hint="eastAsia" w:ascii="宋体" w:hAnsi="宋体" w:eastAsia="宋体" w:cs="宋体"/>
                <w:b/>
                <w:bCs/>
                <w:color w:val="auto"/>
                <w:sz w:val="21"/>
                <w:szCs w:val="21"/>
                <w:highlight w:val="none"/>
                <w:lang w:val="en-US" w:eastAsia="zh-CN"/>
              </w:rPr>
              <w:t>供货业绩要求</w:t>
            </w:r>
            <w:r>
              <w:rPr>
                <w:rFonts w:hint="eastAsia" w:ascii="宋体" w:hAnsi="宋体" w:eastAsia="宋体" w:cs="宋体"/>
                <w:b/>
                <w:bCs/>
                <w:color w:val="auto"/>
                <w:sz w:val="21"/>
                <w:szCs w:val="21"/>
                <w:highlight w:val="none"/>
              </w:rPr>
              <w:t>：</w:t>
            </w:r>
            <w:r>
              <w:rPr>
                <w:rFonts w:hint="eastAsia" w:ascii="宋体" w:hAnsi="宋体" w:cs="宋体"/>
                <w:b w:val="0"/>
                <w:bCs w:val="0"/>
                <w:color w:val="auto"/>
                <w:sz w:val="21"/>
                <w:szCs w:val="21"/>
                <w:highlight w:val="none"/>
                <w:lang w:val="en-US" w:eastAsia="zh-CN"/>
              </w:rPr>
              <w:t>投标人</w:t>
            </w:r>
            <w:r>
              <w:rPr>
                <w:rFonts w:hint="eastAsia" w:ascii="宋体" w:hAnsi="宋体" w:eastAsia="宋体" w:cs="宋体"/>
                <w:color w:val="auto"/>
                <w:sz w:val="21"/>
                <w:szCs w:val="21"/>
                <w:highlight w:val="none"/>
              </w:rPr>
              <w:t>具有招标物资</w:t>
            </w:r>
            <w:r>
              <w:rPr>
                <w:rFonts w:hint="eastAsia" w:ascii="宋体" w:hAnsi="宋体" w:cs="宋体"/>
                <w:color w:val="auto"/>
                <w:sz w:val="21"/>
                <w:szCs w:val="21"/>
                <w:highlight w:val="none"/>
                <w:lang w:val="en-US" w:eastAsia="zh-CN"/>
              </w:rPr>
              <w:t>近三年（</w:t>
            </w:r>
            <w:r>
              <w:rPr>
                <w:rFonts w:hint="eastAsia" w:ascii="宋体" w:hAnsi="宋体" w:eastAsia="宋体" w:cs="宋体"/>
                <w:color w:val="auto"/>
                <w:sz w:val="21"/>
                <w:szCs w:val="21"/>
                <w:highlight w:val="none"/>
              </w:rPr>
              <w:t>201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年-20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）同类工程或国家重点工程建设项目的有关供货业绩并提供证明资料</w:t>
            </w:r>
            <w:r>
              <w:rPr>
                <w:rFonts w:hint="eastAsia" w:ascii="宋体" w:hAnsi="宋体" w:eastAsia="宋体" w:cs="宋体"/>
                <w:color w:val="auto"/>
                <w:sz w:val="21"/>
                <w:szCs w:val="21"/>
                <w:highlight w:val="none"/>
              </w:rPr>
              <w:t>（如中标通知书、合同、发票等）。</w:t>
            </w:r>
          </w:p>
          <w:p>
            <w:pPr>
              <w:pStyle w:val="7"/>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7.</w:t>
            </w:r>
            <w:r>
              <w:rPr>
                <w:rFonts w:hint="eastAsia" w:ascii="宋体" w:hAnsi="宋体" w:eastAsia="宋体" w:cs="宋体"/>
                <w:b/>
                <w:bCs/>
                <w:color w:val="auto"/>
                <w:sz w:val="21"/>
                <w:szCs w:val="21"/>
                <w:highlight w:val="none"/>
                <w:lang w:val="en-US" w:eastAsia="zh-CN"/>
              </w:rPr>
              <w:t>履约信用要求</w:t>
            </w:r>
            <w:r>
              <w:rPr>
                <w:rFonts w:hint="eastAsia" w:ascii="宋体" w:hAnsi="宋体" w:cs="宋体"/>
                <w:b/>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投标人具有良好的社会信誉，最近三年内没有与骗取合同有关的犯罪或严重违法行为而引起的诉讼和仲裁；近两年不曾在合同中严重违约或被逐；财产未被接管或冻结，企业未处于禁止或取消投标状态。同时，</w:t>
            </w:r>
            <w:r>
              <w:rPr>
                <w:rFonts w:hint="eastAsia" w:ascii="宋体" w:hAnsi="宋体" w:cs="宋体"/>
                <w:color w:val="auto"/>
                <w:sz w:val="21"/>
                <w:szCs w:val="21"/>
                <w:highlight w:val="none"/>
                <w:lang w:val="en-US" w:eastAsia="zh-CN"/>
              </w:rPr>
              <w:t>投标人需提供</w:t>
            </w:r>
            <w:r>
              <w:rPr>
                <w:rFonts w:hint="eastAsia" w:ascii="宋体" w:hAnsi="宋体" w:eastAsia="宋体" w:cs="宋体"/>
                <w:color w:val="auto"/>
                <w:sz w:val="21"/>
                <w:szCs w:val="21"/>
                <w:highlight w:val="none"/>
                <w:lang w:val="en-US" w:eastAsia="zh-CN"/>
              </w:rPr>
              <w:t>同类投标物资已供买方或使用单位出具的履约情况证明。投标人未被纳入全国信用信息共享平台（网扯:www.gsxt.gov.cn）经营异常名录和严重违法失信企业名单，投标人未被纳入“信用中国”网站（网址：</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"http://www.creditchina.gov.cn）公布的失信被执行人、企业经营异常名录、重大税收违法案件当事人名单、政府采购严重违法失信名单（在投标文件中附网页查询截图）。"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www.creditchina.gov.cn）公布的失信被执行人、企业经营异常名录、重大税收违法案件当事人名单、政府采购严重违法失信名单（在投标文件中附网页查询截图）。</w:t>
            </w:r>
            <w:r>
              <w:rPr>
                <w:rFonts w:hint="eastAsia" w:ascii="宋体" w:hAnsi="宋体" w:eastAsia="宋体" w:cs="宋体"/>
                <w:color w:val="auto"/>
                <w:sz w:val="21"/>
                <w:szCs w:val="21"/>
                <w:highlight w:val="none"/>
                <w:lang w:val="en-US" w:eastAsia="zh-CN"/>
              </w:rPr>
              <w:fldChar w:fldCharType="end"/>
            </w:r>
          </w:p>
          <w:p>
            <w:pPr>
              <w:pStyle w:val="7"/>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8.其他要求：投标人</w:t>
            </w:r>
            <w:r>
              <w:rPr>
                <w:rFonts w:hint="eastAsia" w:ascii="宋体" w:hAnsi="宋体" w:cs="宋体"/>
                <w:b/>
                <w:bCs/>
                <w:color w:val="auto"/>
                <w:kern w:val="2"/>
                <w:sz w:val="21"/>
                <w:szCs w:val="21"/>
                <w:highlight w:val="none"/>
                <w:lang w:val="en-US" w:eastAsia="zh-CN" w:bidi="ar-SA"/>
              </w:rPr>
              <w:t>必须是附表3《</w:t>
            </w:r>
            <w:r>
              <w:rPr>
                <w:rFonts w:hint="eastAsia" w:ascii="宋体" w:hAnsi="宋体" w:eastAsia="宋体" w:cs="宋体"/>
                <w:b/>
                <w:bCs/>
                <w:color w:val="auto"/>
                <w:kern w:val="2"/>
                <w:sz w:val="21"/>
                <w:szCs w:val="21"/>
                <w:highlight w:val="none"/>
                <w:lang w:val="en-US" w:eastAsia="zh-CN" w:bidi="ar-SA"/>
              </w:rPr>
              <w:t>中国中铁2019-2021年度电线电缆准入供应商名录</w:t>
            </w:r>
            <w:r>
              <w:rPr>
                <w:rFonts w:hint="eastAsia" w:ascii="宋体" w:hAnsi="宋体" w:cs="宋体"/>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内</w:t>
            </w:r>
            <w:r>
              <w:rPr>
                <w:rFonts w:hint="eastAsia" w:ascii="宋体" w:hAnsi="宋体" w:cs="宋体"/>
                <w:b/>
                <w:bCs/>
                <w:color w:val="auto"/>
                <w:kern w:val="2"/>
                <w:sz w:val="21"/>
                <w:szCs w:val="21"/>
                <w:highlight w:val="none"/>
                <w:lang w:val="en-US" w:eastAsia="zh-CN" w:bidi="ar-SA"/>
              </w:rPr>
              <w:t>的企业，且</w:t>
            </w:r>
            <w:r>
              <w:rPr>
                <w:rFonts w:hint="eastAsia" w:ascii="宋体" w:hAnsi="宋体" w:eastAsia="宋体" w:cs="宋体"/>
                <w:b/>
                <w:bCs/>
                <w:color w:val="auto"/>
                <w:kern w:val="2"/>
                <w:sz w:val="21"/>
                <w:szCs w:val="21"/>
                <w:highlight w:val="none"/>
                <w:lang w:val="en-US" w:eastAsia="zh-CN" w:bidi="ar-SA"/>
              </w:rPr>
              <w:t>具备提供延伸服务的能力，具备跨地域的供应、集散能力。</w:t>
            </w:r>
            <w:bookmarkStart w:id="11" w:name="_GoBack"/>
            <w:bookmarkEnd w:id="11"/>
          </w:p>
          <w:p>
            <w:pPr>
              <w:pStyle w:val="7"/>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422" w:firstLineChars="200"/>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rPr>
              <w:t>上述资料应按要求加盖投标单位鲜章，与投标文件其他部分资料一并</w:t>
            </w:r>
            <w:r>
              <w:rPr>
                <w:rFonts w:hint="eastAsia" w:ascii="宋体" w:hAnsi="宋体" w:cs="宋体"/>
                <w:b/>
                <w:bCs w:val="0"/>
                <w:color w:val="auto"/>
                <w:kern w:val="0"/>
                <w:sz w:val="21"/>
                <w:szCs w:val="21"/>
                <w:highlight w:val="none"/>
                <w:lang w:val="en-US" w:eastAsia="zh-CN"/>
              </w:rPr>
              <w:t>编辑</w:t>
            </w:r>
            <w:r>
              <w:rPr>
                <w:rFonts w:hint="eastAsia" w:ascii="宋体" w:hAnsi="宋体" w:eastAsia="宋体" w:cs="宋体"/>
                <w:b/>
                <w:bCs w:val="0"/>
                <w:color w:val="auto"/>
                <w:kern w:val="0"/>
                <w:sz w:val="21"/>
                <w:szCs w:val="21"/>
                <w:highlight w:val="none"/>
                <w:lang w:val="en-US" w:eastAsia="zh-CN"/>
              </w:rPr>
              <w:t>在投标文件正本内</w:t>
            </w:r>
            <w:r>
              <w:rPr>
                <w:rFonts w:hint="eastAsia" w:ascii="宋体" w:hAnsi="宋体" w:cs="宋体"/>
                <w:b/>
                <w:bCs w:val="0"/>
                <w:color w:val="auto"/>
                <w:kern w:val="0"/>
                <w:sz w:val="21"/>
                <w:szCs w:val="21"/>
                <w:highlight w:val="none"/>
                <w:lang w:val="en-US" w:eastAsia="zh-CN"/>
              </w:rPr>
              <w:t>，否则视为无效</w:t>
            </w:r>
            <w:r>
              <w:rPr>
                <w:rFonts w:hint="eastAsia" w:ascii="宋体" w:hAnsi="宋体" w:eastAsia="宋体" w:cs="宋体"/>
                <w:b/>
                <w:bCs w:val="0"/>
                <w:color w:val="auto"/>
                <w:kern w:val="0"/>
                <w:sz w:val="21"/>
                <w:szCs w:val="21"/>
                <w:highlight w:val="none"/>
                <w:lang w:val="en-US" w:eastAsia="zh-CN"/>
              </w:rPr>
              <w:t>。</w:t>
            </w:r>
          </w:p>
        </w:tc>
      </w:tr>
    </w:tbl>
    <w:p>
      <w:pPr>
        <w:pStyle w:val="5"/>
        <w:rPr>
          <w:color w:val="auto"/>
          <w:highlight w:val="none"/>
        </w:rPr>
        <w:sectPr>
          <w:pgSz w:w="16838" w:h="11905" w:orient="landscape"/>
          <w:pgMar w:top="1083" w:right="1440" w:bottom="1083" w:left="1440" w:header="850" w:footer="992" w:gutter="0"/>
          <w:pgBorders>
            <w:top w:val="none" w:sz="0" w:space="0"/>
            <w:left w:val="none" w:sz="0" w:space="0"/>
            <w:bottom w:val="none" w:sz="0" w:space="0"/>
            <w:right w:val="none" w:sz="0" w:space="0"/>
          </w:pgBorders>
          <w:pgNumType w:fmt="decimal"/>
          <w:cols w:space="720" w:num="1"/>
          <w:rtlGutter w:val="0"/>
          <w:docGrid w:type="lines" w:linePitch="324" w:charSpace="0"/>
        </w:sectPr>
      </w:pPr>
    </w:p>
    <w:p>
      <w:pPr>
        <w:widowControl/>
        <w:spacing w:line="240" w:lineRule="auto"/>
        <w:jc w:val="left"/>
        <w:rPr>
          <w:rFonts w:hint="eastAsia" w:ascii="宋体" w:hAnsi="宋体" w:cs="等线 Light"/>
          <w:b/>
          <w:bCs/>
          <w:color w:val="auto"/>
          <w:sz w:val="24"/>
          <w:szCs w:val="28"/>
          <w:highlight w:val="none"/>
        </w:rPr>
      </w:pPr>
      <w:r>
        <w:rPr>
          <w:rFonts w:hint="eastAsia" w:ascii="宋体" w:hAnsi="宋体" w:cs="等线 Light"/>
          <w:color w:val="auto"/>
          <w:sz w:val="24"/>
          <w:szCs w:val="28"/>
          <w:highlight w:val="none"/>
        </w:rPr>
        <w:t>附</w:t>
      </w:r>
      <w:r>
        <w:rPr>
          <w:rFonts w:hint="eastAsia" w:ascii="宋体" w:hAnsi="宋体" w:cs="等线 Light"/>
          <w:color w:val="auto"/>
          <w:sz w:val="24"/>
          <w:szCs w:val="28"/>
          <w:highlight w:val="none"/>
          <w:lang w:val="en-US" w:eastAsia="zh-CN"/>
        </w:rPr>
        <w:t>表3</w:t>
      </w:r>
      <w:r>
        <w:rPr>
          <w:rFonts w:hint="eastAsia" w:ascii="宋体" w:hAnsi="宋体" w:cs="等线 Light"/>
          <w:color w:val="auto"/>
          <w:sz w:val="24"/>
          <w:szCs w:val="28"/>
          <w:highlight w:val="none"/>
        </w:rPr>
        <w:t>.</w:t>
      </w:r>
      <w:r>
        <w:rPr>
          <w:rFonts w:hint="eastAsia" w:ascii="宋体" w:hAnsi="宋体" w:cs="等线 Light"/>
          <w:color w:val="auto"/>
          <w:sz w:val="24"/>
          <w:szCs w:val="28"/>
          <w:highlight w:val="none"/>
          <w:lang w:val="en-US" w:eastAsia="zh-CN"/>
        </w:rPr>
        <w:t xml:space="preserve">     </w:t>
      </w:r>
      <w:r>
        <w:rPr>
          <w:rFonts w:hint="eastAsia" w:ascii="宋体" w:hAnsi="宋体" w:cs="等线 Light"/>
          <w:b/>
          <w:bCs/>
          <w:color w:val="auto"/>
          <w:sz w:val="24"/>
          <w:szCs w:val="28"/>
          <w:highlight w:val="none"/>
          <w:lang w:val="en-US" w:eastAsia="zh-CN"/>
        </w:rPr>
        <w:t xml:space="preserve">     </w:t>
      </w:r>
      <w:r>
        <w:rPr>
          <w:rFonts w:hint="eastAsia" w:ascii="宋体" w:hAnsi="宋体" w:cs="等线 Light"/>
          <w:b/>
          <w:bCs/>
          <w:color w:val="auto"/>
          <w:sz w:val="24"/>
          <w:szCs w:val="28"/>
          <w:highlight w:val="none"/>
        </w:rPr>
        <w:t>中国中铁2019-2021年度电线电缆准入供应商名录</w:t>
      </w:r>
    </w:p>
    <w:tbl>
      <w:tblPr>
        <w:tblStyle w:val="9"/>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000"/>
        <w:gridCol w:w="525"/>
        <w:gridCol w:w="2850"/>
        <w:gridCol w:w="540"/>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jc w:val="center"/>
        </w:trPr>
        <w:tc>
          <w:tcPr>
            <w:tcW w:w="560"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center"/>
              <w:textAlignment w:val="auto"/>
              <w:rPr>
                <w:rFonts w:hint="default" w:ascii="宋体" w:hAnsi="宋体" w:cs="等线 Light"/>
                <w:b w:val="0"/>
                <w:bCs/>
                <w:color w:val="auto"/>
                <w:sz w:val="24"/>
                <w:szCs w:val="24"/>
                <w:highlight w:val="none"/>
                <w:vertAlign w:val="baseline"/>
                <w:lang w:val="en-US" w:eastAsia="zh-CN"/>
              </w:rPr>
            </w:pPr>
            <w:r>
              <w:rPr>
                <w:rFonts w:hint="eastAsia" w:ascii="宋体" w:hAnsi="宋体" w:cs="等线 Light"/>
                <w:b w:val="0"/>
                <w:bCs/>
                <w:color w:val="auto"/>
                <w:sz w:val="24"/>
                <w:szCs w:val="24"/>
                <w:highlight w:val="none"/>
                <w:vertAlign w:val="baseline"/>
                <w:lang w:val="en-US" w:eastAsia="zh-CN"/>
              </w:rPr>
              <w:t>序号</w:t>
            </w:r>
          </w:p>
        </w:tc>
        <w:tc>
          <w:tcPr>
            <w:tcW w:w="3000"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center"/>
              <w:textAlignment w:val="auto"/>
              <w:rPr>
                <w:rFonts w:hint="default" w:ascii="宋体" w:hAnsi="宋体" w:cs="等线 Light"/>
                <w:b w:val="0"/>
                <w:bCs/>
                <w:color w:val="auto"/>
                <w:sz w:val="24"/>
                <w:szCs w:val="24"/>
                <w:highlight w:val="none"/>
                <w:vertAlign w:val="baseline"/>
                <w:lang w:val="en-US" w:eastAsia="zh-CN"/>
              </w:rPr>
            </w:pPr>
            <w:r>
              <w:rPr>
                <w:rFonts w:hint="eastAsia" w:ascii="宋体" w:hAnsi="宋体" w:cs="等线 Light"/>
                <w:b w:val="0"/>
                <w:bCs/>
                <w:color w:val="auto"/>
                <w:sz w:val="24"/>
                <w:szCs w:val="24"/>
                <w:highlight w:val="none"/>
                <w:vertAlign w:val="baseline"/>
                <w:lang w:val="en-US" w:eastAsia="zh-CN"/>
              </w:rPr>
              <w:t>企业名称</w:t>
            </w:r>
          </w:p>
        </w:tc>
        <w:tc>
          <w:tcPr>
            <w:tcW w:w="52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center"/>
              <w:textAlignment w:val="auto"/>
              <w:rPr>
                <w:rFonts w:hint="eastAsia" w:ascii="宋体" w:hAnsi="宋体" w:cs="等线 Light"/>
                <w:b w:val="0"/>
                <w:bCs/>
                <w:color w:val="auto"/>
                <w:sz w:val="24"/>
                <w:szCs w:val="24"/>
                <w:highlight w:val="none"/>
                <w:vertAlign w:val="baseline"/>
                <w:lang w:eastAsia="zh-CN"/>
              </w:rPr>
            </w:pPr>
            <w:r>
              <w:rPr>
                <w:rFonts w:hint="eastAsia" w:ascii="宋体" w:hAnsi="宋体" w:cs="等线 Light"/>
                <w:b w:val="0"/>
                <w:bCs/>
                <w:color w:val="auto"/>
                <w:sz w:val="24"/>
                <w:szCs w:val="24"/>
                <w:highlight w:val="none"/>
                <w:vertAlign w:val="baseline"/>
                <w:lang w:val="en-US" w:eastAsia="zh-CN"/>
              </w:rPr>
              <w:t>序号</w:t>
            </w:r>
          </w:p>
        </w:tc>
        <w:tc>
          <w:tcPr>
            <w:tcW w:w="2850"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center"/>
              <w:textAlignment w:val="auto"/>
              <w:rPr>
                <w:rFonts w:hint="eastAsia" w:ascii="宋体" w:hAnsi="宋体" w:cs="等线 Light"/>
                <w:b w:val="0"/>
                <w:bCs/>
                <w:color w:val="auto"/>
                <w:sz w:val="24"/>
                <w:szCs w:val="24"/>
                <w:highlight w:val="none"/>
                <w:vertAlign w:val="baseline"/>
                <w:lang w:eastAsia="zh-CN"/>
              </w:rPr>
            </w:pPr>
            <w:r>
              <w:rPr>
                <w:rFonts w:hint="eastAsia" w:ascii="宋体" w:hAnsi="宋体" w:cs="等线 Light"/>
                <w:b w:val="0"/>
                <w:bCs/>
                <w:color w:val="auto"/>
                <w:sz w:val="24"/>
                <w:szCs w:val="24"/>
                <w:highlight w:val="none"/>
                <w:vertAlign w:val="baseline"/>
                <w:lang w:val="en-US" w:eastAsia="zh-CN"/>
              </w:rPr>
              <w:t>企业名称</w:t>
            </w:r>
          </w:p>
        </w:tc>
        <w:tc>
          <w:tcPr>
            <w:tcW w:w="540"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center"/>
              <w:textAlignment w:val="auto"/>
              <w:rPr>
                <w:rFonts w:hint="eastAsia" w:ascii="宋体" w:hAnsi="宋体" w:cs="等线 Light"/>
                <w:b w:val="0"/>
                <w:bCs/>
                <w:color w:val="auto"/>
                <w:sz w:val="24"/>
                <w:szCs w:val="24"/>
                <w:highlight w:val="none"/>
                <w:vertAlign w:val="baseline"/>
                <w:lang w:eastAsia="zh-CN"/>
              </w:rPr>
            </w:pPr>
            <w:r>
              <w:rPr>
                <w:rFonts w:hint="eastAsia" w:ascii="宋体" w:hAnsi="宋体" w:cs="等线 Light"/>
                <w:b w:val="0"/>
                <w:bCs/>
                <w:color w:val="auto"/>
                <w:sz w:val="24"/>
                <w:szCs w:val="24"/>
                <w:highlight w:val="none"/>
                <w:vertAlign w:val="baseline"/>
                <w:lang w:val="en-US" w:eastAsia="zh-CN"/>
              </w:rPr>
              <w:t>序号</w:t>
            </w:r>
          </w:p>
        </w:tc>
        <w:tc>
          <w:tcPr>
            <w:tcW w:w="286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center"/>
              <w:textAlignment w:val="auto"/>
              <w:rPr>
                <w:rFonts w:hint="eastAsia" w:ascii="宋体" w:hAnsi="宋体" w:cs="等线 Light"/>
                <w:b w:val="0"/>
                <w:bCs/>
                <w:color w:val="auto"/>
                <w:sz w:val="24"/>
                <w:szCs w:val="24"/>
                <w:highlight w:val="none"/>
                <w:vertAlign w:val="baseline"/>
                <w:lang w:eastAsia="zh-CN"/>
              </w:rPr>
            </w:pPr>
            <w:r>
              <w:rPr>
                <w:rFonts w:hint="eastAsia" w:ascii="宋体" w:hAnsi="宋体" w:cs="等线 Light"/>
                <w:b w:val="0"/>
                <w:bCs/>
                <w:color w:val="auto"/>
                <w:sz w:val="24"/>
                <w:szCs w:val="24"/>
                <w:highlight w:val="none"/>
                <w:vertAlign w:val="baseline"/>
                <w:lang w:val="en-US" w:eastAsia="zh-CN"/>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杭州电缆股份有限公司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24</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安徽蒙特尔电缆集团有限公司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47</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航天电工集团有限公司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远东电缆有限公司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25</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江苏亨通电力电缆有限公司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48</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常丰线缆有限公司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无锡江南电缆有限公司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26</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江苏中煤电缆有限公司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49</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天马远东电缆有限公司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浙江万马股份有限公司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27</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青岛汉缆股份有限公司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50</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特变电工(德阳)电缆股份有限公司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山东泉兴银桥光电缆科技发展有限公司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28</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安徽华菱电缆集团有限公司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51</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北京天成瑞源电缆有限公司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宝胜科技创新股份有限公司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29</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山东阳谷电缆集团有限公司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52</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新亚特电缆股份有限公司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金杯电工衡阳电缆有限公司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30</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江苏东强股份有限公司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53</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安徽太平洋电缆股份有限公司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8</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强仁线缆有限公司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31</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江苏长峰电缆有限公司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54</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江苏江扬电缆有限公司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9</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尚纬股份有限公司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32</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四川新蓉电缆有限责任公司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55</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安徽复兴电缆集团有限公司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宁波东方电缆股份有限公司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苏州市凯鼎特种电缆有限公司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56</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山东华凌电缆有限公司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上海起帆电缆股份有限公司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34</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通鼎互联信息股份有限公司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57</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山东华能线缆有限公司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无锡市明珠电缆有限公司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35</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河南豫欣电气科技有限公司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58</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上海南大集团有限公司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天环线缆集团有限公司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36</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江苏中天科技股份有限公司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59</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云南多宝电缆集团股份有限公司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西部电缆股份有限公司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37</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中国人民解放军第六四零九工厂抚顺电缆厂</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60</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超达电线电缆有限公司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西隆电缆有限公司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38</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久盛电气股份有限公司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61</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湖南华菱线缆股份有限公司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上海市高桥电缆厂有限公司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39</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江苏双登电力科技有限公司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62</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安徽新科电缆集团股份有限公司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特变电工山东鲁能泰山电缆有限公司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40</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鲁能泰山曲阜电缆有限公司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63</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福建南平太阳电缆股份有限公司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18</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广东新亚光电缆实业有限公司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41</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益跃宏电缆有限公司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64</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安徽渡江电缆集团有限公司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19</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江苏上上电缆集团有限公司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42</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河北金力电缆有限公司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65</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辽宁中兴线缆有限公司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新宝丰电线电缆有限公司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京缆电缆有限公司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66</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昆明电缆集团股份有限公司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锐洋集团东北电缆有限公司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44</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宁波球冠电缆股份有限公司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67</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安徽特力电缆有限公司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国运电缆(天津)有限公司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45</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兰州众邦电线电缆集团有限公司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68</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河北金桥线缆有限公司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恒飞电缆股份有限公司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46</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湖北航天电缆有限公司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69</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中辰电缆股份有限公司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70</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湘潭市电线电缆有限公司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河北万方线缆集团有限公司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116</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亚泰线缆有限公司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河北华通线缆集团股份有限公司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94</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乐星红旗电缆（湖北）有限公司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117</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湖南神通光电科技有限责任公司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安徽华宇电缆集团有限公司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95</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上海朗达电缆(集团)有限公司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118</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湖北洪乐电缆股份有限公司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成都康达电缆有限公司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96</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河南胜华电缆集团有限公司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119</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昆明明超电缆有限公司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明达线缆集团有限公司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97</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焦作铁路电缆有限责任公司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120</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沈阳电力电缆厂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盛新线缆有限公司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98</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安徽华能电缆集团有限公司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val="en-US" w:eastAsia="zh-CN"/>
              </w:rPr>
            </w:pPr>
            <w:r>
              <w:rPr>
                <w:rFonts w:hint="eastAsia" w:ascii="宋体" w:hAnsi="宋体" w:eastAsia="宋体" w:cs="宋体"/>
                <w:color w:val="auto"/>
                <w:sz w:val="20"/>
                <w:szCs w:val="20"/>
                <w:highlight w:val="none"/>
              </w:rPr>
              <w:t>76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人民电缆集团有限公司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99</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特盛电缆有限公司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77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扬州曙光电缆股份有限公司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100</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特变电工股份有限公司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78</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华旗线缆有限公司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101</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江苏宝安电缆有限公司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79</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西安西电光电缆有限责任公司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102</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宜昌信通电缆有限公司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80</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焦作汉河电缆有限公司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北京市天华伟业线缆有限公司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河北弘飞线缆集团有限公司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104</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云南云缆电缆(集团)有限公司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上海浦东电线电缆（集团）有限公司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105</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江苏联通智能控制技术股份有限公司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江苏赛德电气有限公司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106</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飞洲集团有限公司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浙江正泰电缆有限公司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107</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亚星线缆集团有限公司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江苏港通电缆有限公司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108</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远程电缆股份有限公司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成都德源电缆有限公司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109</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源鑫线缆有限公司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建业电缆集团有限公司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110</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沈阳新河电缆有限公司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88</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重庆渝丰电线电缆有限公司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111</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四川金力电缆集团有限公司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89</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山西榆次长城电缆厂</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112</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天津市万博线缆有限公司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90</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金世纪电缆集团有限公司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众鑫电缆有限公司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广州岭南电缆股份有限公司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114</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江苏耘和线缆有限公司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5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92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浙江元通线缆制造有限公司</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115</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color w:val="auto"/>
                <w:sz w:val="20"/>
                <w:szCs w:val="20"/>
                <w:highlight w:val="none"/>
              </w:rPr>
              <w:t>昆明昆宝电线电缆制造有限公司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0"/>
                <w:szCs w:val="20"/>
                <w:highlight w:val="none"/>
                <w:vertAlign w:val="baseline"/>
                <w:lang w:eastAsia="zh-CN"/>
              </w:rPr>
            </w:pPr>
            <w:r>
              <w:rPr>
                <w:rFonts w:hint="eastAsia" w:ascii="宋体" w:hAnsi="宋体" w:eastAsia="宋体" w:cs="宋体"/>
                <w:b w:val="0"/>
                <w:bCs/>
                <w:color w:val="auto"/>
                <w:sz w:val="20"/>
                <w:szCs w:val="20"/>
                <w:highlight w:val="none"/>
                <w:vertAlign w:val="baseline"/>
                <w:lang w:eastAsia="zh-CN"/>
              </w:rPr>
              <w:t>—</w:t>
            </w:r>
          </w:p>
        </w:tc>
      </w:tr>
    </w:tbl>
    <w:p>
      <w:pPr>
        <w:keepNext w:val="0"/>
        <w:keepLines w:val="0"/>
        <w:pageBreakBefore w:val="0"/>
        <w:widowControl w:val="0"/>
        <w:tabs>
          <w:tab w:val="left" w:pos="1260"/>
        </w:tabs>
        <w:kinsoku/>
        <w:wordWrap/>
        <w:overflowPunct/>
        <w:topLinePunct w:val="0"/>
        <w:autoSpaceDE/>
        <w:autoSpaceDN/>
        <w:bidi w:val="0"/>
        <w:adjustRightInd/>
        <w:snapToGrid/>
        <w:spacing w:line="240" w:lineRule="auto"/>
        <w:jc w:val="both"/>
        <w:textAlignment w:val="auto"/>
        <w:rPr>
          <w:rFonts w:hint="default" w:ascii="宋体" w:hAnsi="宋体" w:eastAsia="宋体" w:cs="等线 Light"/>
          <w:b w:val="0"/>
          <w:bCs/>
          <w:color w:val="auto"/>
          <w:sz w:val="24"/>
          <w:szCs w:val="24"/>
          <w:highlight w:val="none"/>
          <w:lang w:val="en-US" w:eastAsia="zh-CN"/>
        </w:rPr>
      </w:pPr>
      <w:r>
        <w:rPr>
          <w:rFonts w:hint="eastAsia" w:ascii="宋体" w:hAnsi="宋体" w:cs="等线 Light"/>
          <w:b w:val="0"/>
          <w:bCs/>
          <w:color w:val="auto"/>
          <w:sz w:val="24"/>
          <w:szCs w:val="24"/>
          <w:highlight w:val="none"/>
          <w:lang w:eastAsia="zh-CN"/>
        </w:rPr>
        <w:br w:type="page"/>
      </w:r>
      <w:r>
        <w:rPr>
          <w:rFonts w:hint="eastAsia" w:ascii="宋体" w:hAnsi="宋体" w:cs="等线 Light"/>
          <w:b w:val="0"/>
          <w:bCs/>
          <w:color w:val="auto"/>
          <w:sz w:val="24"/>
          <w:szCs w:val="24"/>
          <w:highlight w:val="none"/>
          <w:lang w:eastAsia="zh-CN"/>
        </w:rPr>
        <w:t>附</w:t>
      </w:r>
      <w:r>
        <w:rPr>
          <w:rFonts w:hint="eastAsia" w:ascii="宋体" w:hAnsi="宋体" w:cs="等线 Light"/>
          <w:b w:val="0"/>
          <w:bCs/>
          <w:color w:val="auto"/>
          <w:sz w:val="24"/>
          <w:szCs w:val="24"/>
          <w:highlight w:val="none"/>
          <w:lang w:val="en-US" w:eastAsia="zh-CN"/>
        </w:rPr>
        <w:t>表4.投标申请表</w:t>
      </w:r>
    </w:p>
    <w:p>
      <w:pPr>
        <w:tabs>
          <w:tab w:val="left" w:pos="1260"/>
        </w:tabs>
        <w:spacing w:after="240"/>
        <w:jc w:val="center"/>
        <w:rPr>
          <w:rFonts w:ascii="宋体" w:hAnsi="宋体" w:cs="等线 Light"/>
          <w:b/>
          <w:color w:val="auto"/>
          <w:sz w:val="28"/>
          <w:szCs w:val="28"/>
          <w:highlight w:val="none"/>
        </w:rPr>
      </w:pPr>
      <w:r>
        <w:rPr>
          <w:rFonts w:hint="eastAsia" w:ascii="宋体" w:hAnsi="宋体" w:cs="等线 Light"/>
          <w:b/>
          <w:color w:val="auto"/>
          <w:sz w:val="28"/>
          <w:szCs w:val="28"/>
          <w:highlight w:val="none"/>
        </w:rPr>
        <w:t xml:space="preserve">投 </w:t>
      </w:r>
      <w:r>
        <w:rPr>
          <w:rFonts w:hint="eastAsia" w:ascii="宋体" w:hAnsi="宋体" w:cs="微软雅黑"/>
          <w:b/>
          <w:color w:val="auto"/>
          <w:sz w:val="28"/>
          <w:szCs w:val="28"/>
          <w:highlight w:val="none"/>
        </w:rPr>
        <w:t>标</w:t>
      </w:r>
      <w:r>
        <w:rPr>
          <w:rFonts w:hint="eastAsia" w:ascii="宋体" w:hAnsi="宋体" w:cs="等线 Light"/>
          <w:b/>
          <w:color w:val="auto"/>
          <w:sz w:val="28"/>
          <w:szCs w:val="28"/>
          <w:highlight w:val="none"/>
        </w:rPr>
        <w:t xml:space="preserve"> 申 </w:t>
      </w:r>
      <w:r>
        <w:rPr>
          <w:rFonts w:hint="eastAsia" w:ascii="宋体" w:hAnsi="宋体" w:cs="微软雅黑"/>
          <w:b/>
          <w:color w:val="auto"/>
          <w:sz w:val="28"/>
          <w:szCs w:val="28"/>
          <w:highlight w:val="none"/>
        </w:rPr>
        <w:t>请</w:t>
      </w:r>
      <w:r>
        <w:rPr>
          <w:rFonts w:hint="eastAsia" w:ascii="宋体" w:hAnsi="宋体" w:cs="等线 Light"/>
          <w:b/>
          <w:color w:val="auto"/>
          <w:sz w:val="28"/>
          <w:szCs w:val="28"/>
          <w:highlight w:val="none"/>
        </w:rPr>
        <w:t xml:space="preserve"> 表</w:t>
      </w:r>
    </w:p>
    <w:p>
      <w:pPr>
        <w:pStyle w:val="7"/>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招标编号：</w:t>
      </w:r>
      <w:r>
        <w:rPr>
          <w:rFonts w:hint="eastAsia" w:ascii="宋体" w:hAnsi="宋体" w:cs="宋体"/>
          <w:color w:val="auto"/>
          <w:highlight w:val="none"/>
          <w:lang w:val="en-US" w:eastAsia="zh-CN"/>
        </w:rPr>
        <w:t>CRECSH-WZCG（2020）70号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投</w:t>
            </w:r>
            <w:r>
              <w:rPr>
                <w:rFonts w:hint="eastAsia" w:ascii="宋体" w:hAnsi="宋体" w:cs="微软雅黑"/>
                <w:color w:val="auto"/>
                <w:kern w:val="0"/>
                <w:sz w:val="22"/>
                <w:szCs w:val="20"/>
                <w:highlight w:val="none"/>
              </w:rPr>
              <w:t>标项</w:t>
            </w:r>
            <w:r>
              <w:rPr>
                <w:rFonts w:hint="eastAsia" w:ascii="宋体" w:hAnsi="宋体" w:cs="Malgun Gothic"/>
                <w:color w:val="auto"/>
                <w:kern w:val="0"/>
                <w:sz w:val="22"/>
                <w:szCs w:val="20"/>
                <w:highlight w:val="none"/>
              </w:rPr>
              <w:t>目名</w:t>
            </w:r>
            <w:r>
              <w:rPr>
                <w:rFonts w:hint="eastAsia" w:ascii="宋体" w:hAnsi="宋体" w:cs="微软雅黑"/>
                <w:color w:val="auto"/>
                <w:kern w:val="0"/>
                <w:sz w:val="22"/>
                <w:szCs w:val="20"/>
                <w:highlight w:val="none"/>
              </w:rPr>
              <w:t>称</w:t>
            </w:r>
          </w:p>
        </w:tc>
        <w:tc>
          <w:tcPr>
            <w:tcW w:w="66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等线 Light"/>
                <w:color w:val="auto"/>
                <w:kern w:val="0"/>
                <w:sz w:val="22"/>
                <w:szCs w:val="20"/>
                <w:highlight w:val="none"/>
                <w:lang w:eastAsia="zh-CN"/>
              </w:rPr>
            </w:pPr>
            <w:r>
              <w:rPr>
                <w:rFonts w:hint="eastAsia" w:ascii="宋体" w:hAnsi="宋体" w:eastAsia="宋体" w:cs="等线 Light"/>
                <w:color w:val="auto"/>
                <w:kern w:val="0"/>
                <w:sz w:val="22"/>
                <w:szCs w:val="20"/>
                <w:highlight w:val="none"/>
                <w:lang w:eastAsia="zh-CN"/>
              </w:rPr>
              <w:t>中铁上海工程局</w:t>
            </w:r>
            <w:r>
              <w:rPr>
                <w:rFonts w:hint="eastAsia" w:ascii="宋体" w:hAnsi="宋体" w:cs="等线 Light"/>
                <w:color w:val="auto"/>
                <w:kern w:val="0"/>
                <w:sz w:val="22"/>
                <w:szCs w:val="20"/>
                <w:highlight w:val="none"/>
                <w:lang w:eastAsia="zh-CN"/>
              </w:rPr>
              <w:t>银川市第一</w:t>
            </w:r>
            <w:r>
              <w:rPr>
                <w:rFonts w:hint="eastAsia" w:ascii="宋体" w:hAnsi="宋体" w:eastAsia="宋体" w:cs="等线 Light"/>
                <w:color w:val="auto"/>
                <w:kern w:val="0"/>
                <w:sz w:val="22"/>
                <w:szCs w:val="20"/>
                <w:highlight w:val="none"/>
                <w:lang w:eastAsia="zh-CN"/>
              </w:rPr>
              <w:t>再生水厂项目</w:t>
            </w:r>
          </w:p>
          <w:p>
            <w:pPr>
              <w:widowControl/>
              <w:jc w:val="center"/>
              <w:rPr>
                <w:rFonts w:hint="eastAsia" w:ascii="宋体" w:hAnsi="宋体" w:eastAsia="宋体" w:cs="等线 Light"/>
                <w:color w:val="auto"/>
                <w:kern w:val="0"/>
                <w:sz w:val="22"/>
                <w:szCs w:val="20"/>
                <w:highlight w:val="none"/>
                <w:lang w:eastAsia="zh-CN"/>
              </w:rPr>
            </w:pPr>
            <w:r>
              <w:rPr>
                <w:rFonts w:hint="eastAsia" w:ascii="宋体" w:hAnsi="宋体" w:eastAsia="宋体" w:cs="等线 Light"/>
                <w:color w:val="auto"/>
                <w:kern w:val="0"/>
                <w:sz w:val="22"/>
                <w:szCs w:val="20"/>
                <w:highlight w:val="none"/>
                <w:lang w:eastAsia="zh-CN"/>
              </w:rPr>
              <w:t>电线电缆采购招标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投</w:t>
            </w:r>
            <w:r>
              <w:rPr>
                <w:rFonts w:hint="eastAsia" w:ascii="宋体" w:hAnsi="宋体" w:cs="微软雅黑"/>
                <w:color w:val="auto"/>
                <w:kern w:val="0"/>
                <w:sz w:val="22"/>
                <w:szCs w:val="20"/>
                <w:highlight w:val="none"/>
              </w:rPr>
              <w:t>标</w:t>
            </w:r>
            <w:r>
              <w:rPr>
                <w:rFonts w:hint="eastAsia" w:ascii="宋体" w:hAnsi="宋体" w:cs="Malgun Gothic"/>
                <w:color w:val="auto"/>
                <w:kern w:val="0"/>
                <w:sz w:val="22"/>
                <w:szCs w:val="20"/>
                <w:highlight w:val="none"/>
              </w:rPr>
              <w:t>人名</w:t>
            </w:r>
            <w:r>
              <w:rPr>
                <w:rFonts w:hint="eastAsia" w:ascii="宋体" w:hAnsi="宋体" w:cs="微软雅黑"/>
                <w:color w:val="auto"/>
                <w:kern w:val="0"/>
                <w:sz w:val="22"/>
                <w:szCs w:val="20"/>
                <w:highlight w:val="none"/>
              </w:rPr>
              <w:t>称</w:t>
            </w:r>
          </w:p>
        </w:tc>
        <w:tc>
          <w:tcPr>
            <w:tcW w:w="668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投</w:t>
            </w:r>
            <w:r>
              <w:rPr>
                <w:rFonts w:hint="eastAsia" w:ascii="宋体" w:hAnsi="宋体" w:cs="微软雅黑"/>
                <w:color w:val="auto"/>
                <w:kern w:val="0"/>
                <w:sz w:val="22"/>
                <w:szCs w:val="20"/>
                <w:highlight w:val="none"/>
              </w:rPr>
              <w:t>标</w:t>
            </w:r>
            <w:r>
              <w:rPr>
                <w:rFonts w:hint="eastAsia" w:ascii="宋体" w:hAnsi="宋体" w:cs="Malgun Gothic"/>
                <w:color w:val="auto"/>
                <w:kern w:val="0"/>
                <w:sz w:val="22"/>
                <w:szCs w:val="20"/>
                <w:highlight w:val="none"/>
              </w:rPr>
              <w:t>人</w:t>
            </w:r>
            <w:r>
              <w:rPr>
                <w:rFonts w:hint="eastAsia" w:ascii="宋体" w:hAnsi="宋体" w:cs="微软雅黑"/>
                <w:color w:val="auto"/>
                <w:kern w:val="0"/>
                <w:sz w:val="22"/>
                <w:szCs w:val="20"/>
                <w:highlight w:val="none"/>
              </w:rPr>
              <w:t>联</w:t>
            </w:r>
            <w:r>
              <w:rPr>
                <w:rFonts w:hint="eastAsia" w:ascii="宋体" w:hAnsi="宋体" w:cs="Malgun Gothic"/>
                <w:color w:val="auto"/>
                <w:kern w:val="0"/>
                <w:sz w:val="22"/>
                <w:szCs w:val="20"/>
                <w:highlight w:val="none"/>
              </w:rPr>
              <w:t>系地址</w:t>
            </w:r>
          </w:p>
        </w:tc>
        <w:tc>
          <w:tcPr>
            <w:tcW w:w="668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法定代表人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微软雅黑"/>
                <w:color w:val="auto"/>
                <w:kern w:val="0"/>
                <w:sz w:val="22"/>
                <w:szCs w:val="20"/>
                <w:highlight w:val="none"/>
              </w:rPr>
              <w:t>联</w:t>
            </w:r>
            <w:r>
              <w:rPr>
                <w:rFonts w:hint="eastAsia" w:ascii="宋体" w:hAnsi="宋体" w:cs="Malgun Gothic"/>
                <w:color w:val="auto"/>
                <w:kern w:val="0"/>
                <w:sz w:val="22"/>
                <w:szCs w:val="20"/>
                <w:highlight w:val="none"/>
              </w:rPr>
              <w:t>系</w:t>
            </w:r>
            <w:r>
              <w:rPr>
                <w:rFonts w:hint="eastAsia" w:ascii="宋体" w:hAnsi="宋体" w:cs="微软雅黑"/>
                <w:color w:val="auto"/>
                <w:kern w:val="0"/>
                <w:sz w:val="22"/>
                <w:szCs w:val="20"/>
                <w:highlight w:val="none"/>
              </w:rPr>
              <w:t>电话</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法人委托人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微软雅黑"/>
                <w:color w:val="auto"/>
                <w:kern w:val="0"/>
                <w:sz w:val="22"/>
                <w:szCs w:val="20"/>
                <w:highlight w:val="none"/>
              </w:rPr>
              <w:t>联</w:t>
            </w:r>
            <w:r>
              <w:rPr>
                <w:rFonts w:hint="eastAsia" w:ascii="宋体" w:hAnsi="宋体" w:cs="Malgun Gothic"/>
                <w:color w:val="auto"/>
                <w:kern w:val="0"/>
                <w:sz w:val="22"/>
                <w:szCs w:val="20"/>
                <w:highlight w:val="none"/>
              </w:rPr>
              <w:t>系</w:t>
            </w:r>
            <w:r>
              <w:rPr>
                <w:rFonts w:hint="eastAsia" w:ascii="宋体" w:hAnsi="宋体" w:cs="微软雅黑"/>
                <w:color w:val="auto"/>
                <w:kern w:val="0"/>
                <w:sz w:val="22"/>
                <w:szCs w:val="20"/>
                <w:highlight w:val="none"/>
              </w:rPr>
              <w:t>电话</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投</w:t>
            </w:r>
            <w:r>
              <w:rPr>
                <w:rFonts w:hint="eastAsia" w:ascii="宋体" w:hAnsi="宋体" w:cs="微软雅黑"/>
                <w:color w:val="auto"/>
                <w:kern w:val="0"/>
                <w:sz w:val="22"/>
                <w:szCs w:val="20"/>
                <w:highlight w:val="none"/>
              </w:rPr>
              <w:t>标联</w:t>
            </w:r>
            <w:r>
              <w:rPr>
                <w:rFonts w:hint="eastAsia" w:ascii="宋体" w:hAnsi="宋体" w:cs="Malgun Gothic"/>
                <w:color w:val="auto"/>
                <w:kern w:val="0"/>
                <w:sz w:val="22"/>
                <w:szCs w:val="20"/>
                <w:highlight w:val="none"/>
              </w:rPr>
              <w:t>系人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hint="eastAsia" w:ascii="宋体" w:hAnsi="宋体" w:eastAsia="宋体" w:cs="等线 Light"/>
                <w:color w:val="auto"/>
                <w:kern w:val="0"/>
                <w:sz w:val="22"/>
                <w:szCs w:val="20"/>
                <w:highlight w:val="none"/>
                <w:lang w:eastAsia="zh-CN"/>
              </w:rPr>
            </w:pPr>
            <w:r>
              <w:rPr>
                <w:rFonts w:hint="eastAsia" w:ascii="宋体" w:hAnsi="宋体" w:cs="微软雅黑"/>
                <w:color w:val="auto"/>
                <w:kern w:val="0"/>
                <w:sz w:val="22"/>
                <w:szCs w:val="20"/>
                <w:highlight w:val="none"/>
                <w:lang w:val="en-US" w:eastAsia="zh-CN"/>
              </w:rPr>
              <w:t>手机</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微软雅黑"/>
                <w:color w:val="auto"/>
                <w:kern w:val="0"/>
                <w:sz w:val="22"/>
                <w:szCs w:val="20"/>
                <w:highlight w:val="none"/>
              </w:rPr>
              <w:t>传真</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等线 Light"/>
                <w:color w:val="auto"/>
                <w:kern w:val="0"/>
                <w:sz w:val="22"/>
                <w:szCs w:val="20"/>
                <w:highlight w:val="none"/>
              </w:rPr>
            </w:pPr>
            <w:r>
              <w:rPr>
                <w:rFonts w:hint="eastAsia" w:ascii="宋体" w:hAnsi="宋体" w:cs="微软雅黑"/>
                <w:color w:val="auto"/>
                <w:kern w:val="0"/>
                <w:sz w:val="22"/>
                <w:szCs w:val="20"/>
                <w:highlight w:val="none"/>
              </w:rPr>
              <w:t>电</w:t>
            </w:r>
            <w:r>
              <w:rPr>
                <w:rFonts w:hint="eastAsia" w:ascii="宋体" w:hAnsi="宋体" w:cs="Malgun Gothic"/>
                <w:color w:val="auto"/>
                <w:kern w:val="0"/>
                <w:sz w:val="22"/>
                <w:szCs w:val="20"/>
                <w:highlight w:val="none"/>
              </w:rPr>
              <w:t>子</w:t>
            </w:r>
            <w:r>
              <w:rPr>
                <w:rFonts w:hint="eastAsia" w:ascii="宋体" w:hAnsi="宋体" w:cs="微软雅黑"/>
                <w:color w:val="auto"/>
                <w:kern w:val="0"/>
                <w:sz w:val="22"/>
                <w:szCs w:val="20"/>
                <w:highlight w:val="none"/>
              </w:rPr>
              <w:t>邮</w:t>
            </w:r>
            <w:r>
              <w:rPr>
                <w:rFonts w:hint="eastAsia" w:ascii="宋体" w:hAnsi="宋体" w:cs="Malgun Gothic"/>
                <w:color w:val="auto"/>
                <w:kern w:val="0"/>
                <w:sz w:val="22"/>
                <w:szCs w:val="20"/>
                <w:highlight w:val="none"/>
              </w:rPr>
              <w:t>箱</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26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申</w:t>
            </w:r>
            <w:r>
              <w:rPr>
                <w:rFonts w:hint="eastAsia" w:ascii="宋体" w:hAnsi="宋体" w:cs="微软雅黑"/>
                <w:color w:val="auto"/>
                <w:kern w:val="0"/>
                <w:sz w:val="22"/>
                <w:szCs w:val="20"/>
                <w:highlight w:val="none"/>
              </w:rPr>
              <w:t>请</w:t>
            </w:r>
            <w:r>
              <w:rPr>
                <w:rFonts w:hint="eastAsia" w:ascii="宋体" w:hAnsi="宋体" w:cs="Malgun Gothic"/>
                <w:color w:val="auto"/>
                <w:kern w:val="0"/>
                <w:sz w:val="22"/>
                <w:szCs w:val="20"/>
                <w:highlight w:val="none"/>
              </w:rPr>
              <w:t>投</w:t>
            </w:r>
            <w:r>
              <w:rPr>
                <w:rFonts w:hint="eastAsia" w:ascii="宋体" w:hAnsi="宋体" w:cs="微软雅黑"/>
                <w:color w:val="auto"/>
                <w:kern w:val="0"/>
                <w:sz w:val="22"/>
                <w:szCs w:val="20"/>
                <w:highlight w:val="none"/>
              </w:rPr>
              <w:t>标</w:t>
            </w:r>
            <w:r>
              <w:rPr>
                <w:rFonts w:hint="eastAsia" w:ascii="宋体" w:hAnsi="宋体" w:cs="Malgun Gothic"/>
                <w:color w:val="auto"/>
                <w:kern w:val="0"/>
                <w:sz w:val="22"/>
                <w:szCs w:val="20"/>
                <w:highlight w:val="none"/>
              </w:rPr>
              <w:t>包件及</w:t>
            </w:r>
            <w:r>
              <w:rPr>
                <w:rFonts w:hint="eastAsia" w:ascii="宋体" w:hAnsi="宋体" w:cs="微软雅黑"/>
                <w:color w:val="auto"/>
                <w:kern w:val="0"/>
                <w:sz w:val="22"/>
                <w:szCs w:val="20"/>
                <w:highlight w:val="none"/>
              </w:rPr>
              <w:t>说</w:t>
            </w:r>
            <w:r>
              <w:rPr>
                <w:rFonts w:hint="eastAsia" w:ascii="宋体" w:hAnsi="宋体" w:cs="Malgun Gothic"/>
                <w:color w:val="auto"/>
                <w:kern w:val="0"/>
                <w:sz w:val="22"/>
                <w:szCs w:val="20"/>
                <w:highlight w:val="none"/>
              </w:rPr>
              <w:t>明：</w:t>
            </w:r>
          </w:p>
          <w:p>
            <w:pPr>
              <w:widowControl/>
              <w:spacing w:line="440" w:lineRule="exact"/>
              <w:rPr>
                <w:rFonts w:ascii="宋体" w:hAnsi="宋体" w:cs="等线 Light"/>
                <w:b/>
                <w:color w:val="auto"/>
                <w:kern w:val="0"/>
                <w:sz w:val="22"/>
                <w:szCs w:val="20"/>
                <w:highlight w:val="none"/>
              </w:rPr>
            </w:pPr>
          </w:p>
          <w:p>
            <w:pPr>
              <w:widowControl/>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投</w:t>
            </w:r>
            <w:r>
              <w:rPr>
                <w:rFonts w:hint="eastAsia" w:ascii="宋体" w:hAnsi="宋体" w:cs="微软雅黑"/>
                <w:color w:val="auto"/>
                <w:kern w:val="0"/>
                <w:sz w:val="22"/>
                <w:szCs w:val="20"/>
                <w:highlight w:val="none"/>
              </w:rPr>
              <w:t>标</w:t>
            </w:r>
            <w:r>
              <w:rPr>
                <w:rFonts w:hint="eastAsia" w:ascii="宋体" w:hAnsi="宋体" w:cs="Malgun Gothic"/>
                <w:color w:val="auto"/>
                <w:kern w:val="0"/>
                <w:sz w:val="22"/>
                <w:szCs w:val="20"/>
                <w:highlight w:val="none"/>
              </w:rPr>
              <w:t>保</w:t>
            </w:r>
            <w:r>
              <w:rPr>
                <w:rFonts w:hint="eastAsia" w:ascii="宋体" w:hAnsi="宋体" w:cs="微软雅黑"/>
                <w:color w:val="auto"/>
                <w:kern w:val="0"/>
                <w:sz w:val="22"/>
                <w:szCs w:val="20"/>
                <w:highlight w:val="none"/>
              </w:rPr>
              <w:t>证</w:t>
            </w:r>
            <w:r>
              <w:rPr>
                <w:rFonts w:hint="eastAsia" w:ascii="宋体" w:hAnsi="宋体" w:cs="Malgun Gothic"/>
                <w:color w:val="auto"/>
                <w:kern w:val="0"/>
                <w:sz w:val="22"/>
                <w:szCs w:val="20"/>
                <w:highlight w:val="none"/>
              </w:rPr>
              <w:t>金形式：</w:t>
            </w:r>
            <w:r>
              <w:rPr>
                <w:rFonts w:hint="eastAsia" w:ascii="宋体" w:hAnsi="宋体" w:cs="微软雅黑"/>
                <w:color w:val="auto"/>
                <w:kern w:val="0"/>
                <w:sz w:val="22"/>
                <w:szCs w:val="20"/>
                <w:highlight w:val="none"/>
              </w:rPr>
              <w:t>银</w:t>
            </w:r>
            <w:r>
              <w:rPr>
                <w:rFonts w:hint="eastAsia" w:ascii="宋体" w:hAnsi="宋体" w:cs="Malgun Gothic"/>
                <w:color w:val="auto"/>
                <w:kern w:val="0"/>
                <w:sz w:val="22"/>
                <w:szCs w:val="20"/>
                <w:highlight w:val="none"/>
              </w:rPr>
              <w:t>行</w:t>
            </w:r>
            <w:r>
              <w:rPr>
                <w:rFonts w:hint="eastAsia" w:ascii="宋体" w:hAnsi="宋体" w:cs="微软雅黑"/>
                <w:color w:val="auto"/>
                <w:kern w:val="0"/>
                <w:sz w:val="22"/>
                <w:szCs w:val="20"/>
                <w:highlight w:val="none"/>
              </w:rPr>
              <w:t>转账</w:t>
            </w:r>
            <w:r>
              <w:rPr>
                <w:rFonts w:hint="eastAsia" w:ascii="宋体" w:hAnsi="宋体" w:cs="Malgun Gothic"/>
                <w:color w:val="auto"/>
                <w:kern w:val="0"/>
                <w:sz w:val="22"/>
                <w:szCs w:val="20"/>
                <w:highlight w:val="none"/>
              </w:rPr>
              <w:t>、</w:t>
            </w:r>
            <w:r>
              <w:rPr>
                <w:rFonts w:hint="eastAsia" w:ascii="宋体" w:hAnsi="宋体" w:cs="微软雅黑"/>
                <w:color w:val="auto"/>
                <w:kern w:val="0"/>
                <w:sz w:val="22"/>
                <w:szCs w:val="20"/>
                <w:highlight w:val="none"/>
              </w:rPr>
              <w:t>电汇</w:t>
            </w:r>
            <w:r>
              <w:rPr>
                <w:rFonts w:hint="eastAsia" w:ascii="宋体" w:hAnsi="宋体" w:cs="等线 Light"/>
                <w:color w:val="auto"/>
                <w:kern w:val="0"/>
                <w:sz w:val="22"/>
                <w:szCs w:val="20"/>
                <w:highlight w:val="none"/>
              </w:rPr>
              <w:t>。</w:t>
            </w:r>
          </w:p>
          <w:p>
            <w:pPr>
              <w:widowControl/>
              <w:rPr>
                <w:rFonts w:ascii="宋体" w:hAnsi="宋体" w:cs="等线 Light"/>
                <w:color w:val="auto"/>
                <w:kern w:val="0"/>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926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等线 Light"/>
                <w:color w:val="auto"/>
                <w:sz w:val="22"/>
                <w:szCs w:val="20"/>
                <w:highlight w:val="none"/>
                <w:u w:val="single"/>
              </w:rPr>
            </w:pPr>
          </w:p>
          <w:p>
            <w:pPr>
              <w:widowControl/>
              <w:spacing w:line="400" w:lineRule="exact"/>
              <w:jc w:val="left"/>
              <w:rPr>
                <w:rFonts w:ascii="宋体" w:hAnsi="宋体" w:cs="等线 Light"/>
                <w:color w:val="auto"/>
                <w:sz w:val="22"/>
                <w:szCs w:val="20"/>
                <w:highlight w:val="none"/>
              </w:rPr>
            </w:pPr>
            <w:r>
              <w:rPr>
                <w:rFonts w:hint="eastAsia" w:ascii="宋体" w:hAnsi="宋体" w:cs="等线 Light"/>
                <w:color w:val="auto"/>
                <w:sz w:val="22"/>
                <w:szCs w:val="20"/>
                <w:highlight w:val="none"/>
                <w:u w:val="single"/>
              </w:rPr>
              <w:t xml:space="preserve"> </w:t>
            </w:r>
            <w:r>
              <w:rPr>
                <w:rFonts w:hint="eastAsia" w:ascii="宋体" w:hAnsi="宋体" w:cs="等线 Light"/>
                <w:color w:val="auto"/>
                <w:sz w:val="21"/>
                <w:szCs w:val="21"/>
                <w:highlight w:val="none"/>
                <w:u w:val="single"/>
              </w:rPr>
              <w:t>中铁上海工程局集团有限公司物资采购招标中心</w:t>
            </w:r>
            <w:r>
              <w:rPr>
                <w:rFonts w:hint="eastAsia" w:ascii="宋体" w:hAnsi="宋体" w:cs="等线 Light"/>
                <w:color w:val="auto"/>
                <w:sz w:val="21"/>
                <w:szCs w:val="21"/>
                <w:highlight w:val="none"/>
                <w:u w:val="single"/>
                <w:lang w:val="en-US" w:eastAsia="zh-CN"/>
              </w:rPr>
              <w:t xml:space="preserve"> </w:t>
            </w:r>
            <w:r>
              <w:rPr>
                <w:rFonts w:hint="eastAsia" w:ascii="宋体" w:hAnsi="宋体" w:cs="等线 Light"/>
                <w:color w:val="auto"/>
                <w:sz w:val="22"/>
                <w:szCs w:val="20"/>
                <w:highlight w:val="none"/>
              </w:rPr>
              <w:t>:</w:t>
            </w:r>
          </w:p>
          <w:p>
            <w:pPr>
              <w:widowControl/>
              <w:spacing w:line="400" w:lineRule="exact"/>
              <w:jc w:val="left"/>
              <w:rPr>
                <w:rFonts w:ascii="宋体" w:hAnsi="宋体" w:cs="等线 Light"/>
                <w:color w:val="auto"/>
                <w:sz w:val="22"/>
                <w:szCs w:val="20"/>
                <w:highlight w:val="none"/>
              </w:rPr>
            </w:pPr>
          </w:p>
          <w:p>
            <w:pPr>
              <w:widowControl/>
              <w:spacing w:line="400" w:lineRule="exact"/>
              <w:ind w:firstLine="420"/>
              <w:jc w:val="left"/>
              <w:rPr>
                <w:rFonts w:ascii="宋体" w:hAnsi="宋体" w:cs="等线 Light"/>
                <w:color w:val="auto"/>
                <w:sz w:val="22"/>
                <w:szCs w:val="20"/>
                <w:highlight w:val="none"/>
              </w:rPr>
            </w:pPr>
            <w:r>
              <w:rPr>
                <w:rFonts w:hint="eastAsia" w:ascii="宋体" w:hAnsi="宋体" w:cs="等线 Light"/>
                <w:color w:val="auto"/>
                <w:sz w:val="22"/>
                <w:szCs w:val="20"/>
                <w:highlight w:val="none"/>
              </w:rPr>
              <w:t>在</w:t>
            </w:r>
            <w:r>
              <w:rPr>
                <w:rFonts w:hint="eastAsia" w:ascii="宋体" w:hAnsi="宋体" w:cs="微软雅黑"/>
                <w:color w:val="auto"/>
                <w:sz w:val="22"/>
                <w:szCs w:val="20"/>
                <w:highlight w:val="none"/>
              </w:rPr>
              <w:t>阅读</w:t>
            </w:r>
            <w:r>
              <w:rPr>
                <w:rFonts w:hint="eastAsia" w:ascii="宋体" w:hAnsi="宋体" w:cs="Malgun Gothic"/>
                <w:color w:val="auto"/>
                <w:sz w:val="22"/>
                <w:szCs w:val="20"/>
                <w:highlight w:val="none"/>
              </w:rPr>
              <w:t>和理解了本次招</w:t>
            </w:r>
            <w:r>
              <w:rPr>
                <w:rFonts w:hint="eastAsia" w:ascii="宋体" w:hAnsi="宋体" w:cs="微软雅黑"/>
                <w:color w:val="auto"/>
                <w:sz w:val="22"/>
                <w:szCs w:val="20"/>
                <w:highlight w:val="none"/>
              </w:rPr>
              <w:t>标</w:t>
            </w:r>
            <w:r>
              <w:rPr>
                <w:rFonts w:hint="eastAsia" w:ascii="宋体" w:hAnsi="宋体" w:cs="Malgun Gothic"/>
                <w:color w:val="auto"/>
                <w:sz w:val="22"/>
                <w:szCs w:val="20"/>
                <w:highlight w:val="none"/>
              </w:rPr>
              <w:t>公告后，</w:t>
            </w:r>
            <w:r>
              <w:rPr>
                <w:rFonts w:hint="eastAsia" w:ascii="宋体" w:hAnsi="宋体" w:cs="微软雅黑"/>
                <w:color w:val="auto"/>
                <w:sz w:val="22"/>
                <w:szCs w:val="20"/>
                <w:highlight w:val="none"/>
              </w:rPr>
              <w:t>认为</w:t>
            </w:r>
            <w:r>
              <w:rPr>
                <w:rFonts w:hint="eastAsia" w:ascii="宋体" w:hAnsi="宋体" w:cs="Malgun Gothic"/>
                <w:color w:val="auto"/>
                <w:sz w:val="22"/>
                <w:szCs w:val="20"/>
                <w:highlight w:val="none"/>
              </w:rPr>
              <w:t>我</w:t>
            </w:r>
            <w:r>
              <w:rPr>
                <w:rFonts w:hint="eastAsia" w:ascii="宋体" w:hAnsi="宋体" w:cs="微软雅黑"/>
                <w:color w:val="auto"/>
                <w:sz w:val="22"/>
                <w:szCs w:val="20"/>
                <w:highlight w:val="none"/>
              </w:rPr>
              <w:t>单</w:t>
            </w:r>
            <w:r>
              <w:rPr>
                <w:rFonts w:hint="eastAsia" w:ascii="宋体" w:hAnsi="宋体" w:cs="Malgun Gothic"/>
                <w:color w:val="auto"/>
                <w:sz w:val="22"/>
                <w:szCs w:val="20"/>
                <w:highlight w:val="none"/>
              </w:rPr>
              <w:t>位符合招</w:t>
            </w:r>
            <w:r>
              <w:rPr>
                <w:rFonts w:hint="eastAsia" w:ascii="宋体" w:hAnsi="宋体" w:cs="微软雅黑"/>
                <w:color w:val="auto"/>
                <w:sz w:val="22"/>
                <w:szCs w:val="20"/>
                <w:highlight w:val="none"/>
              </w:rPr>
              <w:t>标</w:t>
            </w:r>
            <w:r>
              <w:rPr>
                <w:rFonts w:hint="eastAsia" w:ascii="宋体" w:hAnsi="宋体" w:cs="Malgun Gothic"/>
                <w:color w:val="auto"/>
                <w:sz w:val="22"/>
                <w:szCs w:val="20"/>
                <w:highlight w:val="none"/>
              </w:rPr>
              <w:t>公告</w:t>
            </w:r>
            <w:r>
              <w:rPr>
                <w:rFonts w:hint="eastAsia" w:ascii="宋体" w:hAnsi="宋体" w:cs="微软雅黑"/>
                <w:color w:val="auto"/>
                <w:sz w:val="22"/>
                <w:szCs w:val="20"/>
                <w:highlight w:val="none"/>
              </w:rPr>
              <w:t>对</w:t>
            </w:r>
            <w:r>
              <w:rPr>
                <w:rFonts w:hint="eastAsia" w:ascii="宋体" w:hAnsi="宋体" w:cs="Malgun Gothic"/>
                <w:color w:val="auto"/>
                <w:sz w:val="22"/>
                <w:szCs w:val="20"/>
                <w:highlight w:val="none"/>
              </w:rPr>
              <w:t>投</w:t>
            </w:r>
            <w:r>
              <w:rPr>
                <w:rFonts w:hint="eastAsia" w:ascii="宋体" w:hAnsi="宋体" w:cs="微软雅黑"/>
                <w:color w:val="auto"/>
                <w:sz w:val="22"/>
                <w:szCs w:val="20"/>
                <w:highlight w:val="none"/>
              </w:rPr>
              <w:t>标</w:t>
            </w:r>
            <w:r>
              <w:rPr>
                <w:rFonts w:hint="eastAsia" w:ascii="宋体" w:hAnsi="宋体" w:cs="Malgun Gothic"/>
                <w:color w:val="auto"/>
                <w:sz w:val="22"/>
                <w:szCs w:val="20"/>
                <w:highlight w:val="none"/>
              </w:rPr>
              <w:t>人的基本要求，在此特向</w:t>
            </w:r>
            <w:r>
              <w:rPr>
                <w:rFonts w:hint="eastAsia" w:ascii="宋体" w:hAnsi="宋体" w:cs="微软雅黑"/>
                <w:color w:val="auto"/>
                <w:sz w:val="22"/>
                <w:szCs w:val="20"/>
                <w:highlight w:val="none"/>
              </w:rPr>
              <w:t>贵</w:t>
            </w:r>
            <w:r>
              <w:rPr>
                <w:rFonts w:hint="eastAsia" w:ascii="宋体" w:hAnsi="宋体" w:cs="Malgun Gothic"/>
                <w:color w:val="auto"/>
                <w:sz w:val="22"/>
                <w:szCs w:val="20"/>
                <w:highlight w:val="none"/>
              </w:rPr>
              <w:t>方提出</w:t>
            </w:r>
            <w:r>
              <w:rPr>
                <w:rFonts w:hint="eastAsia" w:ascii="宋体" w:hAnsi="宋体" w:cs="微软雅黑"/>
                <w:color w:val="auto"/>
                <w:sz w:val="22"/>
                <w:szCs w:val="20"/>
                <w:highlight w:val="none"/>
              </w:rPr>
              <w:t>参与</w:t>
            </w:r>
            <w:r>
              <w:rPr>
                <w:rFonts w:hint="eastAsia" w:ascii="宋体" w:hAnsi="宋体" w:cs="Malgun Gothic"/>
                <w:color w:val="auto"/>
                <w:sz w:val="22"/>
                <w:szCs w:val="20"/>
                <w:highlight w:val="none"/>
              </w:rPr>
              <w:t>招</w:t>
            </w:r>
            <w:r>
              <w:rPr>
                <w:rFonts w:hint="eastAsia" w:ascii="宋体" w:hAnsi="宋体" w:cs="微软雅黑"/>
                <w:color w:val="auto"/>
                <w:sz w:val="22"/>
                <w:szCs w:val="20"/>
                <w:highlight w:val="none"/>
              </w:rPr>
              <w:t>标编号</w:t>
            </w:r>
            <w:r>
              <w:rPr>
                <w:rFonts w:hint="eastAsia" w:ascii="宋体" w:hAnsi="宋体" w:cs="等线 Light"/>
                <w:color w:val="auto"/>
                <w:sz w:val="22"/>
                <w:szCs w:val="20"/>
                <w:highlight w:val="none"/>
                <w:u w:val="single"/>
                <w:lang w:val="en-US" w:eastAsia="zh-CN"/>
              </w:rPr>
              <w:t xml:space="preserve">                    </w:t>
            </w:r>
            <w:r>
              <w:rPr>
                <w:rFonts w:hint="eastAsia" w:ascii="宋体" w:hAnsi="宋体" w:cs="等线 Light"/>
                <w:color w:val="auto"/>
                <w:sz w:val="22"/>
                <w:szCs w:val="20"/>
                <w:highlight w:val="none"/>
              </w:rPr>
              <w:t>的上述申</w:t>
            </w:r>
            <w:r>
              <w:rPr>
                <w:rFonts w:hint="eastAsia" w:ascii="宋体" w:hAnsi="宋体" w:cs="微软雅黑"/>
                <w:color w:val="auto"/>
                <w:sz w:val="22"/>
                <w:szCs w:val="20"/>
                <w:highlight w:val="none"/>
              </w:rPr>
              <w:t>请</w:t>
            </w:r>
            <w:r>
              <w:rPr>
                <w:rFonts w:hint="eastAsia" w:ascii="宋体" w:hAnsi="宋体" w:cs="Malgun Gothic"/>
                <w:color w:val="auto"/>
                <w:sz w:val="22"/>
                <w:szCs w:val="20"/>
                <w:highlight w:val="none"/>
              </w:rPr>
              <w:t>投</w:t>
            </w:r>
            <w:r>
              <w:rPr>
                <w:rFonts w:hint="eastAsia" w:ascii="宋体" w:hAnsi="宋体" w:cs="微软雅黑"/>
                <w:color w:val="auto"/>
                <w:sz w:val="22"/>
                <w:szCs w:val="20"/>
                <w:highlight w:val="none"/>
              </w:rPr>
              <w:t>标</w:t>
            </w:r>
            <w:r>
              <w:rPr>
                <w:rFonts w:hint="eastAsia" w:ascii="宋体" w:hAnsi="宋体" w:cs="等线 Light"/>
                <w:bCs/>
                <w:color w:val="auto"/>
                <w:kern w:val="0"/>
                <w:sz w:val="22"/>
                <w:szCs w:val="20"/>
                <w:highlight w:val="none"/>
              </w:rPr>
              <w:t>包件</w:t>
            </w:r>
            <w:r>
              <w:rPr>
                <w:rFonts w:hint="eastAsia" w:ascii="宋体" w:hAnsi="宋体" w:cs="微软雅黑"/>
                <w:bCs/>
                <w:color w:val="auto"/>
                <w:kern w:val="0"/>
                <w:sz w:val="22"/>
                <w:szCs w:val="20"/>
                <w:highlight w:val="none"/>
              </w:rPr>
              <w:t>号</w:t>
            </w:r>
            <w:r>
              <w:rPr>
                <w:rFonts w:hint="eastAsia" w:ascii="宋体" w:hAnsi="宋体" w:cs="等线 Light"/>
                <w:color w:val="auto"/>
                <w:sz w:val="22"/>
                <w:szCs w:val="20"/>
                <w:highlight w:val="none"/>
              </w:rPr>
              <w:t>的投</w:t>
            </w:r>
            <w:r>
              <w:rPr>
                <w:rFonts w:hint="eastAsia" w:ascii="宋体" w:hAnsi="宋体" w:cs="微软雅黑"/>
                <w:color w:val="auto"/>
                <w:sz w:val="22"/>
                <w:szCs w:val="20"/>
                <w:highlight w:val="none"/>
              </w:rPr>
              <w:t>标报</w:t>
            </w:r>
            <w:r>
              <w:rPr>
                <w:rFonts w:hint="eastAsia" w:ascii="宋体" w:hAnsi="宋体" w:cs="Malgun Gothic"/>
                <w:color w:val="auto"/>
                <w:sz w:val="22"/>
                <w:szCs w:val="20"/>
                <w:highlight w:val="none"/>
              </w:rPr>
              <w:t>名，特此申</w:t>
            </w:r>
            <w:r>
              <w:rPr>
                <w:rFonts w:hint="eastAsia" w:ascii="宋体" w:hAnsi="宋体" w:cs="微软雅黑"/>
                <w:color w:val="auto"/>
                <w:sz w:val="22"/>
                <w:szCs w:val="20"/>
                <w:highlight w:val="none"/>
              </w:rPr>
              <w:t>请</w:t>
            </w:r>
            <w:r>
              <w:rPr>
                <w:rFonts w:hint="eastAsia" w:ascii="宋体" w:hAnsi="宋体" w:cs="Malgun Gothic"/>
                <w:color w:val="auto"/>
                <w:sz w:val="22"/>
                <w:szCs w:val="20"/>
                <w:highlight w:val="none"/>
              </w:rPr>
              <w:t>。本投</w:t>
            </w:r>
            <w:r>
              <w:rPr>
                <w:rFonts w:hint="eastAsia" w:ascii="宋体" w:hAnsi="宋体" w:cs="微软雅黑"/>
                <w:color w:val="auto"/>
                <w:sz w:val="22"/>
                <w:szCs w:val="20"/>
                <w:highlight w:val="none"/>
              </w:rPr>
              <w:t>标单</w:t>
            </w:r>
            <w:r>
              <w:rPr>
                <w:rFonts w:hint="eastAsia" w:ascii="宋体" w:hAnsi="宋体" w:cs="Malgun Gothic"/>
                <w:color w:val="auto"/>
                <w:sz w:val="22"/>
                <w:szCs w:val="20"/>
                <w:highlight w:val="none"/>
              </w:rPr>
              <w:t>位有</w:t>
            </w:r>
            <w:r>
              <w:rPr>
                <w:rFonts w:hint="eastAsia" w:ascii="宋体" w:hAnsi="宋体" w:cs="微软雅黑"/>
                <w:color w:val="auto"/>
                <w:sz w:val="22"/>
                <w:szCs w:val="20"/>
                <w:highlight w:val="none"/>
              </w:rPr>
              <w:t>关</w:t>
            </w:r>
            <w:r>
              <w:rPr>
                <w:rFonts w:hint="eastAsia" w:ascii="宋体" w:hAnsi="宋体" w:cs="Malgun Gothic"/>
                <w:color w:val="auto"/>
                <w:sz w:val="22"/>
                <w:szCs w:val="20"/>
                <w:highlight w:val="none"/>
              </w:rPr>
              <w:t>信息如上。</w:t>
            </w:r>
          </w:p>
          <w:p>
            <w:pPr>
              <w:widowControl/>
              <w:spacing w:line="400" w:lineRule="exact"/>
              <w:ind w:firstLine="420"/>
              <w:jc w:val="left"/>
              <w:rPr>
                <w:rFonts w:ascii="宋体" w:hAnsi="宋体" w:cs="等线 Light"/>
                <w:color w:val="auto"/>
                <w:sz w:val="22"/>
                <w:szCs w:val="20"/>
                <w:highlight w:val="none"/>
              </w:rPr>
            </w:pPr>
          </w:p>
          <w:p>
            <w:pPr>
              <w:widowControl/>
              <w:spacing w:line="400" w:lineRule="exact"/>
              <w:jc w:val="left"/>
              <w:rPr>
                <w:rFonts w:ascii="宋体" w:hAnsi="宋体" w:cs="等线 Light"/>
                <w:color w:val="auto"/>
                <w:sz w:val="22"/>
                <w:szCs w:val="20"/>
                <w:highlight w:val="none"/>
              </w:rPr>
            </w:pPr>
          </w:p>
          <w:p>
            <w:pPr>
              <w:widowControl/>
              <w:spacing w:line="400" w:lineRule="exact"/>
              <w:jc w:val="left"/>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 </w:t>
            </w:r>
          </w:p>
          <w:p>
            <w:pPr>
              <w:widowControl/>
              <w:spacing w:line="400" w:lineRule="exact"/>
              <w:jc w:val="left"/>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 xml:space="preserve">                                      投</w:t>
            </w:r>
            <w:r>
              <w:rPr>
                <w:rFonts w:hint="eastAsia" w:ascii="宋体" w:hAnsi="宋体" w:cs="微软雅黑"/>
                <w:color w:val="auto"/>
                <w:kern w:val="0"/>
                <w:sz w:val="22"/>
                <w:szCs w:val="20"/>
                <w:highlight w:val="none"/>
              </w:rPr>
              <w:t>标</w:t>
            </w:r>
            <w:r>
              <w:rPr>
                <w:rFonts w:hint="eastAsia" w:ascii="宋体" w:hAnsi="宋体" w:cs="Malgun Gothic"/>
                <w:color w:val="auto"/>
                <w:kern w:val="0"/>
                <w:sz w:val="22"/>
                <w:szCs w:val="20"/>
                <w:highlight w:val="none"/>
              </w:rPr>
              <w:t>人（公章）：</w:t>
            </w:r>
            <w:r>
              <w:rPr>
                <w:rFonts w:hint="eastAsia" w:ascii="宋体" w:hAnsi="宋体" w:cs="等线 Light"/>
                <w:color w:val="auto"/>
                <w:kern w:val="0"/>
                <w:sz w:val="22"/>
                <w:szCs w:val="20"/>
                <w:highlight w:val="none"/>
              </w:rPr>
              <w:t xml:space="preserve"> </w:t>
            </w:r>
          </w:p>
          <w:p>
            <w:pPr>
              <w:widowControl/>
              <w:spacing w:line="400" w:lineRule="exact"/>
              <w:jc w:val="left"/>
              <w:rPr>
                <w:rFonts w:ascii="宋体" w:hAnsi="宋体" w:cs="等线 Light"/>
                <w:color w:val="auto"/>
                <w:kern w:val="0"/>
                <w:sz w:val="22"/>
                <w:szCs w:val="20"/>
                <w:highlight w:val="none"/>
              </w:rPr>
            </w:pPr>
            <w:r>
              <w:rPr>
                <w:rFonts w:hint="eastAsia" w:ascii="宋体" w:hAnsi="宋体" w:cs="等线 Light"/>
                <w:color w:val="auto"/>
                <w:kern w:val="0"/>
                <w:sz w:val="22"/>
                <w:szCs w:val="20"/>
                <w:highlight w:val="none"/>
              </w:rPr>
              <w:t> </w:t>
            </w:r>
          </w:p>
          <w:p>
            <w:pPr>
              <w:widowControl/>
              <w:spacing w:line="400" w:lineRule="exact"/>
              <w:jc w:val="left"/>
              <w:rPr>
                <w:rFonts w:ascii="宋体" w:hAnsi="宋体" w:cs="等线 Light"/>
                <w:b/>
                <w:color w:val="auto"/>
                <w:kern w:val="0"/>
                <w:sz w:val="22"/>
                <w:szCs w:val="20"/>
                <w:highlight w:val="none"/>
              </w:rPr>
            </w:pPr>
            <w:r>
              <w:rPr>
                <w:rFonts w:hint="eastAsia" w:ascii="宋体" w:hAnsi="宋体" w:cs="等线 Light"/>
                <w:color w:val="auto"/>
                <w:kern w:val="0"/>
                <w:sz w:val="22"/>
                <w:szCs w:val="20"/>
                <w:highlight w:val="none"/>
              </w:rPr>
              <w:t xml:space="preserve">                                      年    月    日 </w:t>
            </w:r>
          </w:p>
        </w:tc>
      </w:tr>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62AB4F"/>
    <w:multiLevelType w:val="multilevel"/>
    <w:tmpl w:val="FC62AB4F"/>
    <w:lvl w:ilvl="0" w:tentative="0">
      <w:start w:val="1"/>
      <w:numFmt w:val="decimal"/>
      <w:suff w:val="space"/>
      <w:lvlText w:val="%1."/>
      <w:lvlJc w:val="left"/>
      <w:pPr>
        <w:ind w:left="0" w:firstLine="0"/>
      </w:pPr>
      <w:rPr>
        <w:rFonts w:hint="eastAsia" w:eastAsia="黑体"/>
        <w:sz w:val="32"/>
        <w:szCs w:val="32"/>
        <w:lang w:val="en-US" w:eastAsia="zh-CN" w:bidi="ar-SA"/>
      </w:rPr>
    </w:lvl>
    <w:lvl w:ilvl="1" w:tentative="0">
      <w:start w:val="1"/>
      <w:numFmt w:val="decimal"/>
      <w:suff w:val="space"/>
      <w:lvlText w:val="%1.%2"/>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bidi="ar-SA"/>
      </w:rPr>
    </w:lvl>
    <w:lvl w:ilvl="2" w:tentative="0">
      <w:start w:val="1"/>
      <w:numFmt w:val="decimal"/>
      <w:suff w:val="space"/>
      <w:lvlText w:val="%1.%2.%3"/>
      <w:lvlJc w:val="left"/>
      <w:pPr>
        <w:ind w:left="0" w:firstLine="0"/>
      </w:pPr>
      <w:rPr>
        <w:rFonts w:hint="eastAsia" w:ascii="Times New Roman" w:hAnsi="Times New Roman" w:cs="Times New Roman"/>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120" w:firstLine="0"/>
      </w:pPr>
      <w:rPr>
        <w:rFonts w:hint="eastAsia" w:ascii="Times New Roman" w:hAnsi="Times New Roman" w:cs="Times New Roman"/>
        <w:b w:val="0"/>
        <w:bCs/>
        <w:i w:val="0"/>
        <w:iCs w:val="0"/>
        <w:caps w:val="0"/>
        <w:smallCaps w:val="0"/>
        <w:strike w:val="0"/>
        <w:dstrike w:val="0"/>
        <w:vanish w:val="0"/>
        <w:color w:val="000000"/>
        <w:spacing w:val="0"/>
        <w:position w:val="0"/>
        <w:szCs w:val="24"/>
        <w:u w:val="none"/>
        <w:vertAlign w:val="baseline"/>
      </w:rPr>
    </w:lvl>
    <w:lvl w:ilvl="4" w:tentative="0">
      <w:start w:val="1"/>
      <w:numFmt w:val="decimal"/>
      <w:pStyle w:val="5"/>
      <w:suff w:val="space"/>
      <w:lvlText w:val="（%5）"/>
      <w:lvlJc w:val="left"/>
      <w:pPr>
        <w:ind w:left="200" w:firstLine="400"/>
      </w:pPr>
      <w:rPr>
        <w:rFonts w:hint="eastAsia" w:ascii="Times New Roman" w:hAnsi="Times New Roman" w:cs="Times New Roman"/>
        <w:b w:val="0"/>
        <w:bCs w:val="0"/>
        <w:i w:val="0"/>
        <w:iCs w:val="0"/>
        <w:caps w:val="0"/>
        <w:smallCaps w:val="0"/>
        <w:strike w:val="0"/>
        <w:dstrike w:val="0"/>
        <w:vanish w:val="0"/>
        <w:color w:val="000000"/>
        <w:spacing w:val="0"/>
        <w:position w:val="0"/>
        <w:sz w:val="24"/>
        <w:szCs w:val="24"/>
        <w:u w:val="none"/>
        <w:vertAlign w:val="baseline"/>
        <w:lang w:val="en-US"/>
      </w:rPr>
    </w:lvl>
    <w:lvl w:ilvl="5" w:tentative="0">
      <w:start w:val="1"/>
      <w:numFmt w:val="decimal"/>
      <w:suff w:val="space"/>
      <w:lvlText w:val="%6）"/>
      <w:lvlJc w:val="left"/>
      <w:pPr>
        <w:ind w:left="26" w:firstLine="40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6" w:tentative="0">
      <w:start w:val="1"/>
      <w:numFmt w:val="lowerLetter"/>
      <w:suff w:val="space"/>
      <w:lvlText w:val="%7."/>
      <w:lvlJc w:val="left"/>
      <w:pPr>
        <w:ind w:left="-451" w:hanging="226"/>
      </w:pPr>
    </w:lvl>
    <w:lvl w:ilvl="7" w:tentative="0">
      <w:start w:val="1"/>
      <w:numFmt w:val="decimal"/>
      <w:lvlText w:val="%1.%2.%3.%4.%5.%6.%7.%8"/>
      <w:lvlJc w:val="left"/>
      <w:pPr>
        <w:tabs>
          <w:tab w:val="left" w:pos="99"/>
        </w:tabs>
        <w:ind w:left="99" w:hanging="1440"/>
      </w:pPr>
      <w:rPr>
        <w:rFonts w:hint="eastAsia"/>
      </w:rPr>
    </w:lvl>
    <w:lvl w:ilvl="8" w:tentative="0">
      <w:start w:val="1"/>
      <w:numFmt w:val="decimal"/>
      <w:lvlText w:val="%1.%2.%3.%4.%5.%6.%7.%8.%9"/>
      <w:lvlJc w:val="left"/>
      <w:pPr>
        <w:tabs>
          <w:tab w:val="left" w:pos="243"/>
        </w:tabs>
        <w:ind w:left="243" w:hanging="1584"/>
      </w:pPr>
      <w:rPr>
        <w:rFonts w:hint="eastAsia"/>
      </w:rPr>
    </w:lvl>
  </w:abstractNum>
  <w:abstractNum w:abstractNumId="1">
    <w:nsid w:val="1030877E"/>
    <w:multiLevelType w:val="singleLevel"/>
    <w:tmpl w:val="1030877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F10EB"/>
    <w:rsid w:val="30BF10EB"/>
    <w:rsid w:val="3ED0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100"/>
      <w:outlineLvl w:val="1"/>
    </w:pPr>
    <w:rPr>
      <w:rFonts w:eastAsia="宋体" w:cs="Times New Roman"/>
      <w:b/>
      <w:bCs/>
      <w:sz w:val="28"/>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cs="Times New Roman"/>
      <w:b/>
      <w:bCs/>
      <w:sz w:val="28"/>
      <w:szCs w:val="28"/>
    </w:rPr>
  </w:style>
  <w:style w:type="paragraph" w:styleId="5">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200" w:firstLine="400"/>
      <w:outlineLvl w:val="4"/>
    </w:pPr>
    <w:rPr>
      <w:b/>
      <w:sz w:val="28"/>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6">
    <w:name w:val="footer"/>
    <w:basedOn w:val="1"/>
    <w:unhideWhenUsed/>
    <w:uiPriority w:val="99"/>
    <w:pPr>
      <w:tabs>
        <w:tab w:val="center" w:pos="4153"/>
        <w:tab w:val="right" w:pos="8306"/>
      </w:tabs>
      <w:snapToGrid w:val="0"/>
      <w:jc w:val="left"/>
    </w:pPr>
    <w:rPr>
      <w:sz w:val="18"/>
      <w:szCs w:val="18"/>
    </w:rPr>
  </w:style>
  <w:style w:type="paragraph" w:styleId="7">
    <w:name w:val="Body Text First Indent 2"/>
    <w:basedOn w:val="2"/>
    <w:qFormat/>
    <w:uiPriority w:val="0"/>
    <w:pPr>
      <w:keepNext w:val="0"/>
      <w:keepLines w:val="0"/>
      <w:widowControl w:val="0"/>
      <w:suppressLineNumbers w:val="0"/>
      <w:spacing w:before="0" w:beforeAutospacing="0" w:after="120" w:afterAutospacing="0" w:line="360" w:lineRule="auto"/>
      <w:ind w:left="420" w:leftChars="200" w:right="0" w:firstLine="420" w:firstLineChars="200"/>
      <w:jc w:val="both"/>
    </w:pPr>
    <w:rPr>
      <w:rFonts w:hint="default" w:ascii="Times New Roman" w:hAnsi="Times New Roman" w:eastAsia="宋体" w:cs="Times New Roman"/>
      <w:kern w:val="2"/>
      <w:sz w:val="21"/>
      <w:szCs w:val="22"/>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 含缩进"/>
    <w:basedOn w:val="1"/>
    <w:qFormat/>
    <w:uiPriority w:val="0"/>
    <w:pPr>
      <w:ind w:firstLine="424" w:firstLineChars="202"/>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2020-08-21T01:13:00Z</dcterms:created>
  <dc:creator>zhangzemin</dc:creator>
  <cp:lastModifiedBy>zhangzemin</cp:lastModifiedBy>
  <dcterms:modified xsi:type="dcterms:W3CDTF">2020-08-21T01:18:43Z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