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28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招标公告</w:t>
      </w:r>
    </w:p>
    <w:p>
      <w:pPr>
        <w:rPr>
          <w:rFonts w:hint="eastAsia" w:ascii="仿宋" w:hAnsi="仿宋" w:eastAsia="仿宋" w:cs="仿宋"/>
          <w:color w:val="auto"/>
          <w:sz w:val="28"/>
          <w:u w:val="singl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line="360" w:lineRule="auto"/>
      </w:pPr>
      <w:r>
        <w:rPr>
          <w:rFonts w:ascii="仿宋" w:hAnsi="仿宋" w:eastAsia="仿宋" w:cs="仿宋"/>
          <w:sz w:val="28"/>
          <w:szCs w:val="28"/>
          <w:u w:val="single"/>
        </w:rPr>
        <w:t>致各投标单位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我单位经研究决定对</w:t>
      </w:r>
      <w:r>
        <w:rPr>
          <w:rFonts w:hint="eastAsia" w:ascii="仿宋" w:hAnsi="仿宋" w:eastAsia="仿宋" w:cs="仿宋"/>
          <w:color w:val="auto"/>
          <w:sz w:val="28"/>
          <w:highlight w:val="none"/>
          <w:lang w:eastAsia="zh-CN"/>
        </w:rPr>
        <w:t>珠海地区的所有在建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项目</w:t>
      </w:r>
      <w:r>
        <w:rPr>
          <w:rFonts w:hint="eastAsia" w:ascii="仿宋" w:hAnsi="仿宋" w:eastAsia="仿宋" w:cs="仿宋"/>
          <w:color w:val="auto"/>
          <w:sz w:val="28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u w:val="single"/>
          <w:lang w:val="en-US" w:eastAsia="zh-CN"/>
        </w:rPr>
        <w:t>铝芯电缆采购</w:t>
      </w:r>
      <w:r>
        <w:rPr>
          <w:rFonts w:hint="eastAsia" w:ascii="仿宋" w:hAnsi="仿宋" w:eastAsia="仿宋" w:cs="仿宋"/>
          <w:color w:val="auto"/>
          <w:sz w:val="28"/>
          <w:u w:val="none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物资</w:t>
      </w:r>
      <w:r>
        <w:rPr>
          <w:rFonts w:hint="eastAsia" w:ascii="仿宋" w:hAnsi="仿宋" w:eastAsia="仿宋" w:cs="仿宋"/>
          <w:color w:val="auto"/>
          <w:sz w:val="28"/>
        </w:rPr>
        <w:t>招标</w:t>
      </w:r>
      <w:r>
        <w:rPr>
          <w:rFonts w:hint="eastAsia" w:ascii="仿宋" w:hAnsi="仿宋" w:eastAsia="仿宋" w:cs="仿宋"/>
          <w:color w:val="auto"/>
          <w:sz w:val="28"/>
          <w:lang w:eastAsia="zh-CN"/>
        </w:rPr>
        <w:t>，暂定合同额</w:t>
      </w:r>
      <w:r>
        <w:rPr>
          <w:rFonts w:hint="eastAsia" w:ascii="仿宋" w:hAnsi="仿宋" w:eastAsia="仿宋" w:cs="仿宋"/>
          <w:color w:val="auto"/>
          <w:sz w:val="28"/>
          <w:u w:val="single"/>
          <w:lang w:val="en-US" w:eastAsia="zh-CN"/>
        </w:rPr>
        <w:t>420</w:t>
      </w: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万元，拟进场时间为</w:t>
      </w:r>
      <w:r>
        <w:rPr>
          <w:rFonts w:hint="eastAsia" w:ascii="仿宋" w:hAnsi="仿宋" w:eastAsia="仿宋" w:cs="仿宋"/>
          <w:color w:val="auto"/>
          <w:sz w:val="28"/>
          <w:highlight w:val="none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highlight w:val="none"/>
          <w:u w:val="single"/>
          <w:lang w:val="en-US" w:eastAsia="zh-CN"/>
        </w:rPr>
        <w:t xml:space="preserve"> 5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8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如贵单位有意参加本次招投标活动，请于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eastAsia="zh-CN"/>
        </w:rPr>
        <w:t>（以云筑网为准）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登录云筑网（https://www.yzw.cn/）进行招标公告签收且报名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，有关要求请阅读投标须知，逾期则视为弃权。</w:t>
      </w:r>
    </w:p>
    <w:p>
      <w:pPr>
        <w:widowControl/>
        <w:wordWrap/>
        <w:spacing w:line="360" w:lineRule="auto"/>
        <w:ind w:firstLine="420"/>
        <w:outlineLvl w:val="9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一、发标时间：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eastAsia="zh-CN"/>
        </w:rPr>
        <w:t>以云筑网为准</w:t>
      </w:r>
    </w:p>
    <w:p>
      <w:pPr>
        <w:widowControl/>
        <w:wordWrap/>
        <w:spacing w:line="360" w:lineRule="auto"/>
        <w:ind w:firstLine="420"/>
        <w:outlineLvl w:val="9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二、回标截止时间：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eastAsia="zh-CN"/>
        </w:rPr>
        <w:t>以云筑网为准</w:t>
      </w:r>
    </w:p>
    <w:p>
      <w:pPr>
        <w:widowControl/>
        <w:wordWrap/>
        <w:spacing w:line="360" w:lineRule="auto"/>
        <w:ind w:firstLine="420"/>
        <w:outlineLvl w:val="9"/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三、开标时间：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eastAsia="zh-CN"/>
        </w:rPr>
        <w:t>以云筑网为准</w:t>
      </w:r>
    </w:p>
    <w:p>
      <w:pPr>
        <w:widowControl/>
        <w:wordWrap/>
        <w:spacing w:line="360" w:lineRule="auto"/>
        <w:ind w:firstLine="420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四、招标人：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中建四局土木工程有限公司</w:t>
      </w:r>
    </w:p>
    <w:p>
      <w:pPr>
        <w:widowControl/>
        <w:wordWrap/>
        <w:spacing w:line="360" w:lineRule="auto"/>
        <w:ind w:firstLine="420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谢辉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         联系电话：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15211457452 </w:t>
      </w:r>
    </w:p>
    <w:p>
      <w:pPr>
        <w:widowControl/>
        <w:numPr>
          <w:ilvl w:val="0"/>
          <w:numId w:val="1"/>
        </w:numPr>
        <w:wordWrap/>
        <w:spacing w:line="360" w:lineRule="auto"/>
        <w:ind w:firstLine="420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u w:val="single"/>
          <w:lang w:val="en-US" w:eastAsia="zh-CN"/>
        </w:rPr>
        <w:t>广东省珠海市金湾区红旗镇南翔路中建四局土木公司总承包分公司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numPr>
          <w:ilvl w:val="0"/>
          <w:numId w:val="1"/>
        </w:numPr>
        <w:wordWrap/>
        <w:spacing w:line="360" w:lineRule="auto"/>
        <w:ind w:firstLine="420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招标物资/设备一览表（附后）</w:t>
      </w:r>
    </w:p>
    <w:p>
      <w:pPr>
        <w:widowControl/>
        <w:wordWrap/>
        <w:spacing w:line="480" w:lineRule="auto"/>
        <w:jc w:val="right"/>
        <w:outlineLvl w:val="9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</w:p>
    <w:p>
      <w:pPr>
        <w:widowControl/>
        <w:wordWrap/>
        <w:spacing w:line="480" w:lineRule="auto"/>
        <w:ind w:right="560" w:firstLine="5040" w:firstLineChars="1800"/>
        <w:jc w:val="both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中建四局土木工程有限公司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</w:t>
      </w:r>
    </w:p>
    <w:p>
      <w:pPr>
        <w:widowControl/>
        <w:wordWrap/>
        <w:spacing w:line="480" w:lineRule="auto"/>
        <w:ind w:right="560" w:firstLine="5880" w:firstLineChars="2100"/>
        <w:jc w:val="both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2020年9月26日</w:t>
      </w:r>
    </w:p>
    <w:p>
      <w:pPr>
        <w:pStyle w:val="6"/>
        <w:pageBreakBefore w:val="0"/>
        <w:tabs>
          <w:tab w:val="left" w:pos="5985"/>
        </w:tabs>
        <w:kinsoku/>
        <w:wordWrap/>
        <w:topLinePunct w:val="0"/>
        <w:bidi w:val="0"/>
        <w:snapToGrid w:val="0"/>
        <w:spacing w:line="360" w:lineRule="auto"/>
        <w:ind w:firstLine="0" w:firstLineChars="0"/>
        <w:jc w:val="both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</w:t>
      </w:r>
    </w:p>
    <w:p>
      <w:pPr>
        <w:pStyle w:val="6"/>
        <w:pageBreakBefore w:val="0"/>
        <w:tabs>
          <w:tab w:val="left" w:pos="5985"/>
        </w:tabs>
        <w:kinsoku/>
        <w:wordWrap/>
        <w:topLinePunct w:val="0"/>
        <w:bidi w:val="0"/>
        <w:snapToGrid w:val="0"/>
        <w:spacing w:line="360" w:lineRule="auto"/>
        <w:ind w:firstLine="0" w:firstLineChars="0"/>
        <w:jc w:val="center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br w:type="page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招标物资一览表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02"/>
        <w:gridCol w:w="2216"/>
        <w:gridCol w:w="1695"/>
        <w:gridCol w:w="990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22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名称</w:t>
            </w:r>
          </w:p>
        </w:tc>
        <w:tc>
          <w:tcPr>
            <w:tcW w:w="22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规格型号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暂估数量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YJLV3*25+1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YJLV3*35+1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YJLV3*50+1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YJLV3*70+1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YJLV3*95+1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YJLV3*120+1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YJLV3*150+1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YJLV3*185+1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YJLV3*240+1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YJLV3*300+1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YJLV3*25+2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YJLV3*35+2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YJLV3*50+2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YJLV3*70+2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YJLV3*95+2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YJLV3*120+2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YJLV3*150+2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YJLV3*185+2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YJLV3*240+2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YJLV3*300+2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YJLV4*25+1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YJLV4*35+1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YJLV4*50+1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YJLV4*70+1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YJLV4*95+1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YJLV4*120+1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YJLV4*150+1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YJLV4*185+1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YJLV4*240+1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铝芯电缆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YJLV4*300+1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bidi w:val="0"/>
              <w:jc w:val="center"/>
              <w:outlineLvl w:val="9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color="auto" w:fill="auto"/>
        <w:wordWrap/>
        <w:spacing w:line="360" w:lineRule="auto"/>
        <w:ind w:left="0" w:firstLine="0"/>
        <w:jc w:val="both"/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  <w:t>1.产品质量标准：</w:t>
      </w:r>
      <w:r>
        <w:rPr>
          <w:rFonts w:hint="eastAsia" w:eastAsia="仿宋_GB2312"/>
          <w:color w:val="auto"/>
          <w:sz w:val="24"/>
          <w:szCs w:val="24"/>
          <w:highlight w:val="none"/>
        </w:rPr>
        <w:t>：</w:t>
      </w:r>
      <w:r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  <w:t>依照中华人民共和国国家标准和行业标准 。中华人民共和国国家现行标准为：GB/T 5013.4-2008/IEC60245-4：2004，橡套阻燃达到0.1S，如国家标准有改动，则产品的各项要求按最新的国家标准和行业标准执行。</w:t>
      </w:r>
    </w:p>
    <w:p>
      <w:pPr>
        <w:keepNext w:val="0"/>
        <w:keepLines w:val="0"/>
        <w:widowControl w:val="0"/>
        <w:suppressLineNumbers w:val="0"/>
        <w:shd w:val="clear" w:color="auto" w:fill="auto"/>
        <w:wordWrap/>
        <w:spacing w:line="360" w:lineRule="auto"/>
        <w:ind w:left="0" w:firstLine="480" w:firstLineChars="200"/>
        <w:jc w:val="both"/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  <w:t>2. 结算：双方于每月的21号对上月21号至当月20号期间所供产品进行结算。结算完毕，乙方应根据结算金额提供等额有效的增值税专用发票。</w:t>
      </w:r>
    </w:p>
    <w:p>
      <w:pPr>
        <w:keepNext w:val="0"/>
        <w:keepLines w:val="0"/>
        <w:widowControl w:val="0"/>
        <w:suppressLineNumbers w:val="0"/>
        <w:shd w:val="clear" w:color="auto" w:fill="auto"/>
        <w:wordWrap/>
        <w:spacing w:line="360" w:lineRule="auto"/>
        <w:ind w:left="0" w:firstLine="480" w:firstLineChars="200"/>
        <w:jc w:val="both"/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  <w:t>3.付款：甲方结算完毕且乙方提供正规足额有效发票后甲方于次月16日前以银行转账或支票的方式支付上月结算材料款项的80%，剩余20%的返还方式如下：</w:t>
      </w:r>
    </w:p>
    <w:p>
      <w:pPr>
        <w:keepNext w:val="0"/>
        <w:keepLines w:val="0"/>
        <w:widowControl w:val="0"/>
        <w:suppressLineNumbers w:val="0"/>
        <w:shd w:val="clear" w:color="auto" w:fill="auto"/>
        <w:wordWrap/>
        <w:spacing w:line="360" w:lineRule="auto"/>
        <w:ind w:left="0" w:firstLine="480" w:firstLineChars="200"/>
        <w:jc w:val="both"/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2"/>
          <w:highlight w:val="none"/>
          <w:lang w:val="en-US" w:eastAsia="zh-CN"/>
        </w:rPr>
        <w:t>在乙方供货满一年后，甲方3个月内向乙方以银行转帐/汇票/支票方式无息付清。若甲方以承兑汇票的方式付款的，乙方应自行承担相关票据的贴现费用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3F4F"/>
    <w:multiLevelType w:val="singleLevel"/>
    <w:tmpl w:val="56F33F4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24BF"/>
    <w:rsid w:val="328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 Text Indent"/>
    <w:basedOn w:val="1"/>
    <w:qFormat/>
    <w:uiPriority w:val="0"/>
    <w:pPr>
      <w:widowControl/>
      <w:ind w:firstLine="640" w:firstLineChars="200"/>
    </w:pPr>
    <w:rPr>
      <w:rFonts w:ascii="楷体_GB2312" w:hAnsi="宋体" w:eastAsia="楷体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2020-09-28T01:50:00Z</dcterms:created>
  <dc:creator>Administrator</dc:creator>
  <cp:lastModifiedBy>Administrator</cp:lastModifiedBy>
  <dcterms:modified xsi:type="dcterms:W3CDTF">2020-09-28T03:41:57Z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