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360" w:lineRule="auto"/>
        <w:jc w:val="center"/>
        <w:rPr>
          <w:rFonts w:ascii="宋体"/>
          <w:b/>
          <w:sz w:val="32"/>
          <w:szCs w:val="32"/>
        </w:rPr>
      </w:pPr>
      <w:r>
        <w:rPr>
          <w:rFonts w:hint="eastAsia" w:ascii="宋体" w:hAnsi="宋体"/>
          <w:b/>
          <w:sz w:val="32"/>
          <w:szCs w:val="32"/>
        </w:rPr>
        <w:t>招</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公</w:t>
      </w:r>
      <w:r>
        <w:rPr>
          <w:rFonts w:ascii="宋体" w:hAnsi="宋体"/>
          <w:b/>
          <w:sz w:val="32"/>
          <w:szCs w:val="32"/>
        </w:rPr>
        <w:t xml:space="preserve"> </w:t>
      </w:r>
      <w:r>
        <w:rPr>
          <w:rFonts w:hint="eastAsia" w:ascii="宋体" w:hAnsi="宋体"/>
          <w:b/>
          <w:sz w:val="32"/>
          <w:szCs w:val="32"/>
        </w:rPr>
        <w:t>告</w:t>
      </w:r>
      <w:r>
        <w:rPr>
          <w:rFonts w:ascii="宋体" w:hAnsi="宋体"/>
          <w:b/>
          <w:sz w:val="32"/>
          <w:szCs w:val="32"/>
        </w:rPr>
        <w:t xml:space="preserve"> </w:t>
      </w:r>
    </w:p>
    <w:p>
      <w:pPr>
        <w:widowControl/>
        <w:spacing w:after="240" w:line="360" w:lineRule="auto"/>
        <w:jc w:val="left"/>
        <w:rPr>
          <w:sz w:val="28"/>
          <w:szCs w:val="28"/>
        </w:rPr>
      </w:pPr>
      <w:r>
        <w:rPr>
          <w:sz w:val="28"/>
          <w:szCs w:val="28"/>
        </w:rPr>
        <w:t>1</w:t>
      </w:r>
      <w:r>
        <w:rPr>
          <w:rFonts w:hint="eastAsia"/>
          <w:sz w:val="28"/>
          <w:szCs w:val="28"/>
        </w:rPr>
        <w:t>、招标条件</w:t>
      </w:r>
      <w:r>
        <w:rPr>
          <w:sz w:val="28"/>
          <w:szCs w:val="28"/>
        </w:rPr>
        <w:t xml:space="preserve"> </w:t>
      </w:r>
    </w:p>
    <w:p>
      <w:pPr>
        <w:widowControl/>
        <w:spacing w:before="240" w:after="240" w:line="360" w:lineRule="auto"/>
        <w:ind w:firstLine="570"/>
        <w:jc w:val="left"/>
        <w:rPr>
          <w:sz w:val="28"/>
          <w:szCs w:val="28"/>
        </w:rPr>
      </w:pPr>
      <w:r>
        <w:rPr>
          <w:rFonts w:hint="eastAsia"/>
          <w:sz w:val="28"/>
          <w:szCs w:val="28"/>
        </w:rPr>
        <w:t>本招标项目</w:t>
      </w:r>
      <w:r>
        <w:rPr>
          <w:rFonts w:hint="eastAsia"/>
          <w:sz w:val="28"/>
          <w:szCs w:val="28"/>
          <w:u w:val="single"/>
        </w:rPr>
        <w:t>东丽医院三期工程地下车库及零星工程</w:t>
      </w:r>
      <w:r>
        <w:rPr>
          <w:rFonts w:hint="eastAsia"/>
          <w:sz w:val="28"/>
          <w:szCs w:val="28"/>
        </w:rPr>
        <w:t>已由</w:t>
      </w:r>
      <w:r>
        <w:rPr>
          <w:rFonts w:hint="eastAsia"/>
          <w:sz w:val="28"/>
          <w:szCs w:val="28"/>
          <w:u w:val="single"/>
        </w:rPr>
        <w:t>中国建筑第六工程局有限公司</w:t>
      </w:r>
      <w:r>
        <w:rPr>
          <w:rFonts w:hint="eastAsia"/>
          <w:sz w:val="28"/>
          <w:szCs w:val="28"/>
        </w:rPr>
        <w:t>承接，现对该项目的</w:t>
      </w:r>
      <w:r>
        <w:rPr>
          <w:sz w:val="28"/>
          <w:szCs w:val="28"/>
          <w:u w:val="single"/>
        </w:rPr>
        <w:t xml:space="preserve"> </w:t>
      </w:r>
      <w:r>
        <w:rPr>
          <w:rFonts w:hint="eastAsia"/>
          <w:sz w:val="28"/>
          <w:szCs w:val="28"/>
          <w:u w:val="single"/>
        </w:rPr>
        <w:t xml:space="preserve">配电箱、电缆、桥架、智能照明设备、风机、污水泵 </w:t>
      </w:r>
      <w:r>
        <w:rPr>
          <w:sz w:val="28"/>
          <w:szCs w:val="28"/>
          <w:u w:val="single"/>
        </w:rPr>
        <w:t xml:space="preserve"> </w:t>
      </w:r>
      <w:r>
        <w:rPr>
          <w:rFonts w:hint="eastAsia"/>
          <w:sz w:val="28"/>
          <w:szCs w:val="28"/>
        </w:rPr>
        <w:t>进行</w:t>
      </w:r>
      <w:r>
        <w:rPr>
          <w:sz w:val="28"/>
          <w:szCs w:val="28"/>
        </w:rPr>
        <w:t xml:space="preserve"> </w:t>
      </w:r>
      <w:r>
        <w:rPr>
          <w:rFonts w:hint="eastAsia"/>
          <w:sz w:val="28"/>
          <w:szCs w:val="28"/>
          <w:u w:val="single"/>
        </w:rPr>
        <w:t>公开招标</w:t>
      </w:r>
      <w:r>
        <w:rPr>
          <w:sz w:val="28"/>
          <w:szCs w:val="28"/>
          <w:u w:val="single"/>
        </w:rPr>
        <w:t xml:space="preserve"> </w:t>
      </w:r>
      <w:r>
        <w:rPr>
          <w:rFonts w:hint="eastAsia"/>
          <w:sz w:val="28"/>
          <w:szCs w:val="28"/>
        </w:rPr>
        <w:t>择优选定供应商。</w:t>
      </w:r>
      <w:r>
        <w:rPr>
          <w:sz w:val="28"/>
          <w:szCs w:val="28"/>
        </w:rPr>
        <w:t xml:space="preserve"> </w:t>
      </w:r>
    </w:p>
    <w:p>
      <w:pPr>
        <w:widowControl/>
        <w:spacing w:after="240" w:line="360" w:lineRule="auto"/>
        <w:jc w:val="left"/>
        <w:rPr>
          <w:sz w:val="28"/>
          <w:szCs w:val="28"/>
        </w:rPr>
      </w:pPr>
      <w:r>
        <w:rPr>
          <w:sz w:val="28"/>
          <w:szCs w:val="28"/>
        </w:rPr>
        <w:t>2</w:t>
      </w:r>
      <w:r>
        <w:rPr>
          <w:rFonts w:hint="eastAsia"/>
          <w:sz w:val="28"/>
          <w:szCs w:val="28"/>
        </w:rPr>
        <w:t>、项目概况与招标范围</w:t>
      </w:r>
    </w:p>
    <w:p>
      <w:pPr>
        <w:widowControl/>
        <w:spacing w:after="240" w:line="360" w:lineRule="auto"/>
        <w:jc w:val="left"/>
        <w:rPr>
          <w:sz w:val="28"/>
          <w:szCs w:val="28"/>
        </w:rPr>
      </w:pPr>
      <w:r>
        <w:rPr>
          <w:sz w:val="28"/>
          <w:szCs w:val="28"/>
        </w:rPr>
        <w:t>2.1</w:t>
      </w:r>
      <w:r>
        <w:rPr>
          <w:rFonts w:hint="eastAsia"/>
          <w:sz w:val="28"/>
          <w:szCs w:val="28"/>
        </w:rPr>
        <w:t>工程名称：东丽医院三期工程地下车库及零星工程</w:t>
      </w:r>
    </w:p>
    <w:p>
      <w:pPr>
        <w:widowControl/>
        <w:spacing w:after="240" w:line="360" w:lineRule="auto"/>
        <w:jc w:val="left"/>
        <w:rPr>
          <w:rFonts w:hint="eastAsia"/>
          <w:sz w:val="28"/>
          <w:szCs w:val="28"/>
        </w:rPr>
      </w:pPr>
      <w:r>
        <w:rPr>
          <w:sz w:val="28"/>
          <w:szCs w:val="28"/>
        </w:rPr>
        <w:t>2.2</w:t>
      </w:r>
      <w:r>
        <w:rPr>
          <w:rFonts w:hint="eastAsia"/>
          <w:sz w:val="28"/>
          <w:szCs w:val="28"/>
        </w:rPr>
        <w:t>建设地点：东至鼎晟香榭苑小区，南至津塘公路，西至万科金域华府小区，北至鼎晟香榭苑小区，位于东丽医院院内</w:t>
      </w:r>
    </w:p>
    <w:p>
      <w:pPr>
        <w:widowControl/>
        <w:spacing w:after="240" w:line="360" w:lineRule="auto"/>
        <w:jc w:val="left"/>
        <w:rPr>
          <w:sz w:val="28"/>
          <w:szCs w:val="28"/>
        </w:rPr>
      </w:pPr>
      <w:r>
        <w:rPr>
          <w:sz w:val="28"/>
          <w:szCs w:val="28"/>
        </w:rPr>
        <w:t>2.3</w:t>
      </w:r>
      <w:r>
        <w:rPr>
          <w:rFonts w:hint="eastAsia"/>
          <w:sz w:val="28"/>
          <w:szCs w:val="28"/>
        </w:rPr>
        <w:t>招标范围：</w:t>
      </w:r>
    </w:p>
    <w:tbl>
      <w:tblPr>
        <w:tblStyle w:val="8"/>
        <w:tblpPr w:leftFromText="180" w:rightFromText="180" w:vertAnchor="text" w:horzAnchor="margin" w:tblpY="111"/>
        <w:tblOverlap w:val="never"/>
        <w:tblW w:w="9235" w:type="dxa"/>
        <w:tblInd w:w="0" w:type="dxa"/>
        <w:tblLayout w:type="autofit"/>
        <w:tblCellMar>
          <w:top w:w="0" w:type="dxa"/>
          <w:left w:w="108" w:type="dxa"/>
          <w:bottom w:w="0" w:type="dxa"/>
          <w:right w:w="108" w:type="dxa"/>
        </w:tblCellMar>
      </w:tblPr>
      <w:tblGrid>
        <w:gridCol w:w="1045"/>
        <w:gridCol w:w="2064"/>
        <w:gridCol w:w="1411"/>
        <w:gridCol w:w="1242"/>
        <w:gridCol w:w="1016"/>
        <w:gridCol w:w="2457"/>
      </w:tblGrid>
      <w:tr>
        <w:trPr>
          <w:trHeight w:val="960" w:hRule="atLeast"/>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r>
              <w:rPr>
                <w:rFonts w:hint="eastAsia" w:ascii="宋体" w:hAnsi="宋体" w:cs="宋体"/>
                <w:color w:val="000000"/>
                <w:kern w:val="0"/>
                <w:sz w:val="22"/>
              </w:rPr>
              <w:t>序号</w:t>
            </w:r>
          </w:p>
        </w:tc>
        <w:tc>
          <w:tcPr>
            <w:tcW w:w="2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r>
              <w:rPr>
                <w:rFonts w:hint="eastAsia" w:ascii="宋体" w:hAnsi="宋体" w:cs="宋体"/>
                <w:color w:val="000000"/>
                <w:kern w:val="0"/>
                <w:sz w:val="22"/>
              </w:rPr>
              <w:t>货物名称</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r>
              <w:rPr>
                <w:rFonts w:hint="eastAsia" w:ascii="宋体" w:hAnsi="宋体" w:cs="宋体"/>
                <w:color w:val="000000"/>
                <w:kern w:val="0"/>
                <w:sz w:val="22"/>
              </w:rPr>
              <w:t>规则型号</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ind w:left="-107" w:leftChars="-51"/>
              <w:jc w:val="center"/>
              <w:rPr>
                <w:rFonts w:ascii="宋体" w:hAnsi="宋体" w:cs="宋体"/>
                <w:color w:val="000000"/>
                <w:kern w:val="0"/>
                <w:sz w:val="22"/>
              </w:rPr>
            </w:pPr>
            <w:r>
              <w:rPr>
                <w:rFonts w:hint="eastAsia" w:ascii="宋体" w:hAnsi="宋体" w:cs="宋体"/>
                <w:color w:val="000000"/>
                <w:kern w:val="0"/>
                <w:sz w:val="22"/>
              </w:rPr>
              <w:t>计量单位</w:t>
            </w: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r>
              <w:rPr>
                <w:rFonts w:hint="eastAsia" w:ascii="宋体" w:hAnsi="宋体" w:cs="宋体"/>
                <w:color w:val="000000"/>
                <w:kern w:val="0"/>
                <w:sz w:val="22"/>
              </w:rPr>
              <w:t>暂估数量</w:t>
            </w: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r>
              <w:rPr>
                <w:rFonts w:hint="eastAsia" w:ascii="宋体" w:hAnsi="宋体" w:cs="宋体"/>
                <w:color w:val="000000"/>
                <w:kern w:val="0"/>
                <w:sz w:val="22"/>
              </w:rPr>
              <w:t>备注</w:t>
            </w:r>
          </w:p>
        </w:tc>
      </w:tr>
      <w:tr>
        <w:tblPrEx>
          <w:tblCellMar>
            <w:top w:w="0" w:type="dxa"/>
            <w:left w:w="108" w:type="dxa"/>
            <w:bottom w:w="0" w:type="dxa"/>
            <w:right w:w="108" w:type="dxa"/>
          </w:tblCellMar>
        </w:tblPrEx>
        <w:trPr>
          <w:trHeight w:val="439" w:hRule="atLeast"/>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c>
          <w:tcPr>
            <w:tcW w:w="2064" w:type="dxa"/>
            <w:tcBorders>
              <w:top w:val="single" w:color="auto" w:sz="4" w:space="0"/>
              <w:left w:val="nil"/>
              <w:bottom w:val="single" w:color="auto" w:sz="4" w:space="0"/>
              <w:right w:val="single" w:color="auto" w:sz="4" w:space="0"/>
            </w:tcBorders>
            <w:shd w:val="clear" w:color="auto" w:fill="auto"/>
            <w:vAlign w:val="center"/>
          </w:tcPr>
          <w:p>
            <w:pPr>
              <w:widowControl/>
              <w:ind w:left="-107" w:leftChars="-51"/>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详见附件</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12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sz w:val="22"/>
                <w:szCs w:val="22"/>
              </w:rPr>
            </w:pPr>
          </w:p>
        </w:tc>
        <w:tc>
          <w:tcPr>
            <w:tcW w:w="2457" w:type="dxa"/>
            <w:tcBorders>
              <w:top w:val="single" w:color="auto" w:sz="4" w:space="0"/>
              <w:left w:val="nil"/>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r>
      <w:tr>
        <w:tblPrEx>
          <w:tblCellMar>
            <w:top w:w="0" w:type="dxa"/>
            <w:left w:w="108" w:type="dxa"/>
            <w:bottom w:w="0" w:type="dxa"/>
            <w:right w:w="108" w:type="dxa"/>
          </w:tblCellMar>
        </w:tblPrEx>
        <w:trPr>
          <w:trHeight w:val="439" w:hRule="atLeast"/>
        </w:trPr>
        <w:tc>
          <w:tcPr>
            <w:tcW w:w="1045" w:type="dxa"/>
            <w:tcBorders>
              <w:top w:val="nil"/>
              <w:left w:val="single" w:color="auto" w:sz="4" w:space="0"/>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c>
          <w:tcPr>
            <w:tcW w:w="2064" w:type="dxa"/>
            <w:tcBorders>
              <w:top w:val="nil"/>
              <w:left w:val="nil"/>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c>
          <w:tcPr>
            <w:tcW w:w="14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12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sz w:val="22"/>
                <w:szCs w:val="22"/>
              </w:rPr>
            </w:pPr>
          </w:p>
        </w:tc>
        <w:tc>
          <w:tcPr>
            <w:tcW w:w="2457" w:type="dxa"/>
            <w:tcBorders>
              <w:top w:val="nil"/>
              <w:left w:val="nil"/>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r>
      <w:tr>
        <w:tblPrEx>
          <w:tblCellMar>
            <w:top w:w="0" w:type="dxa"/>
            <w:left w:w="108" w:type="dxa"/>
            <w:bottom w:w="0" w:type="dxa"/>
            <w:right w:w="108" w:type="dxa"/>
          </w:tblCellMar>
        </w:tblPrEx>
        <w:trPr>
          <w:trHeight w:val="439" w:hRule="atLeast"/>
        </w:trPr>
        <w:tc>
          <w:tcPr>
            <w:tcW w:w="1045" w:type="dxa"/>
            <w:tcBorders>
              <w:top w:val="nil"/>
              <w:left w:val="single" w:color="auto" w:sz="4" w:space="0"/>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c>
          <w:tcPr>
            <w:tcW w:w="2064" w:type="dxa"/>
            <w:tcBorders>
              <w:top w:val="nil"/>
              <w:left w:val="nil"/>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c>
          <w:tcPr>
            <w:tcW w:w="14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12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sz w:val="22"/>
                <w:szCs w:val="22"/>
              </w:rPr>
            </w:pPr>
          </w:p>
        </w:tc>
        <w:tc>
          <w:tcPr>
            <w:tcW w:w="24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39" w:hRule="atLeast"/>
        </w:trPr>
        <w:tc>
          <w:tcPr>
            <w:tcW w:w="1045" w:type="dxa"/>
            <w:tcBorders>
              <w:top w:val="nil"/>
              <w:left w:val="single" w:color="auto" w:sz="4" w:space="0"/>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c>
          <w:tcPr>
            <w:tcW w:w="2064" w:type="dxa"/>
            <w:tcBorders>
              <w:top w:val="nil"/>
              <w:left w:val="nil"/>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c>
          <w:tcPr>
            <w:tcW w:w="14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12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sz w:val="22"/>
                <w:szCs w:val="22"/>
              </w:rPr>
            </w:pPr>
          </w:p>
        </w:tc>
        <w:tc>
          <w:tcPr>
            <w:tcW w:w="24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39" w:hRule="atLeast"/>
        </w:trPr>
        <w:tc>
          <w:tcPr>
            <w:tcW w:w="1045" w:type="dxa"/>
            <w:tcBorders>
              <w:top w:val="nil"/>
              <w:left w:val="single" w:color="auto" w:sz="4" w:space="0"/>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c>
          <w:tcPr>
            <w:tcW w:w="2064" w:type="dxa"/>
            <w:tcBorders>
              <w:top w:val="nil"/>
              <w:left w:val="nil"/>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c>
          <w:tcPr>
            <w:tcW w:w="14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12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sz w:val="22"/>
                <w:szCs w:val="22"/>
              </w:rPr>
            </w:pPr>
          </w:p>
        </w:tc>
        <w:tc>
          <w:tcPr>
            <w:tcW w:w="2457" w:type="dxa"/>
            <w:tcBorders>
              <w:top w:val="nil"/>
              <w:left w:val="nil"/>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r>
      <w:tr>
        <w:tblPrEx>
          <w:tblCellMar>
            <w:top w:w="0" w:type="dxa"/>
            <w:left w:w="108" w:type="dxa"/>
            <w:bottom w:w="0" w:type="dxa"/>
            <w:right w:w="108" w:type="dxa"/>
          </w:tblCellMar>
        </w:tblPrEx>
        <w:trPr>
          <w:trHeight w:val="439" w:hRule="atLeast"/>
        </w:trPr>
        <w:tc>
          <w:tcPr>
            <w:tcW w:w="1045" w:type="dxa"/>
            <w:tcBorders>
              <w:top w:val="nil"/>
              <w:left w:val="single" w:color="auto" w:sz="4" w:space="0"/>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c>
          <w:tcPr>
            <w:tcW w:w="2064" w:type="dxa"/>
            <w:tcBorders>
              <w:top w:val="nil"/>
              <w:left w:val="nil"/>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c>
          <w:tcPr>
            <w:tcW w:w="14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12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sz w:val="22"/>
                <w:szCs w:val="22"/>
              </w:rPr>
            </w:pPr>
          </w:p>
        </w:tc>
        <w:tc>
          <w:tcPr>
            <w:tcW w:w="2457" w:type="dxa"/>
            <w:tcBorders>
              <w:top w:val="nil"/>
              <w:left w:val="nil"/>
              <w:bottom w:val="single" w:color="auto" w:sz="4" w:space="0"/>
              <w:right w:val="single" w:color="auto" w:sz="4" w:space="0"/>
            </w:tcBorders>
            <w:shd w:val="clear" w:color="auto" w:fill="auto"/>
            <w:vAlign w:val="center"/>
          </w:tcPr>
          <w:p>
            <w:pPr>
              <w:widowControl/>
              <w:ind w:left="-107" w:leftChars="-51"/>
              <w:jc w:val="center"/>
              <w:rPr>
                <w:rFonts w:ascii="宋体" w:hAnsi="宋体" w:cs="宋体"/>
                <w:color w:val="000000"/>
                <w:kern w:val="0"/>
                <w:sz w:val="22"/>
              </w:rPr>
            </w:pPr>
          </w:p>
        </w:tc>
      </w:tr>
    </w:tbl>
    <w:p>
      <w:pPr>
        <w:widowControl/>
        <w:spacing w:line="360" w:lineRule="auto"/>
        <w:jc w:val="left"/>
        <w:rPr>
          <w:rFonts w:ascii="宋体" w:hAnsi="宋体" w:cs="宋体"/>
          <w:sz w:val="28"/>
          <w:szCs w:val="28"/>
        </w:rPr>
      </w:pPr>
      <w:r>
        <w:rPr>
          <w:rFonts w:hint="eastAsia" w:ascii="宋体" w:hAnsi="宋体" w:cs="宋体"/>
          <w:sz w:val="28"/>
          <w:szCs w:val="28"/>
        </w:rPr>
        <w:t>2.4交货地点：项目所在地</w:t>
      </w:r>
    </w:p>
    <w:p>
      <w:pPr>
        <w:widowControl/>
        <w:spacing w:line="360" w:lineRule="auto"/>
        <w:jc w:val="left"/>
        <w:rPr>
          <w:rFonts w:ascii="宋体" w:cs="宋体"/>
          <w:sz w:val="28"/>
          <w:szCs w:val="28"/>
        </w:rPr>
      </w:pPr>
      <w:r>
        <w:rPr>
          <w:rFonts w:ascii="宋体" w:hAnsi="宋体" w:cs="宋体"/>
          <w:sz w:val="28"/>
          <w:szCs w:val="28"/>
        </w:rPr>
        <w:t>2.5</w:t>
      </w:r>
      <w:r>
        <w:rPr>
          <w:rFonts w:hint="eastAsia" w:ascii="宋体" w:hAnsi="宋体" w:cs="宋体"/>
          <w:sz w:val="28"/>
          <w:szCs w:val="28"/>
        </w:rPr>
        <w:t>质量要求：</w:t>
      </w:r>
    </w:p>
    <w:p>
      <w:pPr>
        <w:widowControl/>
        <w:spacing w:line="360" w:lineRule="auto"/>
        <w:jc w:val="left"/>
        <w:rPr>
          <w:rFonts w:hint="eastAsia" w:ascii="宋体" w:hAnsi="宋体" w:cs="宋体"/>
          <w:sz w:val="28"/>
          <w:szCs w:val="28"/>
        </w:rPr>
      </w:pPr>
      <w:r>
        <w:rPr>
          <w:rFonts w:hint="eastAsia" w:ascii="宋体" w:hAnsi="宋体" w:cs="宋体"/>
          <w:sz w:val="28"/>
          <w:szCs w:val="28"/>
        </w:rPr>
        <w:t>2.5.1 材料质量质量应符合国家标准及其行业标准。</w:t>
      </w:r>
    </w:p>
    <w:p>
      <w:pPr>
        <w:widowControl/>
        <w:spacing w:line="360" w:lineRule="auto"/>
        <w:jc w:val="left"/>
        <w:rPr>
          <w:rFonts w:hint="eastAsia" w:ascii="宋体" w:hAnsi="宋体" w:cs="宋体"/>
          <w:sz w:val="28"/>
          <w:szCs w:val="28"/>
        </w:rPr>
      </w:pPr>
      <w:r>
        <w:rPr>
          <w:rFonts w:hint="eastAsia" w:ascii="宋体" w:hAnsi="宋体" w:cs="宋体"/>
          <w:sz w:val="28"/>
          <w:szCs w:val="28"/>
        </w:rPr>
        <w:t>2.5.2 材料进场时应随货提供检测报告、等相关有效证件。</w:t>
      </w:r>
    </w:p>
    <w:p>
      <w:pPr>
        <w:widowControl/>
        <w:spacing w:line="360" w:lineRule="auto"/>
        <w:jc w:val="left"/>
        <w:rPr>
          <w:rFonts w:hint="eastAsia" w:ascii="宋体" w:hAnsi="宋体" w:cs="宋体"/>
          <w:sz w:val="28"/>
          <w:szCs w:val="28"/>
        </w:rPr>
      </w:pPr>
      <w:r>
        <w:rPr>
          <w:rFonts w:hint="eastAsia" w:ascii="宋体" w:hAnsi="宋体" w:cs="宋体"/>
          <w:sz w:val="28"/>
          <w:szCs w:val="28"/>
        </w:rPr>
        <w:t>2.5.3满足设计及国标规范对材质要求。</w:t>
      </w:r>
    </w:p>
    <w:p>
      <w:pPr>
        <w:widowControl/>
        <w:spacing w:line="360" w:lineRule="auto"/>
        <w:jc w:val="left"/>
        <w:rPr>
          <w:rFonts w:hint="eastAsia" w:ascii="宋体" w:hAnsi="宋体" w:cs="宋体"/>
          <w:sz w:val="28"/>
          <w:szCs w:val="28"/>
        </w:rPr>
      </w:pPr>
      <w:r>
        <w:rPr>
          <w:rFonts w:hint="eastAsia" w:ascii="宋体" w:hAnsi="宋体" w:cs="宋体"/>
          <w:sz w:val="28"/>
          <w:szCs w:val="28"/>
        </w:rPr>
        <w:t>2.5.4 资料齐全，合格证、检验报告、以及厂家资质、生产许可证、文件等资料保证齐全。</w:t>
      </w:r>
    </w:p>
    <w:p>
      <w:pPr>
        <w:widowControl/>
        <w:spacing w:line="360" w:lineRule="auto"/>
        <w:jc w:val="left"/>
        <w:rPr>
          <w:rFonts w:hint="eastAsia" w:ascii="宋体" w:hAnsi="宋体" w:cs="宋体"/>
          <w:sz w:val="28"/>
          <w:szCs w:val="28"/>
        </w:rPr>
      </w:pPr>
      <w:r>
        <w:rPr>
          <w:rFonts w:hint="eastAsia" w:ascii="宋体" w:hAnsi="宋体" w:cs="宋体"/>
          <w:sz w:val="28"/>
          <w:szCs w:val="28"/>
        </w:rPr>
        <w:t>2.5.5对于中标厂家提前报送样品及资料文件，到场产品与经我单位，监理单位认可样品相符。</w:t>
      </w:r>
    </w:p>
    <w:p>
      <w:pPr>
        <w:widowControl/>
        <w:spacing w:line="360" w:lineRule="auto"/>
        <w:jc w:val="left"/>
        <w:rPr>
          <w:rFonts w:hint="eastAsia" w:ascii="宋体" w:hAnsi="宋体" w:cs="宋体"/>
          <w:sz w:val="28"/>
          <w:szCs w:val="28"/>
        </w:rPr>
      </w:pPr>
      <w:r>
        <w:rPr>
          <w:rFonts w:hint="eastAsia" w:ascii="宋体" w:hAnsi="宋体" w:cs="宋体"/>
          <w:sz w:val="28"/>
          <w:szCs w:val="28"/>
        </w:rPr>
        <w:t>2.5.6投标人除知悉本招标文件及清单内容外，在投标前须到项目指定地点对样品进行确认，本报价所供产品是知悉并确认、满足招标人要求的产品。</w:t>
      </w:r>
    </w:p>
    <w:p>
      <w:pPr>
        <w:widowControl/>
        <w:numPr>
          <w:ilvl w:val="0"/>
          <w:numId w:val="1"/>
        </w:numPr>
        <w:spacing w:after="240" w:line="360" w:lineRule="auto"/>
        <w:jc w:val="left"/>
        <w:rPr>
          <w:rFonts w:ascii="宋体" w:cs="宋体"/>
          <w:kern w:val="0"/>
          <w:sz w:val="28"/>
          <w:szCs w:val="28"/>
        </w:rPr>
      </w:pPr>
      <w:r>
        <w:rPr>
          <w:rFonts w:hint="eastAsia"/>
          <w:sz w:val="28"/>
          <w:szCs w:val="28"/>
        </w:rPr>
        <w:t>投标人资格要求</w:t>
      </w:r>
    </w:p>
    <w:p>
      <w:pPr>
        <w:widowControl/>
        <w:numPr>
          <w:ilvl w:val="0"/>
          <w:numId w:val="0"/>
        </w:numPr>
        <w:spacing w:after="240" w:line="360" w:lineRule="auto"/>
        <w:jc w:val="left"/>
        <w:rPr>
          <w:rFonts w:ascii="宋体" w:cs="宋体"/>
          <w:kern w:val="0"/>
          <w:sz w:val="28"/>
          <w:szCs w:val="28"/>
        </w:rPr>
      </w:pPr>
      <w:r>
        <w:rPr>
          <w:sz w:val="28"/>
          <w:szCs w:val="28"/>
        </w:rPr>
        <w:t>3.1</w:t>
      </w:r>
      <w:r>
        <w:rPr>
          <w:rFonts w:ascii="宋体" w:hAnsi="宋体" w:cs="Tahoma"/>
          <w:kern w:val="0"/>
          <w:sz w:val="28"/>
          <w:szCs w:val="28"/>
        </w:rPr>
        <w:t xml:space="preserve"> </w:t>
      </w:r>
      <w:r>
        <w:rPr>
          <w:rFonts w:hint="eastAsia" w:ascii="宋体" w:hAnsi="宋体" w:cs="Tahoma"/>
          <w:kern w:val="0"/>
          <w:sz w:val="28"/>
          <w:szCs w:val="28"/>
        </w:rPr>
        <w:t>投标人必须是独立的法人单位，具有独立订立和履行合同的能力，</w:t>
      </w:r>
      <w:r>
        <w:rPr>
          <w:rFonts w:hint="eastAsia"/>
          <w:sz w:val="28"/>
          <w:szCs w:val="28"/>
        </w:rPr>
        <w:t>营业执照经营范围必须涵盖招标产品的制作或销售。</w:t>
      </w:r>
      <w:r>
        <w:rPr>
          <w:rFonts w:hint="eastAsia" w:ascii="宋体" w:hAnsi="宋体" w:cs="宋体"/>
          <w:color w:val="FF0000"/>
          <w:kern w:val="0"/>
          <w:sz w:val="28"/>
          <w:szCs w:val="28"/>
        </w:rPr>
        <w:t>投标人必须是一般纳税人，</w:t>
      </w:r>
      <w:r>
        <w:rPr>
          <w:rFonts w:hint="eastAsia" w:ascii="宋体" w:hAnsi="宋体" w:cs="宋体"/>
          <w:kern w:val="0"/>
          <w:sz w:val="28"/>
          <w:szCs w:val="28"/>
        </w:rPr>
        <w:t>投标人需提供生产许可证、合格证等必要的交工验收资料及企业简历及一般纳税人证明，以上传云筑网附件为准；</w:t>
      </w:r>
      <w:r>
        <w:rPr>
          <w:rFonts w:hint="eastAsia" w:ascii="宋体" w:hAnsi="宋体" w:cs="Tahoma"/>
          <w:kern w:val="0"/>
          <w:sz w:val="28"/>
          <w:szCs w:val="28"/>
        </w:rPr>
        <w:t>投标人在近</w:t>
      </w:r>
      <w:r>
        <w:rPr>
          <w:rFonts w:ascii="宋体" w:hAnsi="宋体" w:cs="Tahoma"/>
          <w:kern w:val="0"/>
          <w:sz w:val="28"/>
          <w:szCs w:val="28"/>
        </w:rPr>
        <w:t>3</w:t>
      </w:r>
      <w:r>
        <w:rPr>
          <w:rFonts w:hint="eastAsia" w:ascii="宋体" w:hAnsi="宋体" w:cs="Tahoma"/>
          <w:kern w:val="0"/>
          <w:sz w:val="28"/>
          <w:szCs w:val="28"/>
        </w:rPr>
        <w:t>年内不曾在任何合同中违约或因投标人的原因而使任何合同被解除、未发生因自身原因造成的诉讼情况。投标人应具备较强的资源组织能力、供货能力、抗风险能力、售后服务能力和资金实力。</w:t>
      </w:r>
    </w:p>
    <w:p>
      <w:pPr>
        <w:widowControl/>
        <w:spacing w:after="240" w:line="360" w:lineRule="auto"/>
        <w:jc w:val="left"/>
        <w:rPr>
          <w:sz w:val="28"/>
          <w:szCs w:val="28"/>
        </w:rPr>
      </w:pPr>
      <w:r>
        <w:rPr>
          <w:sz w:val="28"/>
          <w:szCs w:val="28"/>
        </w:rPr>
        <w:t>3.2</w:t>
      </w:r>
      <w:r>
        <w:rPr>
          <w:rFonts w:hint="eastAsia"/>
          <w:sz w:val="28"/>
          <w:szCs w:val="28"/>
        </w:rPr>
        <w:t>具备国家有关部门、行业或公司要求必须取得的质量、计量、安全、环保认证及其他经营许可；在有关部门和行业的监督检查中没有不良记录；与中国建筑没有不良合作记录。</w:t>
      </w:r>
    </w:p>
    <w:p>
      <w:pPr>
        <w:widowControl/>
        <w:spacing w:after="240" w:line="360" w:lineRule="auto"/>
        <w:jc w:val="left"/>
        <w:rPr>
          <w:sz w:val="28"/>
          <w:szCs w:val="28"/>
        </w:rPr>
      </w:pPr>
      <w:r>
        <w:rPr>
          <w:sz w:val="28"/>
          <w:szCs w:val="28"/>
        </w:rPr>
        <w:t>3.3</w:t>
      </w:r>
      <w:r>
        <w:rPr>
          <w:rFonts w:hint="eastAsia"/>
          <w:sz w:val="28"/>
          <w:szCs w:val="28"/>
        </w:rPr>
        <w:t>具有一定的经营规模和服务能力和良好的商业信誉和健全的财务会计制度。需满足</w:t>
      </w:r>
      <w:r>
        <w:rPr>
          <w:rFonts w:hint="eastAsia"/>
          <w:sz w:val="28"/>
          <w:szCs w:val="28"/>
          <w:lang w:val="en-US" w:eastAsia="zh-CN"/>
        </w:rPr>
        <w:t>以下条件，供应商需有足够垫资能力，</w:t>
      </w:r>
      <w:r>
        <w:rPr>
          <w:rFonts w:hint="eastAsia"/>
          <w:color w:val="FF0000"/>
          <w:sz w:val="28"/>
          <w:szCs w:val="28"/>
          <w:lang w:val="en-US" w:eastAsia="zh-CN"/>
        </w:rPr>
        <w:t>乙方需承诺不以业主延期付款为由视我方违约</w:t>
      </w:r>
      <w:r>
        <w:rPr>
          <w:rFonts w:hint="eastAsia"/>
          <w:sz w:val="28"/>
          <w:szCs w:val="28"/>
          <w:lang w:val="en-US" w:eastAsia="zh-CN"/>
        </w:rPr>
        <w:t>，</w:t>
      </w:r>
      <w:r>
        <w:rPr>
          <w:rFonts w:hint="eastAsia"/>
          <w:sz w:val="28"/>
          <w:szCs w:val="28"/>
        </w:rPr>
        <w:t>供应商与大型建筑企业合作项目不能少于3个。</w:t>
      </w:r>
    </w:p>
    <w:p>
      <w:pPr>
        <w:widowControl/>
        <w:spacing w:after="240" w:line="360" w:lineRule="auto"/>
        <w:jc w:val="left"/>
        <w:rPr>
          <w:sz w:val="28"/>
          <w:szCs w:val="28"/>
        </w:rPr>
      </w:pPr>
      <w:r>
        <w:rPr>
          <w:sz w:val="28"/>
          <w:szCs w:val="28"/>
        </w:rPr>
        <w:t>4</w:t>
      </w:r>
      <w:r>
        <w:rPr>
          <w:rFonts w:hint="eastAsia"/>
          <w:sz w:val="28"/>
          <w:szCs w:val="28"/>
        </w:rPr>
        <w:t>、投标报名方式</w:t>
      </w:r>
    </w:p>
    <w:p>
      <w:pPr>
        <w:widowControl/>
        <w:spacing w:after="240" w:line="360" w:lineRule="auto"/>
        <w:jc w:val="left"/>
        <w:rPr>
          <w:sz w:val="28"/>
          <w:szCs w:val="28"/>
        </w:rPr>
      </w:pPr>
      <w:r>
        <w:rPr>
          <w:sz w:val="28"/>
          <w:szCs w:val="28"/>
        </w:rPr>
        <w:t>4.1</w:t>
      </w:r>
      <w:r>
        <w:rPr>
          <w:rFonts w:hint="eastAsia"/>
          <w:sz w:val="28"/>
          <w:szCs w:val="28"/>
        </w:rPr>
        <w:t>投标人可通过中国建筑云筑网（</w:t>
      </w:r>
      <w:r>
        <w:rPr>
          <w:sz w:val="28"/>
          <w:szCs w:val="28"/>
        </w:rPr>
        <w:t>http:// jc.yzw.cn/</w:t>
      </w:r>
      <w:r>
        <w:rPr>
          <w:rFonts w:hint="eastAsia"/>
          <w:sz w:val="28"/>
          <w:szCs w:val="28"/>
        </w:rPr>
        <w:t>）报名。</w:t>
      </w:r>
    </w:p>
    <w:p>
      <w:pPr>
        <w:widowControl/>
        <w:spacing w:after="240" w:line="360" w:lineRule="auto"/>
        <w:jc w:val="left"/>
        <w:rPr>
          <w:sz w:val="28"/>
          <w:szCs w:val="28"/>
        </w:rPr>
      </w:pPr>
      <w:r>
        <w:rPr>
          <w:sz w:val="28"/>
          <w:szCs w:val="28"/>
        </w:rPr>
        <w:t>4.2</w:t>
      </w:r>
      <w:r>
        <w:rPr>
          <w:rFonts w:hint="eastAsia"/>
          <w:sz w:val="28"/>
          <w:szCs w:val="28"/>
        </w:rPr>
        <w:t>为便于投标人通过资格审查，投标人必须更新注册在中国建筑集采交易平台的相关信息，资格审查通过的投标人方具备投标资格。</w:t>
      </w:r>
    </w:p>
    <w:p>
      <w:pPr>
        <w:widowControl/>
        <w:spacing w:after="240" w:line="360" w:lineRule="auto"/>
        <w:jc w:val="left"/>
        <w:rPr>
          <w:sz w:val="28"/>
          <w:szCs w:val="28"/>
        </w:rPr>
      </w:pPr>
      <w:r>
        <w:rPr>
          <w:sz w:val="28"/>
          <w:szCs w:val="28"/>
        </w:rPr>
        <w:t>5</w:t>
      </w:r>
      <w:r>
        <w:rPr>
          <w:rFonts w:hint="eastAsia"/>
          <w:sz w:val="28"/>
          <w:szCs w:val="28"/>
        </w:rPr>
        <w:t>、公告发布与投标报名截止时间：</w:t>
      </w:r>
      <w:r>
        <w:rPr>
          <w:sz w:val="28"/>
          <w:szCs w:val="28"/>
        </w:rPr>
        <w:t xml:space="preserve"> </w:t>
      </w:r>
    </w:p>
    <w:p>
      <w:pPr>
        <w:widowControl/>
        <w:spacing w:after="240" w:line="360" w:lineRule="auto"/>
        <w:jc w:val="left"/>
        <w:rPr>
          <w:sz w:val="28"/>
          <w:szCs w:val="28"/>
        </w:rPr>
      </w:pPr>
      <w:r>
        <w:rPr>
          <w:sz w:val="28"/>
          <w:szCs w:val="28"/>
        </w:rPr>
        <w:t>5.1</w:t>
      </w:r>
      <w:r>
        <w:rPr>
          <w:rFonts w:hint="eastAsia"/>
          <w:sz w:val="28"/>
          <w:szCs w:val="28"/>
        </w:rPr>
        <w:t>招标公告发布时间：</w:t>
      </w:r>
      <w:r>
        <w:rPr>
          <w:sz w:val="28"/>
          <w:szCs w:val="28"/>
        </w:rPr>
        <w:t xml:space="preserve"> </w:t>
      </w:r>
      <w:r>
        <w:rPr>
          <w:rFonts w:hint="eastAsia"/>
          <w:sz w:val="28"/>
          <w:szCs w:val="28"/>
        </w:rPr>
        <w:t>详见平台通知时间。</w:t>
      </w:r>
    </w:p>
    <w:p>
      <w:pPr>
        <w:widowControl/>
        <w:spacing w:after="240" w:line="360" w:lineRule="auto"/>
        <w:jc w:val="left"/>
        <w:rPr>
          <w:sz w:val="28"/>
          <w:szCs w:val="28"/>
        </w:rPr>
      </w:pPr>
      <w:r>
        <w:rPr>
          <w:sz w:val="28"/>
          <w:szCs w:val="28"/>
        </w:rPr>
        <w:t>5.2</w:t>
      </w:r>
      <w:r>
        <w:rPr>
          <w:rFonts w:hint="eastAsia"/>
          <w:sz w:val="28"/>
          <w:szCs w:val="28"/>
        </w:rPr>
        <w:t>本招标项目的报名截止时间为：</w:t>
      </w:r>
      <w:r>
        <w:rPr>
          <w:sz w:val="28"/>
          <w:szCs w:val="28"/>
        </w:rPr>
        <w:t xml:space="preserve"> </w:t>
      </w:r>
      <w:r>
        <w:rPr>
          <w:rFonts w:hint="eastAsia"/>
          <w:sz w:val="28"/>
          <w:szCs w:val="28"/>
        </w:rPr>
        <w:t>详见平台通知时间。</w:t>
      </w:r>
    </w:p>
    <w:p>
      <w:pPr>
        <w:widowControl/>
        <w:spacing w:after="240" w:line="360" w:lineRule="auto"/>
        <w:jc w:val="left"/>
        <w:rPr>
          <w:rFonts w:ascii="??_GB2312" w:hAnsi="宋体"/>
          <w:snapToGrid w:val="0"/>
          <w:sz w:val="28"/>
          <w:szCs w:val="28"/>
        </w:rPr>
      </w:pPr>
      <w:r>
        <w:rPr>
          <w:rFonts w:hint="eastAsia"/>
          <w:sz w:val="28"/>
          <w:szCs w:val="28"/>
        </w:rPr>
        <w:t>招</w:t>
      </w:r>
      <w:r>
        <w:rPr>
          <w:sz w:val="28"/>
          <w:szCs w:val="28"/>
        </w:rPr>
        <w:t xml:space="preserve"> </w:t>
      </w:r>
      <w:r>
        <w:rPr>
          <w:rFonts w:hint="eastAsia"/>
          <w:sz w:val="28"/>
          <w:szCs w:val="28"/>
        </w:rPr>
        <w:t>标</w:t>
      </w:r>
      <w:r>
        <w:rPr>
          <w:sz w:val="28"/>
          <w:szCs w:val="28"/>
        </w:rPr>
        <w:t xml:space="preserve"> </w:t>
      </w:r>
      <w:r>
        <w:rPr>
          <w:rFonts w:hint="eastAsia"/>
          <w:sz w:val="28"/>
          <w:szCs w:val="28"/>
        </w:rPr>
        <w:t>人：中国建筑第六工程局有限公司</w:t>
      </w:r>
      <w:r>
        <w:rPr>
          <w:sz w:val="28"/>
          <w:szCs w:val="28"/>
        </w:rPr>
        <w:br w:type="textWrapping"/>
      </w:r>
      <w:r>
        <w:rPr>
          <w:rFonts w:hint="eastAsia"/>
          <w:sz w:val="28"/>
          <w:szCs w:val="28"/>
        </w:rPr>
        <w:t>办公地址：</w:t>
      </w:r>
      <w:r>
        <w:rPr>
          <w:rFonts w:ascii="??_GB2312" w:hAnsi="宋体" w:eastAsia="Times New Roman"/>
          <w:snapToGrid w:val="0"/>
          <w:sz w:val="28"/>
          <w:szCs w:val="28"/>
        </w:rPr>
        <w:t>天津市</w:t>
      </w:r>
      <w:r>
        <w:rPr>
          <w:rFonts w:hint="eastAsia" w:ascii="??_GB2312" w:hAnsi="宋体"/>
          <w:snapToGrid w:val="0"/>
          <w:sz w:val="28"/>
          <w:szCs w:val="28"/>
        </w:rPr>
        <w:t>河东区八纬路219号</w:t>
      </w:r>
    </w:p>
    <w:p>
      <w:pPr>
        <w:widowControl/>
        <w:spacing w:after="240" w:line="360" w:lineRule="auto"/>
        <w:jc w:val="left"/>
        <w:rPr>
          <w:sz w:val="28"/>
          <w:szCs w:val="28"/>
        </w:rPr>
      </w:pPr>
      <w:r>
        <w:rPr>
          <w:rFonts w:hint="eastAsia"/>
          <w:sz w:val="28"/>
          <w:szCs w:val="28"/>
        </w:rPr>
        <w:t>邮政编码：</w:t>
      </w:r>
      <w:r>
        <w:rPr>
          <w:sz w:val="28"/>
          <w:szCs w:val="28"/>
        </w:rPr>
        <w:t>300450</w:t>
      </w:r>
    </w:p>
    <w:p>
      <w:pPr>
        <w:snapToGrid w:val="0"/>
        <w:spacing w:line="360" w:lineRule="auto"/>
        <w:ind w:left="420" w:hanging="420" w:hangingChars="150"/>
        <w:outlineLvl w:val="0"/>
        <w:rPr>
          <w:rFonts w:hint="default" w:ascii="宋体" w:eastAsia="宋体"/>
          <w:sz w:val="28"/>
          <w:szCs w:val="28"/>
          <w:lang w:val="en-US" w:eastAsia="zh-CN"/>
        </w:rPr>
      </w:pPr>
      <w:r>
        <w:rPr>
          <w:rFonts w:hint="eastAsia"/>
          <w:sz w:val="28"/>
          <w:szCs w:val="28"/>
        </w:rPr>
        <w:t>联</w:t>
      </w:r>
      <w:r>
        <w:rPr>
          <w:sz w:val="28"/>
          <w:szCs w:val="28"/>
        </w:rPr>
        <w:t xml:space="preserve"> </w:t>
      </w:r>
      <w:r>
        <w:rPr>
          <w:rFonts w:hint="eastAsia"/>
          <w:sz w:val="28"/>
          <w:szCs w:val="28"/>
        </w:rPr>
        <w:t>系</w:t>
      </w:r>
      <w:r>
        <w:rPr>
          <w:sz w:val="28"/>
          <w:szCs w:val="28"/>
        </w:rPr>
        <w:t xml:space="preserve"> </w:t>
      </w:r>
      <w:r>
        <w:rPr>
          <w:rFonts w:hint="eastAsia"/>
          <w:sz w:val="28"/>
          <w:szCs w:val="28"/>
        </w:rPr>
        <w:t>人：</w:t>
      </w:r>
      <w:r>
        <w:rPr>
          <w:rFonts w:hint="eastAsia"/>
          <w:sz w:val="28"/>
          <w:szCs w:val="28"/>
          <w:lang w:val="en-US" w:eastAsia="zh-CN"/>
        </w:rPr>
        <w:t>赵丽婷</w:t>
      </w:r>
      <w:r>
        <w:rPr>
          <w:sz w:val="28"/>
          <w:szCs w:val="28"/>
        </w:rPr>
        <w:t xml:space="preserve">   </w:t>
      </w:r>
      <w:r>
        <w:rPr>
          <w:rFonts w:hint="eastAsia"/>
          <w:sz w:val="28"/>
          <w:szCs w:val="28"/>
        </w:rPr>
        <w:t>电话：</w:t>
      </w:r>
      <w:r>
        <w:rPr>
          <w:rFonts w:hint="eastAsia"/>
          <w:sz w:val="28"/>
          <w:szCs w:val="28"/>
          <w:lang w:val="en-US" w:eastAsia="zh-CN"/>
        </w:rPr>
        <w:t>13936329827</w:t>
      </w:r>
    </w:p>
    <w:p>
      <w:pPr>
        <w:widowControl/>
        <w:spacing w:after="240" w:line="360" w:lineRule="auto"/>
        <w:jc w:val="left"/>
        <w:rPr>
          <w:sz w:val="28"/>
          <w:szCs w:val="28"/>
        </w:rPr>
      </w:pPr>
      <w:r>
        <w:rPr>
          <w:sz w:val="28"/>
          <w:szCs w:val="28"/>
        </w:rPr>
        <w:t xml:space="preserve">           </w:t>
      </w:r>
    </w:p>
    <w:p>
      <w:pPr>
        <w:widowControl/>
        <w:spacing w:after="240" w:line="360" w:lineRule="auto"/>
        <w:ind w:firstLine="4620" w:firstLineChars="1650"/>
        <w:jc w:val="left"/>
        <w:rPr>
          <w:sz w:val="28"/>
          <w:szCs w:val="28"/>
        </w:rPr>
      </w:pPr>
      <w:bookmarkStart w:id="0" w:name="_GoBack"/>
      <w:bookmarkEnd w:id="0"/>
      <w:r>
        <w:rPr>
          <w:rFonts w:hint="eastAsia"/>
          <w:sz w:val="28"/>
          <w:szCs w:val="28"/>
        </w:rPr>
        <w:t>日期</w:t>
      </w:r>
      <w:r>
        <w:rPr>
          <w:sz w:val="28"/>
          <w:szCs w:val="28"/>
        </w:rPr>
        <w:t>: 20</w:t>
      </w:r>
      <w:r>
        <w:rPr>
          <w:rFonts w:hint="eastAsia"/>
          <w:sz w:val="28"/>
          <w:szCs w:val="28"/>
        </w:rPr>
        <w:t>20年</w:t>
      </w:r>
      <w:r>
        <w:rPr>
          <w:rFonts w:hint="eastAsia"/>
          <w:sz w:val="28"/>
          <w:szCs w:val="28"/>
          <w:lang w:val="en-US" w:eastAsia="zh-CN"/>
        </w:rPr>
        <w:t>10</w:t>
      </w:r>
      <w:r>
        <w:rPr>
          <w:rFonts w:hint="eastAsia"/>
          <w:sz w:val="28"/>
          <w:szCs w:val="28"/>
        </w:rPr>
        <w:t>月</w:t>
      </w:r>
      <w:r>
        <w:rPr>
          <w:rFonts w:hint="eastAsia"/>
          <w:sz w:val="28"/>
          <w:szCs w:val="28"/>
          <w:lang w:val="en-US" w:eastAsia="zh-CN"/>
        </w:rPr>
        <w:t>10</w:t>
      </w:r>
      <w:r>
        <w:rPr>
          <w:rFonts w:hint="eastAsia"/>
          <w:sz w:val="28"/>
          <w:szCs w:val="28"/>
        </w:rPr>
        <w:t>日</w:t>
      </w:r>
    </w:p>
    <w:sectPr>
      <w:pgSz w:w="11906" w:h="16838"/>
      <w:pgMar w:top="1247" w:right="1361"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_GB2312">
    <w:altName w:val="Lucida Console"/>
    <w:panose1 w:val="00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11AF8"/>
    <w:multiLevelType w:val="singleLevel"/>
    <w:tmpl w:val="F9F11AF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73"/>
    <w:rsid w:val="000C6591"/>
    <w:rsid w:val="0010659B"/>
    <w:rsid w:val="00113848"/>
    <w:rsid w:val="00123A32"/>
    <w:rsid w:val="00123D39"/>
    <w:rsid w:val="00157F22"/>
    <w:rsid w:val="00172A27"/>
    <w:rsid w:val="00177BA8"/>
    <w:rsid w:val="001B5E3C"/>
    <w:rsid w:val="001E3DA3"/>
    <w:rsid w:val="002100BD"/>
    <w:rsid w:val="00280EF6"/>
    <w:rsid w:val="002B79E1"/>
    <w:rsid w:val="002E43D0"/>
    <w:rsid w:val="00310BC0"/>
    <w:rsid w:val="00324C75"/>
    <w:rsid w:val="00341BD9"/>
    <w:rsid w:val="003461DB"/>
    <w:rsid w:val="00353427"/>
    <w:rsid w:val="00354DB7"/>
    <w:rsid w:val="003D5C2D"/>
    <w:rsid w:val="004709DE"/>
    <w:rsid w:val="004958E2"/>
    <w:rsid w:val="004A0500"/>
    <w:rsid w:val="00506CF6"/>
    <w:rsid w:val="005149A1"/>
    <w:rsid w:val="00563842"/>
    <w:rsid w:val="00566375"/>
    <w:rsid w:val="0058326E"/>
    <w:rsid w:val="00592C23"/>
    <w:rsid w:val="005B22C6"/>
    <w:rsid w:val="005B43B2"/>
    <w:rsid w:val="005E1530"/>
    <w:rsid w:val="00623EAA"/>
    <w:rsid w:val="00637C8A"/>
    <w:rsid w:val="00655038"/>
    <w:rsid w:val="006B4B63"/>
    <w:rsid w:val="006B7382"/>
    <w:rsid w:val="006F6AB8"/>
    <w:rsid w:val="00702A2A"/>
    <w:rsid w:val="00707411"/>
    <w:rsid w:val="0072348B"/>
    <w:rsid w:val="007235C5"/>
    <w:rsid w:val="007453D2"/>
    <w:rsid w:val="007509A4"/>
    <w:rsid w:val="007C1749"/>
    <w:rsid w:val="007C284D"/>
    <w:rsid w:val="007D140D"/>
    <w:rsid w:val="007E10F2"/>
    <w:rsid w:val="007F4691"/>
    <w:rsid w:val="0080273C"/>
    <w:rsid w:val="0088681E"/>
    <w:rsid w:val="008A2389"/>
    <w:rsid w:val="008E60B1"/>
    <w:rsid w:val="008F1A6D"/>
    <w:rsid w:val="008F7C36"/>
    <w:rsid w:val="00923B0B"/>
    <w:rsid w:val="00980E2E"/>
    <w:rsid w:val="009832AE"/>
    <w:rsid w:val="0099752E"/>
    <w:rsid w:val="009B10F5"/>
    <w:rsid w:val="009B5E14"/>
    <w:rsid w:val="009C6A55"/>
    <w:rsid w:val="00A50798"/>
    <w:rsid w:val="00A92D2C"/>
    <w:rsid w:val="00A96A26"/>
    <w:rsid w:val="00AA5BE9"/>
    <w:rsid w:val="00AC0D82"/>
    <w:rsid w:val="00B14843"/>
    <w:rsid w:val="00B149ED"/>
    <w:rsid w:val="00B54D9F"/>
    <w:rsid w:val="00B67DD9"/>
    <w:rsid w:val="00BD2CC0"/>
    <w:rsid w:val="00BF26EF"/>
    <w:rsid w:val="00C04772"/>
    <w:rsid w:val="00C1377F"/>
    <w:rsid w:val="00C22CDC"/>
    <w:rsid w:val="00C34689"/>
    <w:rsid w:val="00C51A2D"/>
    <w:rsid w:val="00CA5E14"/>
    <w:rsid w:val="00CA77DD"/>
    <w:rsid w:val="00CF016B"/>
    <w:rsid w:val="00D02046"/>
    <w:rsid w:val="00D12E17"/>
    <w:rsid w:val="00D141F2"/>
    <w:rsid w:val="00D1635E"/>
    <w:rsid w:val="00D30D28"/>
    <w:rsid w:val="00D33EEC"/>
    <w:rsid w:val="00D8764E"/>
    <w:rsid w:val="00DE5768"/>
    <w:rsid w:val="00E10231"/>
    <w:rsid w:val="00E21898"/>
    <w:rsid w:val="00E95F8B"/>
    <w:rsid w:val="00EB17C9"/>
    <w:rsid w:val="00EB315E"/>
    <w:rsid w:val="00F94656"/>
    <w:rsid w:val="00FC4A81"/>
    <w:rsid w:val="00FD2189"/>
    <w:rsid w:val="02D3191D"/>
    <w:rsid w:val="036631F2"/>
    <w:rsid w:val="039C5AF7"/>
    <w:rsid w:val="03F56594"/>
    <w:rsid w:val="04536FC0"/>
    <w:rsid w:val="05477690"/>
    <w:rsid w:val="076A3F5D"/>
    <w:rsid w:val="078F7B7E"/>
    <w:rsid w:val="0B293234"/>
    <w:rsid w:val="0D2A4745"/>
    <w:rsid w:val="0D894493"/>
    <w:rsid w:val="0FD708CA"/>
    <w:rsid w:val="0FF23A2E"/>
    <w:rsid w:val="10051CA4"/>
    <w:rsid w:val="10094DEC"/>
    <w:rsid w:val="152C391A"/>
    <w:rsid w:val="15A92F0C"/>
    <w:rsid w:val="15C057E9"/>
    <w:rsid w:val="161A5A17"/>
    <w:rsid w:val="19066765"/>
    <w:rsid w:val="1931426E"/>
    <w:rsid w:val="197512CE"/>
    <w:rsid w:val="1BF76F0F"/>
    <w:rsid w:val="1C2E120F"/>
    <w:rsid w:val="1CCE01E8"/>
    <w:rsid w:val="1D2A7823"/>
    <w:rsid w:val="1D6B353D"/>
    <w:rsid w:val="1E8D258B"/>
    <w:rsid w:val="1ED8005A"/>
    <w:rsid w:val="1F730364"/>
    <w:rsid w:val="23136F15"/>
    <w:rsid w:val="25D37E9A"/>
    <w:rsid w:val="26885795"/>
    <w:rsid w:val="287116EF"/>
    <w:rsid w:val="29F920CE"/>
    <w:rsid w:val="2ACC780B"/>
    <w:rsid w:val="2B1A2564"/>
    <w:rsid w:val="2C1526DB"/>
    <w:rsid w:val="2C7F3A47"/>
    <w:rsid w:val="2CEB0ADD"/>
    <w:rsid w:val="2D1556C9"/>
    <w:rsid w:val="2E3A4C32"/>
    <w:rsid w:val="2E817966"/>
    <w:rsid w:val="2FBD4003"/>
    <w:rsid w:val="317D00F9"/>
    <w:rsid w:val="32331555"/>
    <w:rsid w:val="32E747E1"/>
    <w:rsid w:val="33693FA5"/>
    <w:rsid w:val="34736E0D"/>
    <w:rsid w:val="35472745"/>
    <w:rsid w:val="366429C0"/>
    <w:rsid w:val="36B00819"/>
    <w:rsid w:val="36F25E65"/>
    <w:rsid w:val="3813631C"/>
    <w:rsid w:val="38CF29ED"/>
    <w:rsid w:val="39914282"/>
    <w:rsid w:val="39AB6087"/>
    <w:rsid w:val="39D04D36"/>
    <w:rsid w:val="3B0B3219"/>
    <w:rsid w:val="3C7B06A4"/>
    <w:rsid w:val="3FF4398B"/>
    <w:rsid w:val="40E71E8D"/>
    <w:rsid w:val="426D0EAD"/>
    <w:rsid w:val="453F1C41"/>
    <w:rsid w:val="45EA5DD1"/>
    <w:rsid w:val="46035850"/>
    <w:rsid w:val="46937BA0"/>
    <w:rsid w:val="47A55C20"/>
    <w:rsid w:val="4B8C791B"/>
    <w:rsid w:val="4BCE2E73"/>
    <w:rsid w:val="4BD2433F"/>
    <w:rsid w:val="4BF44F82"/>
    <w:rsid w:val="4C4C5497"/>
    <w:rsid w:val="4DBF51EF"/>
    <w:rsid w:val="4E35450A"/>
    <w:rsid w:val="4F0E2DE5"/>
    <w:rsid w:val="4F6C7D5B"/>
    <w:rsid w:val="4FD47ADA"/>
    <w:rsid w:val="50BD13C1"/>
    <w:rsid w:val="50EB02DC"/>
    <w:rsid w:val="526901DB"/>
    <w:rsid w:val="54DD2A74"/>
    <w:rsid w:val="56CB42E9"/>
    <w:rsid w:val="579560F2"/>
    <w:rsid w:val="5BE85332"/>
    <w:rsid w:val="5C9235C6"/>
    <w:rsid w:val="5D170B88"/>
    <w:rsid w:val="5F0C2279"/>
    <w:rsid w:val="5F886CBA"/>
    <w:rsid w:val="606C18D9"/>
    <w:rsid w:val="63D63DAD"/>
    <w:rsid w:val="674E6FDD"/>
    <w:rsid w:val="676F3A39"/>
    <w:rsid w:val="678A6F9A"/>
    <w:rsid w:val="68E02108"/>
    <w:rsid w:val="69392007"/>
    <w:rsid w:val="693C09A1"/>
    <w:rsid w:val="6A2517B0"/>
    <w:rsid w:val="6B076227"/>
    <w:rsid w:val="6BE67FA7"/>
    <w:rsid w:val="6C606F65"/>
    <w:rsid w:val="6C612FEB"/>
    <w:rsid w:val="6C88534E"/>
    <w:rsid w:val="6CC560A2"/>
    <w:rsid w:val="6CDE6BD7"/>
    <w:rsid w:val="6ED0275C"/>
    <w:rsid w:val="70EE5D68"/>
    <w:rsid w:val="715F483E"/>
    <w:rsid w:val="716F427A"/>
    <w:rsid w:val="71785CC9"/>
    <w:rsid w:val="72CF14D9"/>
    <w:rsid w:val="73893761"/>
    <w:rsid w:val="749A7818"/>
    <w:rsid w:val="74AF2AFB"/>
    <w:rsid w:val="763E25D0"/>
    <w:rsid w:val="78A100EF"/>
    <w:rsid w:val="79603750"/>
    <w:rsid w:val="797C6DB9"/>
    <w:rsid w:val="7A2C3B88"/>
    <w:rsid w:val="7AE732E4"/>
    <w:rsid w:val="7B911F6A"/>
    <w:rsid w:val="7B9B480E"/>
    <w:rsid w:val="7C23256C"/>
    <w:rsid w:val="7D3E27B5"/>
    <w:rsid w:val="7DEB5DC4"/>
    <w:rsid w:val="7E733F04"/>
    <w:rsid w:val="7F083335"/>
    <w:rsid w:val="7F186F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qFormat="1" w:unhideWhenUsed="0" w:uiPriority="9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keepNext/>
      <w:jc w:val="center"/>
      <w:outlineLvl w:val="1"/>
    </w:pPr>
    <w:rPr>
      <w:rFonts w:ascii="楷体_GB2312" w:eastAsia="楷体_GB2312"/>
      <w:b/>
      <w:bCs/>
      <w:sz w:val="24"/>
    </w:rPr>
  </w:style>
  <w:style w:type="paragraph" w:styleId="3">
    <w:name w:val="heading 3"/>
    <w:basedOn w:val="1"/>
    <w:next w:val="1"/>
    <w:link w:val="15"/>
    <w:qFormat/>
    <w:uiPriority w:val="9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99"/>
    <w:pPr>
      <w:adjustRightInd w:val="0"/>
      <w:spacing w:line="360" w:lineRule="atLeast"/>
      <w:jc w:val="left"/>
      <w:textAlignment w:val="baseline"/>
    </w:pPr>
    <w:rPr>
      <w:kern w:val="0"/>
      <w:sz w:val="24"/>
      <w:szCs w:val="20"/>
    </w:rPr>
  </w:style>
  <w:style w:type="paragraph" w:styleId="5">
    <w:name w:val="toc 3"/>
    <w:basedOn w:val="1"/>
    <w:next w:val="1"/>
    <w:qFormat/>
    <w:locked/>
    <w:uiPriority w:val="99"/>
    <w:pPr>
      <w:ind w:left="840" w:leftChars="400"/>
    </w:p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FollowedHyperlink"/>
    <w:basedOn w:val="10"/>
    <w:semiHidden/>
    <w:qFormat/>
    <w:uiPriority w:val="99"/>
    <w:rPr>
      <w:rFonts w:cs="Times New Roman"/>
      <w:color w:val="800080"/>
      <w:u w:val="single"/>
    </w:rPr>
  </w:style>
  <w:style w:type="character" w:styleId="13">
    <w:name w:val="Hyperlink"/>
    <w:basedOn w:val="10"/>
    <w:qFormat/>
    <w:uiPriority w:val="99"/>
    <w:rPr>
      <w:rFonts w:cs="Times New Roman"/>
      <w:color w:val="0000FF"/>
      <w:u w:val="single"/>
    </w:rPr>
  </w:style>
  <w:style w:type="character" w:customStyle="1" w:styleId="14">
    <w:name w:val="标题 2 Char"/>
    <w:basedOn w:val="10"/>
    <w:link w:val="2"/>
    <w:semiHidden/>
    <w:qFormat/>
    <w:locked/>
    <w:uiPriority w:val="99"/>
    <w:rPr>
      <w:rFonts w:ascii="Cambria" w:hAnsi="Cambria" w:eastAsia="宋体" w:cs="Times New Roman"/>
      <w:b/>
      <w:bCs/>
      <w:sz w:val="32"/>
      <w:szCs w:val="32"/>
    </w:rPr>
  </w:style>
  <w:style w:type="character" w:customStyle="1" w:styleId="15">
    <w:name w:val="标题 3 Char"/>
    <w:basedOn w:val="10"/>
    <w:link w:val="3"/>
    <w:semiHidden/>
    <w:qFormat/>
    <w:locked/>
    <w:uiPriority w:val="99"/>
    <w:rPr>
      <w:rFonts w:cs="Times New Roman"/>
      <w:b/>
      <w:bCs/>
      <w:sz w:val="32"/>
      <w:szCs w:val="32"/>
    </w:rPr>
  </w:style>
  <w:style w:type="character" w:customStyle="1" w:styleId="16">
    <w:name w:val="批注文字 Char"/>
    <w:basedOn w:val="10"/>
    <w:link w:val="4"/>
    <w:semiHidden/>
    <w:qFormat/>
    <w:locked/>
    <w:uiPriority w:val="99"/>
    <w:rPr>
      <w:rFonts w:cs="Times New Roman"/>
      <w:sz w:val="24"/>
      <w:szCs w:val="24"/>
    </w:rPr>
  </w:style>
  <w:style w:type="character" w:customStyle="1" w:styleId="17">
    <w:name w:val="页脚 Char"/>
    <w:basedOn w:val="10"/>
    <w:link w:val="6"/>
    <w:semiHidden/>
    <w:qFormat/>
    <w:locked/>
    <w:uiPriority w:val="99"/>
    <w:rPr>
      <w:rFonts w:cs="Times New Roman"/>
      <w:sz w:val="18"/>
      <w:szCs w:val="18"/>
    </w:rPr>
  </w:style>
  <w:style w:type="character" w:customStyle="1" w:styleId="18">
    <w:name w:val="页眉 Char"/>
    <w:basedOn w:val="10"/>
    <w:link w:val="7"/>
    <w:semiHidden/>
    <w:qFormat/>
    <w:locked/>
    <w:uiPriority w:val="99"/>
    <w:rPr>
      <w:rFonts w:cs="Times New Roman"/>
      <w:sz w:val="18"/>
      <w:szCs w:val="18"/>
    </w:rPr>
  </w:style>
  <w:style w:type="paragraph" w:customStyle="1" w:styleId="19">
    <w:name w:val="列出段落1"/>
    <w:basedOn w:val="1"/>
    <w:qFormat/>
    <w:uiPriority w:val="99"/>
    <w:pPr>
      <w:ind w:firstLine="420" w:firstLineChars="200"/>
    </w:pPr>
  </w:style>
  <w:style w:type="paragraph" w:customStyle="1" w:styleId="20">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listparagraph"/>
    <w:basedOn w:val="1"/>
    <w:qFormat/>
    <w:uiPriority w:val="99"/>
    <w:pPr>
      <w:widowControl/>
      <w:spacing w:before="100" w:beforeAutospacing="1" w:after="100" w:afterAutospacing="1"/>
      <w:jc w:val="left"/>
    </w:pPr>
    <w:rPr>
      <w:rFonts w:ascii="宋体" w:hAnsi="宋体" w:cs="宋体"/>
      <w:kern w:val="0"/>
      <w:sz w:val="24"/>
    </w:rPr>
  </w:style>
  <w:style w:type="character" w:customStyle="1" w:styleId="22">
    <w:name w:val="font01"/>
    <w:basedOn w:val="10"/>
    <w:qFormat/>
    <w:uiPriority w:val="99"/>
    <w:rPr>
      <w:rFonts w:ascii="宋体" w:hAnsi="宋体" w:eastAsia="宋体" w:cs="宋体"/>
      <w:color w:val="000000"/>
      <w:sz w:val="20"/>
      <w:szCs w:val="20"/>
      <w:u w:val="none"/>
    </w:rPr>
  </w:style>
  <w:style w:type="character" w:customStyle="1" w:styleId="23">
    <w:name w:val="font11"/>
    <w:basedOn w:val="10"/>
    <w:qFormat/>
    <w:uiPriority w:val="99"/>
    <w:rPr>
      <w:rFonts w:ascii="Times New Roman" w:hAnsi="Times New Roman" w:cs="Times New Roman"/>
      <w:color w:val="000000"/>
      <w:sz w:val="20"/>
      <w:szCs w:val="20"/>
      <w:u w:val="none"/>
    </w:rPr>
  </w:style>
  <w:style w:type="paragraph" w:customStyle="1" w:styleId="2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244</Words>
  <Characters>1391</Characters>
  <Lines>11</Lines>
  <Paragraphs>3</Paragraphs>
  <TotalTime>3</TotalTime>
  <ScaleCrop>false</ScaleCrop>
  <LinksUpToDate>false</LinksUpToDate>
  <CharactersWithSpaces>1632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2018-02-04T11:51:00Z</dcterms:created>
  <dc:creator>微软中国</dc:creator>
  <cp:lastModifiedBy>31985</cp:lastModifiedBy>
  <dcterms:modified xsi:type="dcterms:W3CDTF">2020-10-10T09:06:36Z</dcterms:modified>
  <dc:title>福建省龙岩市龙岩大道高架桥工程</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