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中建五局（赣州）工程建设有限公司赣州蓉江新区生态路等市政工程（I标段）项目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>电缆线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采购招标公告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Style w:val="6"/>
          <w:rFonts w:hint="eastAsia" w:ascii="仿宋" w:hAnsi="仿宋" w:eastAsia="仿宋" w:cs="仿宋"/>
          <w:sz w:val="24"/>
          <w:szCs w:val="24"/>
        </w:rPr>
        <w:t>1. 招标条件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根据中国建筑股份有限公司（以下简称：中建股份公司）采购管理方针，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赣州蓉江新区生态路等市政工程（I标段）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>项目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电缆线采购</w:t>
      </w:r>
      <w:r>
        <w:rPr>
          <w:rFonts w:hint="eastAsia" w:ascii="仿宋" w:hAnsi="仿宋" w:eastAsia="仿宋" w:cs="仿宋"/>
          <w:sz w:val="24"/>
          <w:szCs w:val="24"/>
        </w:rPr>
        <w:t>已具备招标条件，招标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  <w:r>
        <w:rPr>
          <w:rFonts w:hint="eastAsia" w:ascii="仿宋" w:hAnsi="仿宋" w:eastAsia="仿宋" w:cs="仿宋"/>
          <w:sz w:val="24"/>
          <w:szCs w:val="24"/>
        </w:rPr>
        <w:t>为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  <w:highlight w:val="none"/>
          <w:u w:val="single"/>
          <w:lang w:eastAsia="zh-CN"/>
        </w:rPr>
        <w:t>中建五局（赣州）工程建设有限公司</w:t>
      </w:r>
      <w:r>
        <w:rPr>
          <w:rFonts w:hint="eastAsia" w:ascii="仿宋" w:hAnsi="仿宋" w:eastAsia="仿宋" w:cs="仿宋"/>
          <w:sz w:val="24"/>
          <w:szCs w:val="24"/>
        </w:rPr>
        <w:t>，现进行公开招标。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Style w:val="6"/>
          <w:rFonts w:hint="eastAsia" w:ascii="仿宋" w:hAnsi="仿宋" w:eastAsia="仿宋" w:cs="仿宋"/>
          <w:sz w:val="24"/>
          <w:szCs w:val="24"/>
        </w:rPr>
        <w:t>2. 项目概况与招标内容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24"/>
          <w:szCs w:val="24"/>
        </w:rPr>
        <w:t>2.1项目概况（说明本次招标项目的建设地点、规模等）：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本标段起点位于城区规划路网善边路，桩号为K2122+800；终点位于南康机场快速路，桩号为K2141+810。沿线经过湖边镇、蟠龙镇、凤岗镇、科技城，总长19.01km。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2.2招标内容：</w:t>
      </w:r>
    </w:p>
    <w:tbl>
      <w:tblPr>
        <w:tblStyle w:val="4"/>
        <w:tblW w:w="78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1899"/>
        <w:gridCol w:w="1589"/>
        <w:gridCol w:w="1054"/>
        <w:gridCol w:w="1327"/>
        <w:gridCol w:w="1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物资名称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规格型号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  <w:t>暂定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铜芯电缆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YJV-4*150+1*70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铜芯电缆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MYP0.66/1.14KV3*35+1*16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矿用防爆电缆线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MCP-0.66/1.14-3*95+1*25+4*2.5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铝芯电缆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YJLV-4*185+1*95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铝芯电缆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YJLV-4*240+1*120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铝芯电缆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YJLV-4*150+1*75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exact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铝芯电缆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YJLV-4*35+1*16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2.3招标结果适用范围：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赣州蓉江新区生态路等市政工程（I标段）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>项目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textAlignment w:val="auto"/>
        <w:rPr>
          <w:rStyle w:val="6"/>
          <w:rFonts w:hint="eastAsia" w:ascii="仿宋" w:hAnsi="仿宋" w:eastAsia="仿宋" w:cs="仿宋"/>
          <w:sz w:val="24"/>
          <w:szCs w:val="24"/>
        </w:rPr>
      </w:pPr>
      <w:r>
        <w:rPr>
          <w:rStyle w:val="6"/>
          <w:rFonts w:hint="eastAsia" w:ascii="仿宋" w:hAnsi="仿宋" w:eastAsia="仿宋" w:cs="仿宋"/>
          <w:sz w:val="24"/>
          <w:szCs w:val="24"/>
        </w:rPr>
        <w:t>投标人资格要求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3.1、具备法律主体资格，具有独立订立及履行合同的能力。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2"/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3.2、具备国家有关部门、行业或公司要求必须取得的质量、计量、安全、环保认证及其他经营许可；在国际有关部门和行业的监督检查中没有不良记录；与五局各单位没有不良合作记录。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2"/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3.3、具有一定的经营规模和服务能力。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2"/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3.4、具有良好的商业信誉和健全的财务会计制度，以及一定的垫资能力。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2"/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3.5、局合格供方名录外单位参与投标，须经招标小组实地考察合格后，方能参与投标。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2"/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3.6、符合上述条件，经招标工作组资格审查后,方为合格的投标人。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Style w:val="6"/>
          <w:rFonts w:hint="eastAsia" w:ascii="仿宋" w:hAnsi="仿宋" w:eastAsia="仿宋" w:cs="仿宋"/>
          <w:sz w:val="24"/>
          <w:szCs w:val="24"/>
        </w:rPr>
        <w:t>4. 投标报名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2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4.1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、报名时间截止：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none"/>
          <w:u w:val="single"/>
          <w:lang w:eastAsia="zh-CN"/>
        </w:rPr>
        <w:t>2020年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none"/>
          <w:u w:val="single"/>
          <w:lang w:val="en-US" w:eastAsia="zh-CN"/>
        </w:rPr>
        <w:t>11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none"/>
          <w:u w:val="single"/>
        </w:rPr>
        <w:t>月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none"/>
          <w:u w:val="single"/>
          <w:lang w:val="en-US" w:eastAsia="zh-CN"/>
        </w:rPr>
        <w:t>15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none"/>
          <w:u w:val="single"/>
        </w:rPr>
        <w:t>日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none"/>
          <w:u w:val="single"/>
          <w:lang w:eastAsia="zh-CN"/>
        </w:rPr>
        <w:t>下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none"/>
          <w:u w:val="single"/>
        </w:rPr>
        <w:t>午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none"/>
          <w:u w:val="single"/>
          <w:lang w:val="en-US" w:eastAsia="zh-CN"/>
        </w:rPr>
        <w:t>18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none"/>
          <w:u w:val="single"/>
        </w:rPr>
        <w:t>：00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，逾期不再接受投标单位的报名。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2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2、报名方式：采取网络报名方式，通过“中建集采平台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云筑网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”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，登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录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网址http://cscec.jc.yzw.cn进行报名，不接受其他方式报名。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2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3、已在“中建集采平台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云筑网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”完成正式供应商注册的投标人，直接登录平台输入用户名和密码，成功登录后签收招标公告并点击报名；未在“中建集采平台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云筑网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”注册的投标人，需先通过平台网页进行注册，注册信息通过审核合格后，再行报名。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2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注：“中建集采平台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云筑网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”网址：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fldChar w:fldCharType="begin"/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instrText xml:space="preserve"> HYPERLINK "http://cscec.jc.yzw.cn" </w:instrTex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fldChar w:fldCharType="separate"/>
      </w:r>
      <w:r>
        <w:rPr>
          <w:rStyle w:val="7"/>
          <w:rFonts w:hint="eastAsia" w:ascii="仿宋" w:hAnsi="仿宋" w:eastAsia="仿宋" w:cs="仿宋"/>
          <w:sz w:val="24"/>
          <w:szCs w:val="24"/>
          <w:highlight w:val="none"/>
        </w:rPr>
        <w:t>http://cscec.jc.yzw.cn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2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  <w:t>、资格审查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2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5.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1、资格审查渠道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2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本次招标的投标人由“中建集采平台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云筑网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”公开报名产生，由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招标小组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按照招标公告指定的时间和地点对投标人进行资格预审，必要时将对投标单位进行考察。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2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5.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2、资格审查资料清单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（1）投标单位营业执照、税务登记证、组织机构代码证，三证原件（正副本均可），提供一套复印件加盖公章存档使用。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（2）法定代表人身份证明及法定代表人授权书证明原件，格式参照招标公告附件。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（3）在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             </w:t>
      </w:r>
      <w:r>
        <w:rPr>
          <w:rFonts w:hint="eastAsia" w:ascii="仿宋" w:hAnsi="仿宋" w:eastAsia="仿宋" w:cs="仿宋"/>
          <w:sz w:val="24"/>
          <w:szCs w:val="24"/>
        </w:rPr>
        <w:t>有固定的办公场所和专职管理人员证明资料（投标企业办公场所权属证明或有效租赁合同原件、管理人员花名册），提供一套复印件加盖公章存档使用。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（4）中建股份公司下属单位提供的合作业绩证明文件原件，要求有中建股份所属分子企业的采购部门签字盖章确认。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（5）投标单位资信等级证书，质量、环境、职业健康安全管理体系认证证书原件。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（6）招标公告中3投标人资格要求中所列必须条件的证明资料原件。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70"/>
        <w:jc w:val="both"/>
        <w:textAlignment w:val="auto"/>
        <w:outlineLvl w:val="2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FF0000"/>
          <w:sz w:val="24"/>
          <w:szCs w:val="24"/>
          <w:highlight w:val="none"/>
        </w:rPr>
        <w:t>提供虚假资料的投标单位，任何时候一经发现，取消其投标资格。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2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5.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3、资格审查时间及地点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2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（1）资格审查时间：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none"/>
          <w:u w:val="single"/>
          <w:lang w:eastAsia="zh-CN"/>
        </w:rPr>
        <w:t>2020年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none"/>
          <w:u w:val="single"/>
          <w:lang w:val="en-US" w:eastAsia="zh-CN"/>
        </w:rPr>
        <w:t>11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none"/>
          <w:u w:val="single"/>
        </w:rPr>
        <w:t>月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none"/>
          <w:u w:val="single"/>
          <w:lang w:val="en-US" w:eastAsia="zh-CN"/>
        </w:rPr>
        <w:t>15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none"/>
          <w:u w:val="single"/>
        </w:rPr>
        <w:t>日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none"/>
          <w:u w:val="single"/>
          <w:lang w:val="en-US" w:eastAsia="zh-CN"/>
        </w:rPr>
        <w:t>至11月16日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2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（2）资格审查地点：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none"/>
          <w:u w:val="single"/>
          <w:lang w:eastAsia="zh-CN"/>
        </w:rPr>
        <w:t>南昌市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none"/>
          <w:u w:val="single"/>
          <w:lang w:val="en-US" w:eastAsia="zh-CN"/>
        </w:rPr>
        <w:t>红谷滩华南城1栋32楼中建五局江西分公司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2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3）资格审查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方式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:通过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“中建集采平台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云筑网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”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进行审查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。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如招标人对网上资审资料有疑议时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投标人应携带相应资料在规定时间内到指定地点进行资格审查，逾期无效。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2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  <w:t>、招标文件的发放时间及方式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2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1、发放时间：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none"/>
          <w:u w:val="single"/>
          <w:lang w:eastAsia="zh-CN"/>
        </w:rPr>
        <w:t>2020年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none"/>
          <w:u w:val="single"/>
          <w:lang w:val="en-US" w:eastAsia="zh-CN"/>
        </w:rPr>
        <w:t>11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none"/>
          <w:u w:val="single"/>
        </w:rPr>
        <w:t>月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none"/>
          <w:u w:val="single"/>
          <w:lang w:val="en-US" w:eastAsia="zh-CN"/>
        </w:rPr>
        <w:t>/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none"/>
          <w:u w:val="single"/>
        </w:rPr>
        <w:t>日</w:t>
      </w:r>
      <w:r>
        <w:rPr>
          <w:rFonts w:hint="eastAsia" w:ascii="仿宋" w:hAnsi="仿宋" w:eastAsia="仿宋" w:cs="仿宋"/>
          <w:color w:val="FF0000"/>
          <w:sz w:val="24"/>
          <w:szCs w:val="24"/>
          <w:highlight w:val="none"/>
        </w:rPr>
        <w:t>。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(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具体时间以云筑网最新通知为准)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2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2、发放形式：招标文件发布电子版，不发布书面招标文件。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2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3、发放平台：招标方通过“中建集采平台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云筑网（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后简称“云筑网”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”（网址：http://cscec.jc.yzw.cn）进行发放。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Style w:val="6"/>
          <w:rFonts w:hint="eastAsia" w:ascii="仿宋" w:hAnsi="仿宋" w:eastAsia="仿宋" w:cs="仿宋"/>
          <w:sz w:val="24"/>
          <w:szCs w:val="24"/>
        </w:rPr>
        <w:t>7. 投标保证金及费用</w:t>
      </w:r>
      <w:r>
        <w:rPr>
          <w:rStyle w:val="6"/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Style w:val="6"/>
          <w:rFonts w:hint="eastAsia" w:ascii="仿宋" w:hAnsi="仿宋" w:eastAsia="仿宋" w:cs="仿宋"/>
          <w:sz w:val="24"/>
          <w:szCs w:val="24"/>
          <w:lang w:val="en-US" w:eastAsia="zh-CN"/>
        </w:rPr>
        <w:t>/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Style w:val="6"/>
          <w:rFonts w:hint="eastAsia" w:ascii="仿宋" w:hAnsi="仿宋" w:eastAsia="仿宋" w:cs="仿宋"/>
          <w:sz w:val="24"/>
          <w:szCs w:val="24"/>
        </w:rPr>
        <w:t>8. 投标文件的递交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8.1投标文件递交的时间为：</w:t>
      </w:r>
      <w:r>
        <w:rPr>
          <w:rFonts w:hint="eastAsia" w:ascii="仿宋" w:hAnsi="仿宋" w:eastAsia="仿宋" w:cs="仿宋"/>
          <w:color w:val="FF0000"/>
          <w:sz w:val="24"/>
          <w:szCs w:val="24"/>
          <w:lang w:val="en-US" w:eastAsia="zh-CN"/>
        </w:rPr>
        <w:t>以云筑网平台发布时间为准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Style w:val="6"/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8.2逾期送达的或者未送达指定地点的投标文件，招标人不予受理。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Style w:val="6"/>
          <w:rFonts w:hint="eastAsia" w:ascii="仿宋" w:hAnsi="仿宋" w:eastAsia="仿宋" w:cs="仿宋"/>
          <w:sz w:val="24"/>
          <w:szCs w:val="24"/>
          <w:lang w:val="en-US" w:eastAsia="zh-CN"/>
        </w:rPr>
        <w:t>9</w:t>
      </w:r>
      <w:r>
        <w:rPr>
          <w:rStyle w:val="6"/>
          <w:rFonts w:hint="eastAsia" w:ascii="仿宋" w:hAnsi="仿宋" w:eastAsia="仿宋" w:cs="仿宋"/>
          <w:sz w:val="24"/>
          <w:szCs w:val="24"/>
        </w:rPr>
        <w:t>. 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kern w:val="0"/>
          <w:sz w:val="24"/>
          <w:szCs w:val="24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招  标  人：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lang w:val="en-US" w:eastAsia="zh-CN" w:bidi="ar"/>
        </w:rPr>
        <w:t>中建五局（赣州）工程建设有限公司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地    址：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>江西省南昌市新建区生米镇华南城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1号公寓32楼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2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 系 人：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>施扬、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周艳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电    话：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18684977949/13576994520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174EDE"/>
    <w:multiLevelType w:val="singleLevel"/>
    <w:tmpl w:val="D0174EDE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55D7C"/>
    <w:rsid w:val="00D627A0"/>
    <w:rsid w:val="01332BAC"/>
    <w:rsid w:val="01DD5001"/>
    <w:rsid w:val="02683D36"/>
    <w:rsid w:val="03522F14"/>
    <w:rsid w:val="043A1CF5"/>
    <w:rsid w:val="047A44D4"/>
    <w:rsid w:val="04C47393"/>
    <w:rsid w:val="04F07E33"/>
    <w:rsid w:val="0DA831F6"/>
    <w:rsid w:val="0F02113E"/>
    <w:rsid w:val="140E5B44"/>
    <w:rsid w:val="16183F57"/>
    <w:rsid w:val="168245C0"/>
    <w:rsid w:val="18394E78"/>
    <w:rsid w:val="18945105"/>
    <w:rsid w:val="18995165"/>
    <w:rsid w:val="18F87733"/>
    <w:rsid w:val="19B335CC"/>
    <w:rsid w:val="1AB80BD1"/>
    <w:rsid w:val="1BF33CC4"/>
    <w:rsid w:val="1D707CAF"/>
    <w:rsid w:val="1DE46E5D"/>
    <w:rsid w:val="20AE6ABB"/>
    <w:rsid w:val="216823D6"/>
    <w:rsid w:val="232B4AAB"/>
    <w:rsid w:val="24D4764E"/>
    <w:rsid w:val="24E762C4"/>
    <w:rsid w:val="25045CF8"/>
    <w:rsid w:val="25487A2A"/>
    <w:rsid w:val="254A001E"/>
    <w:rsid w:val="258B481B"/>
    <w:rsid w:val="258D7DAF"/>
    <w:rsid w:val="266F5921"/>
    <w:rsid w:val="28174D42"/>
    <w:rsid w:val="2A8A3F19"/>
    <w:rsid w:val="2ED37090"/>
    <w:rsid w:val="30AC25FE"/>
    <w:rsid w:val="30F646F2"/>
    <w:rsid w:val="30F74512"/>
    <w:rsid w:val="317B2CA0"/>
    <w:rsid w:val="31C93A22"/>
    <w:rsid w:val="33667399"/>
    <w:rsid w:val="36951021"/>
    <w:rsid w:val="39D46E42"/>
    <w:rsid w:val="39E51868"/>
    <w:rsid w:val="3BC00CE3"/>
    <w:rsid w:val="3F3020D2"/>
    <w:rsid w:val="40311240"/>
    <w:rsid w:val="407A5AA7"/>
    <w:rsid w:val="41992737"/>
    <w:rsid w:val="448753C6"/>
    <w:rsid w:val="46565F5E"/>
    <w:rsid w:val="49125A1D"/>
    <w:rsid w:val="49BD35F4"/>
    <w:rsid w:val="4A315E02"/>
    <w:rsid w:val="4A38409F"/>
    <w:rsid w:val="4B4D4A4F"/>
    <w:rsid w:val="4C524C16"/>
    <w:rsid w:val="4CF0362C"/>
    <w:rsid w:val="4EF31358"/>
    <w:rsid w:val="4FF640C8"/>
    <w:rsid w:val="500107C1"/>
    <w:rsid w:val="505E15FB"/>
    <w:rsid w:val="50DA2FDC"/>
    <w:rsid w:val="585A5BD8"/>
    <w:rsid w:val="5B237572"/>
    <w:rsid w:val="5D163533"/>
    <w:rsid w:val="5DE62CDB"/>
    <w:rsid w:val="5E387452"/>
    <w:rsid w:val="5E7F7AC3"/>
    <w:rsid w:val="5F4875B2"/>
    <w:rsid w:val="5FCF3489"/>
    <w:rsid w:val="60D02E49"/>
    <w:rsid w:val="610C2010"/>
    <w:rsid w:val="616678FD"/>
    <w:rsid w:val="61BE4F70"/>
    <w:rsid w:val="64F65B7E"/>
    <w:rsid w:val="65AC3C4C"/>
    <w:rsid w:val="67896404"/>
    <w:rsid w:val="691C0AE0"/>
    <w:rsid w:val="692233F5"/>
    <w:rsid w:val="69DE4E24"/>
    <w:rsid w:val="6A1A045D"/>
    <w:rsid w:val="6A7F28D0"/>
    <w:rsid w:val="6B1E16F1"/>
    <w:rsid w:val="6BAE30FA"/>
    <w:rsid w:val="6E082047"/>
    <w:rsid w:val="718B5902"/>
    <w:rsid w:val="735256FA"/>
    <w:rsid w:val="745B783A"/>
    <w:rsid w:val="76B86BA9"/>
    <w:rsid w:val="79DD3F42"/>
    <w:rsid w:val="7A1A005E"/>
    <w:rsid w:val="7B5C4345"/>
    <w:rsid w:val="7BA4308C"/>
    <w:rsid w:val="7C5444CC"/>
    <w:rsid w:val="7C96323F"/>
    <w:rsid w:val="7CC75FDA"/>
    <w:rsid w:val="7D90394D"/>
    <w:rsid w:val="7DDB280B"/>
    <w:rsid w:val="7E5F0FC7"/>
    <w:rsid w:val="7F9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/>
      <w:sz w:val="28"/>
      <w:szCs w:val="2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0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MAC</cp:lastModifiedBy>
  <cp:lastPrinted>2020-08-25T09:16:00Z</cp:lastPrinted>
  <dcterms:modified xsi:type="dcterms:W3CDTF">2020-11-12T07:23:16Z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