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_GB2312"/>
          <w:sz w:val="44"/>
          <w:szCs w:val="44"/>
        </w:rPr>
      </w:pPr>
    </w:p>
    <w:p>
      <w:pPr>
        <w:jc w:val="center"/>
        <w:rPr>
          <w:rFonts w:ascii="宋体" w:hAnsi="宋体" w:cs="仿宋_GB2312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仿宋_GB2312"/>
          <w:sz w:val="44"/>
          <w:szCs w:val="44"/>
        </w:rPr>
        <w:t>《</w:t>
      </w:r>
      <w:bookmarkStart w:id="1" w:name="_GoBack"/>
      <w:r>
        <w:rPr>
          <w:rFonts w:hint="eastAsia" w:ascii="宋体" w:hAnsi="宋体" w:cs="仿宋_GB2312"/>
          <w:sz w:val="44"/>
          <w:szCs w:val="44"/>
        </w:rPr>
        <w:t>斗轮堆取料机专用电缆技术协议</w:t>
      </w:r>
      <w:bookmarkEnd w:id="1"/>
      <w:r>
        <w:rPr>
          <w:rFonts w:hint="eastAsia" w:ascii="宋体" w:hAnsi="宋体" w:cs="仿宋_GB2312"/>
          <w:sz w:val="44"/>
          <w:szCs w:val="44"/>
        </w:rPr>
        <w:t>》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（NSHTOEU </w:t>
      </w:r>
      <w:r>
        <w:rPr>
          <w:rFonts w:ascii="仿宋_GB2312" w:hAnsi="仿宋_GB2312" w:eastAsia="仿宋_GB2312"/>
          <w:sz w:val="28"/>
          <w:szCs w:val="28"/>
        </w:rPr>
        <w:t>-</w:t>
      </w:r>
      <w:r>
        <w:rPr>
          <w:rFonts w:hint="eastAsia" w:ascii="仿宋_GB2312" w:hAnsi="仿宋_GB2312" w:eastAsia="仿宋_GB2312"/>
          <w:sz w:val="28"/>
          <w:szCs w:val="28"/>
        </w:rPr>
        <w:t>0</w:t>
      </w:r>
      <w:r>
        <w:rPr>
          <w:rFonts w:ascii="仿宋_GB2312" w:hAnsi="仿宋_GB2312" w:eastAsia="仿宋_GB2312"/>
          <w:sz w:val="28"/>
          <w:szCs w:val="28"/>
        </w:rPr>
        <w:t xml:space="preserve">.6/1KV  </w:t>
      </w:r>
      <w:r>
        <w:rPr>
          <w:rFonts w:hint="eastAsia" w:ascii="仿宋_GB2312" w:hAnsi="仿宋_GB2312" w:eastAsia="仿宋_GB2312"/>
          <w:sz w:val="28"/>
          <w:szCs w:val="28"/>
        </w:rPr>
        <w:t>3×185+1×95）</w:t>
      </w: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斗轮堆取料机专用电缆技术协议</w:t>
      </w:r>
    </w:p>
    <w:p>
      <w:pPr>
        <w:ind w:firstLine="420" w:firstLineChars="200"/>
        <w:rPr>
          <w:rFonts w:ascii="宋体" w:hAnsi="宋体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1名称、型号、规格、外形尺寸及结构。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名称：堆取料机专用移动扁电缆、型号：NSHTO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</w:t>
      </w:r>
      <w:r>
        <w:rPr>
          <w:rFonts w:hint="eastAsia" w:ascii="仿宋" w:hAnsi="仿宋" w:eastAsia="仿宋" w:cs="仿宋"/>
          <w:sz w:val="28"/>
          <w:szCs w:val="28"/>
        </w:rPr>
        <w:t xml:space="preserve">U、电压：0.6/1KV、规格：3×185 +1×95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外形尺寸：不大于宽100×厚36。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 导体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导体采用镀锡退火软铜导体，导体外绕包聚酯带，导体应符合GB/T 3956中第5种镀金属软铜导体的规定。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 绝缘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绝缘采用乙丙橡胶绝缘，185mm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绝缘标称厚度2.0 mm ,95mm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绝缘标称厚度1.6mm，最薄处厚度应不小于标称值的90%-0.1mm。绝缘抗张强度不低于12N/mm²。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1.3 护套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护套采用氯丁橡胶。护套标称厚度3.5mm，最薄处厚度应不小于标称值的85%-0.1mm。护套颜色为黑色。抗张强度不低于15N/mm²。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 电缆试验条件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 电缆185mm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导体直流电阻20℃时不大于0.108Ω/km。95mm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导体直流电阻20℃时不大于0.210Ω/km。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2.2 电缆应经受交流3.5kV，5分钟耐压试验不击穿。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 使用特性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3.1 电缆正常运行时导体允许的长期最高温度为90℃。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3.2电缆工作环境温度-40℃～+60℃，敷设环境温度为大于-30℃。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_GB2312" w:hAnsi="仿宋_GB2312" w:eastAsia="仿宋_GB2312"/>
          <w:bCs/>
          <w:sz w:val="28"/>
          <w:szCs w:val="28"/>
        </w:rPr>
        <w:t>交货期及寿命要求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Hlk46046168"/>
      <w:r>
        <w:rPr>
          <w:rFonts w:hint="eastAsia" w:ascii="仿宋_GB2312" w:hAnsi="仿宋_GB2312" w:eastAsia="仿宋_GB2312" w:cs="Tahoma"/>
          <w:sz w:val="28"/>
          <w:szCs w:val="28"/>
        </w:rPr>
        <w:t>交货期：合同生效二个月内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Tahoma"/>
          <w:sz w:val="28"/>
          <w:szCs w:val="28"/>
        </w:rPr>
        <w:t>寿命要求：</w:t>
      </w:r>
      <w:r>
        <w:rPr>
          <w:rFonts w:hint="eastAsia" w:ascii="仿宋" w:hAnsi="仿宋" w:eastAsia="仿宋" w:cs="仿宋"/>
          <w:sz w:val="28"/>
          <w:szCs w:val="28"/>
        </w:rPr>
        <w:t>仅按规范敷设安装和使用时，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电缆</w:t>
      </w:r>
      <w:r>
        <w:rPr>
          <w:rFonts w:hint="eastAsia" w:ascii="仿宋" w:hAnsi="仿宋" w:eastAsia="仿宋" w:cs="仿宋"/>
          <w:sz w:val="28"/>
          <w:szCs w:val="28"/>
        </w:rPr>
        <w:t>运行寿命为三十六个月。若保质期内产品结构、技术参数低于本协议要求和运行寿命达不到期限的，制造方应免费更换。</w:t>
      </w:r>
      <w:r>
        <w:rPr>
          <w:rFonts w:hint="eastAsia" w:ascii="仿宋_GB2312" w:hAnsi="宋体" w:eastAsia="仿宋_GB2312" w:cs="Tahoma"/>
          <w:sz w:val="28"/>
          <w:szCs w:val="28"/>
        </w:rPr>
        <w:t>如发生电缆质量异议，以国家权威部门(即国家电线电缆质量监督检验中心)鉴定结果为准。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5、包装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加强型电缆盘可采用钢骨架和木板制作，外周用木条或镀锌板封闭并具有承受一定径向撞击力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6、标准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不限于执行DIN VDE 0250。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7、本技术协议作为合同附件，具有同等法律效力，自合同生效之日起执行。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使用方（需方）：</w:t>
      </w:r>
      <w:r>
        <w:rPr>
          <w:rFonts w:hint="eastAsia" w:ascii="仿宋_GB2312" w:hAnsi="宋体" w:eastAsia="仿宋_GB2312" w:cs="Tahoma"/>
          <w:sz w:val="28"/>
          <w:szCs w:val="28"/>
        </w:rPr>
        <w:t>本溪北营钢铁（集团</w:t>
      </w:r>
      <w:r>
        <w:rPr>
          <w:rFonts w:hint="eastAsia" w:ascii="仿宋_GB2312" w:hAnsi="宋体" w:eastAsia="仿宋_GB2312" w:cs="Tahoma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Tahoma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制造方（供方）：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 w:cs="Tahoma"/>
          <w:sz w:val="28"/>
          <w:szCs w:val="28"/>
        </w:rPr>
        <w:t>股份有限公司原料厂</w:t>
      </w:r>
    </w:p>
    <w:p>
      <w:pPr>
        <w:rPr>
          <w:rFonts w:hint="eastAsia" w:ascii="仿宋_GB2312" w:hAnsi="宋体" w:eastAsia="仿宋_GB2312" w:cs="Tahoma"/>
          <w:sz w:val="28"/>
          <w:szCs w:val="28"/>
        </w:rPr>
      </w:pPr>
      <w:r>
        <w:rPr>
          <w:rFonts w:hint="eastAsia" w:ascii="仿宋_GB2312" w:hAnsi="宋体" w:eastAsia="仿宋_GB2312" w:cs="Tahoma"/>
          <w:sz w:val="28"/>
          <w:szCs w:val="28"/>
        </w:rPr>
        <w:t xml:space="preserve">签字（盖章）：                     </w:t>
      </w:r>
      <w:r>
        <w:rPr>
          <w:rFonts w:hint="eastAsia" w:ascii="仿宋_GB2312" w:hAnsi="宋体" w:eastAsia="仿宋_GB2312" w:cs="Tahoma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Tahoma"/>
          <w:sz w:val="28"/>
          <w:szCs w:val="28"/>
        </w:rPr>
        <w:t>签字（盖章）：</w:t>
      </w:r>
    </w:p>
    <w:p>
      <w:pPr>
        <w:rPr>
          <w:rFonts w:hint="eastAsia" w:ascii="仿宋_GB2312" w:hAnsi="宋体" w:eastAsia="仿宋_GB2312" w:cs="Tahoma"/>
          <w:sz w:val="28"/>
          <w:szCs w:val="28"/>
        </w:rPr>
      </w:pPr>
      <w:r>
        <w:rPr>
          <w:rFonts w:hint="eastAsia" w:ascii="仿宋_GB2312" w:hAnsi="宋体" w:eastAsia="仿宋_GB2312" w:cs="Tahoma"/>
          <w:sz w:val="28"/>
          <w:szCs w:val="28"/>
        </w:rPr>
        <w:t xml:space="preserve">年   月   日                     </w:t>
      </w:r>
      <w:r>
        <w:rPr>
          <w:rFonts w:hint="eastAsia" w:ascii="仿宋_GB2312" w:hAnsi="宋体" w:eastAsia="仿宋_GB2312" w:cs="Tahoma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Tahoma"/>
          <w:sz w:val="28"/>
          <w:szCs w:val="28"/>
        </w:rPr>
        <w:t>年   月   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78"/>
    <w:rsid w:val="000A102B"/>
    <w:rsid w:val="0023079D"/>
    <w:rsid w:val="0028722B"/>
    <w:rsid w:val="002A7EA9"/>
    <w:rsid w:val="003F1878"/>
    <w:rsid w:val="005850E2"/>
    <w:rsid w:val="008939FF"/>
    <w:rsid w:val="00A06B2A"/>
    <w:rsid w:val="00A1470B"/>
    <w:rsid w:val="00A76D59"/>
    <w:rsid w:val="00A870F9"/>
    <w:rsid w:val="00B00DB1"/>
    <w:rsid w:val="00C36619"/>
    <w:rsid w:val="00E71474"/>
    <w:rsid w:val="00EA59BE"/>
    <w:rsid w:val="00F83F31"/>
    <w:rsid w:val="00FB746B"/>
    <w:rsid w:val="00FD3068"/>
    <w:rsid w:val="1B7C2B93"/>
    <w:rsid w:val="5E1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2020-07-19T01:02:00Z</dcterms:created>
  <dc:creator>hongping li</dc:creator>
  <cp:lastModifiedBy>金革</cp:lastModifiedBy>
  <dcterms:modified xsi:type="dcterms:W3CDTF">2020-07-22T05:56:21Z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