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Arial" w:hAnsi="Arial" w:cs="Arial"/>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sz w:val="56"/>
          <w:szCs w:val="22"/>
          <w:highlight w:val="none"/>
        </w:rPr>
      </w:pPr>
      <w:r>
        <w:rPr>
          <w:rFonts w:hint="eastAsia" w:ascii="黑体" w:hAnsi="黑体" w:eastAsia="黑体"/>
          <w:sz w:val="56"/>
          <w:szCs w:val="22"/>
          <w:highlight w:val="none"/>
        </w:rPr>
        <w:t>西安热工院生产项目-</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sz w:val="56"/>
          <w:szCs w:val="22"/>
          <w:highlight w:val="yellow"/>
          <w:lang w:val="en-US" w:eastAsia="zh-CN"/>
        </w:rPr>
      </w:pPr>
      <w:r>
        <w:rPr>
          <w:rFonts w:hint="eastAsia" w:ascii="黑体" w:hAnsi="黑体" w:eastAsia="黑体"/>
          <w:sz w:val="56"/>
          <w:szCs w:val="22"/>
          <w:highlight w:val="none"/>
        </w:rPr>
        <w:t>热网首站电缆采购</w:t>
      </w:r>
      <w:r>
        <w:rPr>
          <w:rFonts w:hint="eastAsia" w:ascii="黑体" w:hAnsi="黑体" w:eastAsia="黑体"/>
          <w:sz w:val="56"/>
          <w:szCs w:val="22"/>
          <w:highlight w:val="none"/>
          <w:lang w:val="en-US" w:eastAsia="zh-CN"/>
        </w:rPr>
        <w:t>（202100335）</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sz w:val="56"/>
          <w:szCs w:val="22"/>
          <w:highlight w:val="none"/>
        </w:rPr>
      </w:pPr>
      <w:r>
        <w:rPr>
          <w:rFonts w:hint="eastAsia" w:ascii="黑体" w:hAnsi="黑体" w:eastAsia="黑体"/>
          <w:sz w:val="56"/>
          <w:szCs w:val="22"/>
          <w:highlight w:val="none"/>
        </w:rPr>
        <w:t>询价采购文件</w:t>
      </w:r>
    </w:p>
    <w:p>
      <w:pPr>
        <w:spacing w:line="240" w:lineRule="auto"/>
        <w:ind w:firstLine="0" w:firstLineChars="0"/>
        <w:jc w:val="center"/>
        <w:rPr>
          <w:rFonts w:ascii="黑体" w:eastAsia="黑体"/>
          <w:sz w:val="28"/>
          <w:szCs w:val="28"/>
        </w:rPr>
      </w:pPr>
    </w:p>
    <w:p>
      <w:pPr>
        <w:spacing w:line="240" w:lineRule="auto"/>
        <w:ind w:firstLine="2833" w:firstLineChars="1012"/>
        <w:rPr>
          <w:rFonts w:ascii="黑体" w:eastAsia="黑体"/>
          <w:sz w:val="28"/>
          <w:szCs w:val="28"/>
        </w:rPr>
      </w:pPr>
      <w:r>
        <w:rPr>
          <w:rFonts w:hint="eastAsia" w:ascii="黑体" w:eastAsia="黑体"/>
          <w:sz w:val="28"/>
          <w:szCs w:val="28"/>
        </w:rPr>
        <w:t>采购编号：</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hint="eastAsia" w:ascii="楷体" w:hAnsi="楷体" w:eastAsia="楷体"/>
          <w:sz w:val="28"/>
          <w:szCs w:val="28"/>
          <w:u w:val="single"/>
        </w:rPr>
        <w:t xml:space="preserve">  </w:t>
      </w:r>
      <w:r>
        <w:rPr>
          <w:rFonts w:ascii="楷体" w:hAnsi="楷体" w:eastAsia="楷体"/>
          <w:sz w:val="28"/>
          <w:szCs w:val="28"/>
          <w:u w:val="single"/>
        </w:rPr>
        <w:t xml:space="preserve">         </w:t>
      </w:r>
      <w:r>
        <w:rPr>
          <w:rFonts w:ascii="楷体" w:hAnsi="楷体" w:eastAsia="楷体"/>
          <w:sz w:val="28"/>
          <w:szCs w:val="28"/>
        </w:rPr>
        <w:t xml:space="preserve"> </w:t>
      </w:r>
    </w:p>
    <w:p>
      <w:pPr>
        <w:spacing w:line="240" w:lineRule="auto"/>
        <w:ind w:firstLine="0" w:firstLineChars="0"/>
        <w:jc w:val="center"/>
        <w:rPr>
          <w:color w:val="000000"/>
        </w:rPr>
      </w:pPr>
    </w:p>
    <w:p>
      <w:pPr>
        <w:spacing w:line="400" w:lineRule="exact"/>
        <w:ind w:firstLine="0" w:firstLineChars="0"/>
        <w:jc w:val="both"/>
        <w:rPr>
          <w:color w:val="000000"/>
        </w:rPr>
      </w:pPr>
    </w:p>
    <w:p>
      <w:pPr>
        <w:spacing w:line="400" w:lineRule="exact"/>
        <w:ind w:firstLine="0" w:firstLineChars="0"/>
        <w:jc w:val="center"/>
        <w:rPr>
          <w:color w:val="000000"/>
        </w:rPr>
      </w:pPr>
    </w:p>
    <w:p>
      <w:pPr>
        <w:spacing w:line="400" w:lineRule="exact"/>
        <w:ind w:firstLine="0" w:firstLineChars="0"/>
        <w:jc w:val="center"/>
        <w:rPr>
          <w:color w:val="000000"/>
        </w:rPr>
      </w:pPr>
    </w:p>
    <w:p>
      <w:pPr>
        <w:spacing w:line="400" w:lineRule="exact"/>
        <w:ind w:firstLine="0" w:firstLineChars="0"/>
        <w:jc w:val="center"/>
        <w:rPr>
          <w:color w:val="000000"/>
        </w:rPr>
      </w:pPr>
    </w:p>
    <w:p>
      <w:pPr>
        <w:spacing w:line="400" w:lineRule="exact"/>
        <w:ind w:firstLine="0" w:firstLineChars="0"/>
        <w:jc w:val="center"/>
        <w:rPr>
          <w:rFonts w:ascii="黑体" w:hAnsi="黑体" w:eastAsia="黑体"/>
          <w:color w:val="000000"/>
        </w:rPr>
      </w:pPr>
    </w:p>
    <w:tbl>
      <w:tblPr>
        <w:tblStyle w:val="44"/>
        <w:tblW w:w="7685" w:type="dxa"/>
        <w:jc w:val="center"/>
        <w:tblLayout w:type="fixed"/>
        <w:tblCellMar>
          <w:top w:w="0" w:type="dxa"/>
          <w:left w:w="108" w:type="dxa"/>
          <w:bottom w:w="0" w:type="dxa"/>
          <w:right w:w="108" w:type="dxa"/>
        </w:tblCellMar>
      </w:tblPr>
      <w:tblGrid>
        <w:gridCol w:w="2307"/>
        <w:gridCol w:w="567"/>
        <w:gridCol w:w="4811"/>
      </w:tblGrid>
      <w:tr>
        <w:tblPrEx>
          <w:tblCellMar>
            <w:top w:w="0" w:type="dxa"/>
            <w:left w:w="108" w:type="dxa"/>
            <w:bottom w:w="0" w:type="dxa"/>
            <w:right w:w="108" w:type="dxa"/>
          </w:tblCellMar>
        </w:tblPrEx>
        <w:trPr>
          <w:trHeight w:val="603" w:hRule="atLeast"/>
          <w:jc w:val="center"/>
        </w:trPr>
        <w:tc>
          <w:tcPr>
            <w:tcW w:w="2307" w:type="dxa"/>
            <w:noWrap w:val="0"/>
            <w:vAlign w:val="center"/>
          </w:tcPr>
          <w:p>
            <w:pPr>
              <w:spacing w:line="0" w:lineRule="atLeast"/>
              <w:ind w:firstLine="0" w:firstLineChars="0"/>
              <w:jc w:val="distribute"/>
              <w:rPr>
                <w:rFonts w:ascii="黑体" w:hAnsi="黑体" w:eastAsia="黑体" w:cs="楷体_GB2312"/>
                <w:sz w:val="32"/>
                <w:szCs w:val="32"/>
              </w:rPr>
            </w:pPr>
            <w:bookmarkStart w:id="0" w:name="_Toc525134786"/>
            <w:r>
              <w:rPr>
                <w:rFonts w:hint="eastAsia" w:ascii="黑体" w:hAnsi="黑体" w:eastAsia="黑体" w:cs="楷体_GB2312"/>
                <w:sz w:val="32"/>
                <w:szCs w:val="32"/>
              </w:rPr>
              <w:t>采购人</w:t>
            </w:r>
          </w:p>
        </w:tc>
        <w:tc>
          <w:tcPr>
            <w:tcW w:w="567" w:type="dxa"/>
            <w:noWrap w:val="0"/>
            <w:vAlign w:val="center"/>
          </w:tcPr>
          <w:p>
            <w:pPr>
              <w:spacing w:line="0" w:lineRule="atLeast"/>
              <w:ind w:firstLine="0" w:firstLineChars="0"/>
              <w:jc w:val="distribute"/>
              <w:rPr>
                <w:rFonts w:ascii="黑体" w:hAnsi="黑体" w:eastAsia="黑体" w:cs="楷体_GB2312"/>
                <w:sz w:val="32"/>
                <w:szCs w:val="32"/>
              </w:rPr>
            </w:pPr>
            <w:r>
              <w:rPr>
                <w:rFonts w:hint="eastAsia" w:ascii="黑体" w:hAnsi="黑体" w:eastAsia="黑体" w:cs="楷体_GB2312"/>
                <w:sz w:val="32"/>
                <w:szCs w:val="32"/>
              </w:rPr>
              <w:t>：</w:t>
            </w:r>
          </w:p>
        </w:tc>
        <w:tc>
          <w:tcPr>
            <w:tcW w:w="4811" w:type="dxa"/>
            <w:noWrap w:val="0"/>
            <w:vAlign w:val="center"/>
          </w:tcPr>
          <w:p>
            <w:pPr>
              <w:spacing w:line="0" w:lineRule="atLeast"/>
              <w:ind w:firstLine="0" w:firstLineChars="0"/>
              <w:jc w:val="left"/>
              <w:rPr>
                <w:rFonts w:ascii="黑体" w:hAnsi="黑体" w:eastAsia="黑体" w:cs="楷体_GB2312"/>
                <w:sz w:val="32"/>
                <w:szCs w:val="32"/>
                <w:u w:val="single"/>
              </w:rPr>
            </w:pPr>
            <w:r>
              <w:rPr>
                <w:rFonts w:hint="eastAsia" w:ascii="黑体" w:hAnsi="黑体" w:eastAsia="黑体" w:cs="楷体_GB2312"/>
                <w:sz w:val="32"/>
                <w:szCs w:val="32"/>
              </w:rPr>
              <w:t xml:space="preserve"> </w:t>
            </w:r>
            <w:r>
              <w:rPr>
                <w:rFonts w:ascii="黑体" w:hAnsi="黑体" w:eastAsia="黑体" w:cs="楷体_GB2312"/>
                <w:sz w:val="32"/>
                <w:szCs w:val="32"/>
                <w:u w:val="single"/>
              </w:rPr>
              <w:t xml:space="preserve"> </w:t>
            </w:r>
            <w:r>
              <w:rPr>
                <w:rFonts w:hint="eastAsia" w:ascii="黑体" w:hAnsi="黑体" w:eastAsia="黑体" w:cs="楷体_GB2312"/>
                <w:sz w:val="32"/>
                <w:szCs w:val="32"/>
                <w:u w:val="single"/>
              </w:rPr>
              <w:t xml:space="preserve"> 西安热工研究院有限公司</w:t>
            </w:r>
            <w:r>
              <w:rPr>
                <w:rFonts w:ascii="黑体" w:hAnsi="黑体" w:eastAsia="黑体" w:cs="楷体_GB2312"/>
                <w:sz w:val="32"/>
                <w:szCs w:val="32"/>
                <w:u w:val="single"/>
              </w:rPr>
              <w:t xml:space="preserve">       </w:t>
            </w:r>
          </w:p>
        </w:tc>
      </w:tr>
      <w:tr>
        <w:tblPrEx>
          <w:tblCellMar>
            <w:top w:w="0" w:type="dxa"/>
            <w:left w:w="108" w:type="dxa"/>
            <w:bottom w:w="0" w:type="dxa"/>
            <w:right w:w="108" w:type="dxa"/>
          </w:tblCellMar>
        </w:tblPrEx>
        <w:trPr>
          <w:trHeight w:val="603" w:hRule="atLeast"/>
          <w:jc w:val="center"/>
        </w:trPr>
        <w:tc>
          <w:tcPr>
            <w:tcW w:w="2307" w:type="dxa"/>
            <w:noWrap w:val="0"/>
            <w:vAlign w:val="center"/>
          </w:tcPr>
          <w:p>
            <w:pPr>
              <w:ind w:firstLine="0" w:firstLineChars="0"/>
              <w:jc w:val="distribute"/>
              <w:rPr>
                <w:rFonts w:ascii="黑体" w:hAnsi="黑体" w:eastAsia="黑体"/>
                <w:spacing w:val="-20"/>
                <w:sz w:val="32"/>
                <w:szCs w:val="32"/>
              </w:rPr>
            </w:pPr>
            <w:r>
              <w:rPr>
                <w:rFonts w:hint="eastAsia" w:ascii="黑体" w:hAnsi="黑体" w:eastAsia="黑体"/>
                <w:spacing w:val="-20"/>
                <w:sz w:val="32"/>
                <w:szCs w:val="32"/>
              </w:rPr>
              <w:t>采购代理机构</w:t>
            </w:r>
          </w:p>
        </w:tc>
        <w:tc>
          <w:tcPr>
            <w:tcW w:w="567" w:type="dxa"/>
            <w:noWrap w:val="0"/>
            <w:vAlign w:val="center"/>
          </w:tcPr>
          <w:p>
            <w:pPr>
              <w:ind w:firstLine="0" w:firstLineChars="0"/>
              <w:jc w:val="distribute"/>
              <w:rPr>
                <w:rFonts w:ascii="黑体" w:hAnsi="黑体" w:eastAsia="黑体"/>
                <w:sz w:val="32"/>
                <w:szCs w:val="32"/>
              </w:rPr>
            </w:pPr>
            <w:r>
              <w:rPr>
                <w:rFonts w:hint="eastAsia" w:ascii="黑体" w:hAnsi="黑体" w:eastAsia="黑体"/>
                <w:sz w:val="32"/>
                <w:szCs w:val="32"/>
              </w:rPr>
              <w:t>：</w:t>
            </w:r>
          </w:p>
        </w:tc>
        <w:tc>
          <w:tcPr>
            <w:tcW w:w="4811" w:type="dxa"/>
            <w:noWrap w:val="0"/>
            <w:vAlign w:val="center"/>
          </w:tcPr>
          <w:p>
            <w:pPr>
              <w:spacing w:line="0" w:lineRule="atLeast"/>
              <w:ind w:firstLine="0" w:firstLineChars="0"/>
              <w:jc w:val="left"/>
              <w:rPr>
                <w:rFonts w:ascii="黑体" w:hAnsi="黑体" w:eastAsia="黑体"/>
                <w:sz w:val="32"/>
                <w:szCs w:val="32"/>
                <w:u w:val="single"/>
              </w:rPr>
            </w:pPr>
            <w:r>
              <w:rPr>
                <w:rFonts w:hint="eastAsia" w:ascii="黑体" w:hAnsi="黑体" w:eastAsia="黑体" w:cs="楷体_GB2312"/>
                <w:sz w:val="32"/>
                <w:szCs w:val="32"/>
              </w:rPr>
              <w:t xml:space="preserve"> </w:t>
            </w:r>
            <w:r>
              <w:rPr>
                <w:rFonts w:ascii="黑体" w:hAnsi="黑体" w:eastAsia="黑体" w:cs="楷体_GB2312"/>
                <w:sz w:val="32"/>
                <w:szCs w:val="32"/>
                <w:u w:val="single"/>
              </w:rPr>
              <w:t xml:space="preserve"> </w:t>
            </w:r>
            <w:r>
              <w:rPr>
                <w:rFonts w:hint="eastAsia" w:ascii="黑体" w:hAnsi="黑体" w:eastAsia="黑体" w:cs="楷体_GB2312"/>
                <w:sz w:val="32"/>
                <w:szCs w:val="32"/>
                <w:u w:val="single"/>
              </w:rPr>
              <w:t xml:space="preserve"> 西安热工研究院有限公司</w:t>
            </w:r>
            <w:r>
              <w:rPr>
                <w:rFonts w:ascii="黑体" w:hAnsi="黑体" w:eastAsia="黑体" w:cs="楷体_GB2312"/>
                <w:sz w:val="32"/>
                <w:szCs w:val="32"/>
                <w:u w:val="single"/>
              </w:rPr>
              <w:t xml:space="preserve">                             </w:t>
            </w:r>
          </w:p>
        </w:tc>
      </w:tr>
      <w:tr>
        <w:tblPrEx>
          <w:tblCellMar>
            <w:top w:w="0" w:type="dxa"/>
            <w:left w:w="108" w:type="dxa"/>
            <w:bottom w:w="0" w:type="dxa"/>
            <w:right w:w="108" w:type="dxa"/>
          </w:tblCellMar>
        </w:tblPrEx>
        <w:trPr>
          <w:trHeight w:val="603" w:hRule="atLeast"/>
          <w:jc w:val="center"/>
        </w:trPr>
        <w:tc>
          <w:tcPr>
            <w:tcW w:w="2307" w:type="dxa"/>
            <w:noWrap w:val="0"/>
            <w:vAlign w:val="center"/>
          </w:tcPr>
          <w:p>
            <w:pPr>
              <w:ind w:firstLine="0" w:firstLineChars="0"/>
              <w:jc w:val="distribute"/>
              <w:rPr>
                <w:rFonts w:ascii="黑体" w:hAnsi="黑体" w:eastAsia="黑体"/>
                <w:spacing w:val="-20"/>
                <w:sz w:val="32"/>
                <w:szCs w:val="32"/>
              </w:rPr>
            </w:pPr>
            <w:r>
              <w:rPr>
                <w:rFonts w:hint="eastAsia" w:ascii="黑体" w:hAnsi="黑体" w:eastAsia="黑体"/>
                <w:sz w:val="28"/>
              </w:rPr>
              <w:t>日      期</w:t>
            </w:r>
          </w:p>
        </w:tc>
        <w:tc>
          <w:tcPr>
            <w:tcW w:w="567" w:type="dxa"/>
            <w:noWrap w:val="0"/>
            <w:vAlign w:val="center"/>
          </w:tcPr>
          <w:p>
            <w:pPr>
              <w:ind w:firstLine="0" w:firstLineChars="0"/>
              <w:jc w:val="distribute"/>
              <w:rPr>
                <w:rFonts w:ascii="黑体" w:hAnsi="黑体" w:eastAsia="黑体"/>
                <w:sz w:val="32"/>
                <w:szCs w:val="32"/>
              </w:rPr>
            </w:pPr>
            <w:r>
              <w:rPr>
                <w:rFonts w:hint="eastAsia" w:ascii="黑体" w:hAnsi="黑体" w:eastAsia="黑体"/>
                <w:sz w:val="28"/>
              </w:rPr>
              <w:t>：</w:t>
            </w:r>
          </w:p>
        </w:tc>
        <w:tc>
          <w:tcPr>
            <w:tcW w:w="4811" w:type="dxa"/>
            <w:noWrap w:val="0"/>
            <w:vAlign w:val="center"/>
          </w:tcPr>
          <w:p>
            <w:pPr>
              <w:spacing w:line="0" w:lineRule="atLeast"/>
              <w:ind w:firstLine="0" w:firstLineChars="0"/>
              <w:jc w:val="left"/>
              <w:rPr>
                <w:rFonts w:ascii="楷体" w:hAnsi="楷体" w:eastAsia="楷体"/>
                <w:sz w:val="28"/>
                <w:szCs w:val="28"/>
                <w:u w:val="single"/>
              </w:rPr>
            </w:pPr>
            <w:r>
              <w:rPr>
                <w:rFonts w:hint="eastAsia" w:ascii="黑体" w:hAnsi="黑体" w:eastAsia="黑体" w:cs="楷体_GB2312"/>
                <w:sz w:val="32"/>
                <w:szCs w:val="32"/>
              </w:rPr>
              <w:t xml:space="preserve"> </w:t>
            </w:r>
            <w:r>
              <w:rPr>
                <w:rFonts w:ascii="黑体" w:hAnsi="黑体" w:eastAsia="黑体" w:cs="楷体_GB2312"/>
                <w:sz w:val="32"/>
                <w:szCs w:val="32"/>
                <w:u w:val="single"/>
              </w:rPr>
              <w:t xml:space="preserve">  </w:t>
            </w:r>
            <w:r>
              <w:rPr>
                <w:rFonts w:hint="eastAsia" w:ascii="黑体" w:hAnsi="黑体" w:eastAsia="黑体" w:cs="楷体_GB2312"/>
                <w:sz w:val="32"/>
                <w:szCs w:val="32"/>
                <w:u w:val="single"/>
                <w:lang w:val="en-US" w:eastAsia="zh-CN"/>
              </w:rPr>
              <w:t>2021年2月</w:t>
            </w:r>
            <w:r>
              <w:rPr>
                <w:rFonts w:ascii="黑体" w:hAnsi="黑体" w:eastAsia="黑体" w:cs="楷体_GB2312"/>
                <w:sz w:val="32"/>
                <w:szCs w:val="32"/>
                <w:u w:val="single"/>
              </w:rPr>
              <w:t xml:space="preserve">                           </w:t>
            </w:r>
          </w:p>
        </w:tc>
      </w:tr>
    </w:tbl>
    <w:p>
      <w:pPr>
        <w:pStyle w:val="2"/>
        <w:ind w:firstLine="880"/>
        <w:jc w:val="center"/>
        <w:rPr>
          <w:rFonts w:ascii="黑体" w:eastAsia="黑体"/>
          <w:b w:val="0"/>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97" w:right="1440" w:bottom="1797" w:left="1440" w:header="851" w:footer="992" w:gutter="0"/>
          <w:pgBorders>
            <w:top w:val="none" w:sz="0" w:space="0"/>
            <w:left w:val="none" w:sz="0" w:space="0"/>
            <w:bottom w:val="none" w:sz="0" w:space="0"/>
            <w:right w:val="none" w:sz="0" w:space="0"/>
          </w:pgBorders>
          <w:pgNumType w:start="0"/>
          <w:cols w:space="720" w:num="1"/>
          <w:titlePg/>
          <w:docGrid w:linePitch="326" w:charSpace="0"/>
        </w:sectPr>
      </w:pPr>
    </w:p>
    <w:bookmarkEnd w:id="0"/>
    <w:p>
      <w:pPr>
        <w:spacing w:line="360" w:lineRule="auto"/>
        <w:ind w:firstLine="0" w:firstLineChars="0"/>
        <w:jc w:val="center"/>
        <w:rPr>
          <w:lang w:val="zh-CN"/>
        </w:rPr>
      </w:pPr>
      <w:r>
        <w:rPr>
          <w:rFonts w:ascii="黑体" w:eastAsia="黑体"/>
          <w:sz w:val="36"/>
          <w:szCs w:val="32"/>
        </w:rPr>
        <w:t>目 录</w:t>
      </w:r>
    </w:p>
    <w:p>
      <w:pPr>
        <w:pStyle w:val="30"/>
        <w:tabs>
          <w:tab w:val="right" w:leader="dot" w:pos="9017"/>
        </w:tabs>
        <w:spacing w:line="240" w:lineRule="auto"/>
        <w:ind w:firstLine="440"/>
        <w:rPr>
          <w:rFonts w:ascii="Calibri" w:hAnsi="Calibri"/>
          <w:sz w:val="21"/>
          <w:szCs w:val="22"/>
          <w:lang w:val="zh-CN"/>
        </w:rPr>
      </w:pPr>
      <w:r>
        <w:rPr>
          <w:rFonts w:ascii="宋体" w:hAnsi="宋体" w:cs="Arial"/>
          <w:b/>
          <w:sz w:val="22"/>
          <w:szCs w:val="22"/>
        </w:rPr>
        <w:fldChar w:fldCharType="begin"/>
      </w:r>
      <w:r>
        <w:rPr>
          <w:rFonts w:ascii="宋体" w:hAnsi="宋体" w:cs="Arial"/>
          <w:sz w:val="22"/>
          <w:szCs w:val="22"/>
        </w:rPr>
        <w:instrText xml:space="preserve"> TOC \o "1-3" \h \z </w:instrText>
      </w:r>
      <w:r>
        <w:rPr>
          <w:rFonts w:ascii="宋体" w:hAnsi="宋体" w:cs="Arial"/>
          <w:b/>
          <w:sz w:val="22"/>
          <w:szCs w:val="22"/>
        </w:rPr>
        <w:fldChar w:fldCharType="separate"/>
      </w:r>
      <w:r>
        <w:fldChar w:fldCharType="begin"/>
      </w:r>
      <w:r>
        <w:instrText xml:space="preserve"> HYPERLINK \l "_Toc1032350" </w:instrText>
      </w:r>
      <w:r>
        <w:fldChar w:fldCharType="separate"/>
      </w:r>
      <w:r>
        <w:rPr>
          <w:rStyle w:val="51"/>
          <w:rFonts w:hint="eastAsia"/>
          <w:lang w:val="zh-CN"/>
        </w:rPr>
        <w:t>第一章</w:t>
      </w:r>
      <w:r>
        <w:rPr>
          <w:rStyle w:val="51"/>
          <w:lang w:val="zh-CN"/>
        </w:rPr>
        <w:t xml:space="preserve"> </w:t>
      </w:r>
      <w:r>
        <w:rPr>
          <w:rStyle w:val="51"/>
          <w:rFonts w:hint="eastAsia"/>
          <w:lang w:val="zh-CN"/>
        </w:rPr>
        <w:t>采购公告</w:t>
      </w:r>
      <w:r>
        <w:rPr>
          <w:lang w:val="zh-CN"/>
        </w:rPr>
        <w:tab/>
      </w:r>
      <w:r>
        <w:rPr>
          <w:lang w:val="zh-CN"/>
        </w:rPr>
        <w:fldChar w:fldCharType="begin"/>
      </w:r>
      <w:r>
        <w:rPr>
          <w:lang w:val="zh-CN"/>
        </w:rPr>
        <w:instrText xml:space="preserve"> PAGEREF _Toc1032350 \h </w:instrText>
      </w:r>
      <w:r>
        <w:rPr>
          <w:lang w:val="zh-CN"/>
        </w:rPr>
        <w:fldChar w:fldCharType="separate"/>
      </w:r>
      <w:r>
        <w:rPr>
          <w:lang w:val="zh-CN"/>
        </w:rPr>
        <w:t>3</w:t>
      </w:r>
      <w:r>
        <w:rPr>
          <w:lang w:val="zh-CN"/>
        </w:rPr>
        <w:fldChar w:fldCharType="end"/>
      </w:r>
      <w:r>
        <w:rPr>
          <w:lang w:val="zh-CN"/>
        </w:rPr>
        <w:fldChar w:fldCharType="end"/>
      </w:r>
    </w:p>
    <w:p>
      <w:pPr>
        <w:pStyle w:val="30"/>
        <w:tabs>
          <w:tab w:val="right" w:leader="dot" w:pos="9017"/>
        </w:tabs>
        <w:spacing w:line="240" w:lineRule="auto"/>
        <w:ind w:firstLine="480"/>
        <w:rPr>
          <w:rFonts w:ascii="Calibri" w:hAnsi="Calibri"/>
          <w:sz w:val="21"/>
          <w:szCs w:val="22"/>
          <w:lang w:val="zh-CN"/>
        </w:rPr>
      </w:pPr>
      <w:r>
        <w:fldChar w:fldCharType="begin"/>
      </w:r>
      <w:r>
        <w:instrText xml:space="preserve"> HYPERLINK \l "_Toc1032351" </w:instrText>
      </w:r>
      <w:r>
        <w:fldChar w:fldCharType="separate"/>
      </w:r>
      <w:r>
        <w:rPr>
          <w:rStyle w:val="51"/>
          <w:rFonts w:hint="eastAsia"/>
          <w:lang w:val="zh-CN"/>
        </w:rPr>
        <w:t>第一章</w:t>
      </w:r>
      <w:r>
        <w:rPr>
          <w:rStyle w:val="51"/>
          <w:lang w:val="zh-CN"/>
        </w:rPr>
        <w:t xml:space="preserve"> </w:t>
      </w:r>
      <w:r>
        <w:rPr>
          <w:rStyle w:val="51"/>
          <w:rFonts w:hint="eastAsia"/>
          <w:lang w:val="zh-CN"/>
        </w:rPr>
        <w:t>采购公告</w:t>
      </w:r>
      <w:r>
        <w:rPr>
          <w:lang w:val="zh-CN"/>
        </w:rPr>
        <w:tab/>
      </w:r>
      <w:r>
        <w:rPr>
          <w:lang w:val="zh-CN"/>
        </w:rPr>
        <w:fldChar w:fldCharType="begin"/>
      </w:r>
      <w:r>
        <w:rPr>
          <w:lang w:val="zh-CN"/>
        </w:rPr>
        <w:instrText xml:space="preserve"> PAGEREF _Toc1032351 \h </w:instrText>
      </w:r>
      <w:r>
        <w:rPr>
          <w:lang w:val="zh-CN"/>
        </w:rPr>
        <w:fldChar w:fldCharType="separate"/>
      </w:r>
      <w:r>
        <w:rPr>
          <w:lang w:val="zh-CN"/>
        </w:rPr>
        <w:t>4</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"_Toc1032352" </w:instrText>
      </w:r>
      <w:r>
        <w:fldChar w:fldCharType="separate"/>
      </w:r>
      <w:r>
        <w:rPr>
          <w:rStyle w:val="51"/>
          <w:lang w:val="zh-CN"/>
        </w:rPr>
        <w:t xml:space="preserve">1. </w:t>
      </w:r>
      <w:r>
        <w:rPr>
          <w:rStyle w:val="51"/>
          <w:rFonts w:hint="eastAsia"/>
          <w:lang w:val="zh-CN"/>
        </w:rPr>
        <w:t>采购条件</w:t>
      </w:r>
      <w:r>
        <w:rPr>
          <w:lang w:val="zh-CN"/>
        </w:rPr>
        <w:tab/>
      </w:r>
      <w:r>
        <w:rPr>
          <w:lang w:val="zh-CN"/>
        </w:rPr>
        <w:fldChar w:fldCharType="begin"/>
      </w:r>
      <w:r>
        <w:rPr>
          <w:lang w:val="zh-CN"/>
        </w:rPr>
        <w:instrText xml:space="preserve"> PAGEREF _Toc1032352 \h </w:instrText>
      </w:r>
      <w:r>
        <w:rPr>
          <w:lang w:val="zh-CN"/>
        </w:rPr>
        <w:fldChar w:fldCharType="separate"/>
      </w:r>
      <w:r>
        <w:rPr>
          <w:lang w:val="zh-CN"/>
        </w:rPr>
        <w:t>4</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"_Toc1032353" </w:instrText>
      </w:r>
      <w:r>
        <w:fldChar w:fldCharType="separate"/>
      </w:r>
      <w:r>
        <w:rPr>
          <w:rStyle w:val="51"/>
          <w:lang w:val="zh-CN"/>
        </w:rPr>
        <w:t xml:space="preserve">2. </w:t>
      </w:r>
      <w:r>
        <w:rPr>
          <w:rStyle w:val="51"/>
          <w:rFonts w:hint="eastAsia"/>
          <w:lang w:val="zh-CN"/>
        </w:rPr>
        <w:t>项目概况与采购范围</w:t>
      </w:r>
      <w:r>
        <w:rPr>
          <w:lang w:val="zh-CN"/>
        </w:rPr>
        <w:tab/>
      </w:r>
      <w:r>
        <w:rPr>
          <w:lang w:val="zh-CN"/>
        </w:rPr>
        <w:fldChar w:fldCharType="begin"/>
      </w:r>
      <w:r>
        <w:rPr>
          <w:lang w:val="zh-CN"/>
        </w:rPr>
        <w:instrText xml:space="preserve"> PAGEREF _Toc1032353 \h </w:instrText>
      </w:r>
      <w:r>
        <w:rPr>
          <w:lang w:val="zh-CN"/>
        </w:rPr>
        <w:fldChar w:fldCharType="separate"/>
      </w:r>
      <w:r>
        <w:rPr>
          <w:lang w:val="zh-CN"/>
        </w:rPr>
        <w:t>4</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"_Toc1032354" </w:instrText>
      </w:r>
      <w:r>
        <w:fldChar w:fldCharType="separate"/>
      </w:r>
      <w:r>
        <w:rPr>
          <w:rStyle w:val="51"/>
          <w:lang w:val="zh-CN"/>
        </w:rPr>
        <w:t xml:space="preserve">3. </w:t>
      </w:r>
      <w:r>
        <w:rPr>
          <w:rStyle w:val="51"/>
          <w:rFonts w:hint="eastAsia"/>
          <w:lang w:val="zh-CN"/>
        </w:rPr>
        <w:t>供应商资格要求</w:t>
      </w:r>
      <w:r>
        <w:rPr>
          <w:lang w:val="zh-CN"/>
        </w:rPr>
        <w:tab/>
      </w:r>
      <w:r>
        <w:rPr>
          <w:lang w:val="zh-CN"/>
        </w:rPr>
        <w:fldChar w:fldCharType="begin"/>
      </w:r>
      <w:r>
        <w:rPr>
          <w:lang w:val="zh-CN"/>
        </w:rPr>
        <w:instrText xml:space="preserve"> PAGEREF _Toc1032354 \h </w:instrText>
      </w:r>
      <w:r>
        <w:rPr>
          <w:lang w:val="zh-CN"/>
        </w:rPr>
        <w:fldChar w:fldCharType="separate"/>
      </w:r>
      <w:r>
        <w:rPr>
          <w:lang w:val="zh-CN"/>
        </w:rPr>
        <w:t>4</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"_Toc1032355" </w:instrText>
      </w:r>
      <w:r>
        <w:fldChar w:fldCharType="separate"/>
      </w:r>
      <w:r>
        <w:rPr>
          <w:rStyle w:val="51"/>
          <w:lang w:val="zh-CN"/>
        </w:rPr>
        <w:t xml:space="preserve">4. </w:t>
      </w:r>
      <w:r>
        <w:rPr>
          <w:rStyle w:val="51"/>
          <w:rFonts w:hint="eastAsia"/>
          <w:lang w:val="zh-CN"/>
        </w:rPr>
        <w:t>采购文件的获取</w:t>
      </w:r>
      <w:r>
        <w:rPr>
          <w:lang w:val="zh-CN"/>
        </w:rPr>
        <w:tab/>
      </w:r>
      <w:r>
        <w:rPr>
          <w:lang w:val="zh-CN"/>
        </w:rPr>
        <w:fldChar w:fldCharType="begin"/>
      </w:r>
      <w:r>
        <w:rPr>
          <w:lang w:val="zh-CN"/>
        </w:rPr>
        <w:instrText xml:space="preserve"> PAGEREF _Toc1032355 \h </w:instrText>
      </w:r>
      <w:r>
        <w:rPr>
          <w:lang w:val="zh-CN"/>
        </w:rPr>
        <w:fldChar w:fldCharType="separate"/>
      </w:r>
      <w:r>
        <w:rPr>
          <w:lang w:val="zh-CN"/>
        </w:rPr>
        <w:t>4</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"_Toc1032356" </w:instrText>
      </w:r>
      <w:r>
        <w:fldChar w:fldCharType="separate"/>
      </w:r>
      <w:r>
        <w:rPr>
          <w:rStyle w:val="51"/>
          <w:lang w:val="zh-CN"/>
        </w:rPr>
        <w:t xml:space="preserve">5. </w:t>
      </w:r>
      <w:r>
        <w:rPr>
          <w:rStyle w:val="51"/>
          <w:rFonts w:hint="eastAsia"/>
          <w:lang w:val="zh-CN"/>
        </w:rPr>
        <w:t>响应文件的递交</w:t>
      </w:r>
      <w:r>
        <w:rPr>
          <w:lang w:val="zh-CN"/>
        </w:rPr>
        <w:tab/>
      </w:r>
      <w:r>
        <w:rPr>
          <w:lang w:val="zh-CN"/>
        </w:rPr>
        <w:fldChar w:fldCharType="begin"/>
      </w:r>
      <w:r>
        <w:rPr>
          <w:lang w:val="zh-CN"/>
        </w:rPr>
        <w:instrText xml:space="preserve"> PAGEREF _Toc1032356 \h </w:instrText>
      </w:r>
      <w:r>
        <w:rPr>
          <w:lang w:val="zh-CN"/>
        </w:rPr>
        <w:fldChar w:fldCharType="separate"/>
      </w:r>
      <w:r>
        <w:rPr>
          <w:lang w:val="zh-CN"/>
        </w:rPr>
        <w:t>4</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"_Toc1032357" </w:instrText>
      </w:r>
      <w:r>
        <w:fldChar w:fldCharType="separate"/>
      </w:r>
      <w:r>
        <w:rPr>
          <w:rStyle w:val="51"/>
          <w:lang w:val="zh-CN"/>
        </w:rPr>
        <w:t xml:space="preserve">6. </w:t>
      </w:r>
      <w:r>
        <w:rPr>
          <w:rStyle w:val="51"/>
          <w:rFonts w:hint="eastAsia"/>
          <w:lang w:val="zh-CN"/>
        </w:rPr>
        <w:t>发布公告的媒介</w:t>
      </w:r>
      <w:r>
        <w:rPr>
          <w:lang w:val="zh-CN"/>
        </w:rPr>
        <w:tab/>
      </w:r>
      <w:r>
        <w:rPr>
          <w:lang w:val="zh-CN"/>
        </w:rPr>
        <w:fldChar w:fldCharType="begin"/>
      </w:r>
      <w:r>
        <w:rPr>
          <w:lang w:val="zh-CN"/>
        </w:rPr>
        <w:instrText xml:space="preserve"> PAGEREF _Toc1032357 \h </w:instrText>
      </w:r>
      <w:r>
        <w:rPr>
          <w:lang w:val="zh-CN"/>
        </w:rPr>
        <w:fldChar w:fldCharType="separate"/>
      </w:r>
      <w:r>
        <w:rPr>
          <w:lang w:val="zh-CN"/>
        </w:rPr>
        <w:t>5</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"_Toc1032358" </w:instrText>
      </w:r>
      <w:r>
        <w:fldChar w:fldCharType="separate"/>
      </w:r>
      <w:r>
        <w:rPr>
          <w:rStyle w:val="51"/>
          <w:lang w:val="zh-CN"/>
        </w:rPr>
        <w:t xml:space="preserve">7. </w:t>
      </w:r>
      <w:r>
        <w:rPr>
          <w:rStyle w:val="51"/>
          <w:rFonts w:hint="eastAsia"/>
          <w:lang w:val="zh-CN"/>
        </w:rPr>
        <w:t>联系方式</w:t>
      </w:r>
      <w:r>
        <w:rPr>
          <w:lang w:val="zh-CN"/>
        </w:rPr>
        <w:tab/>
      </w:r>
      <w:r>
        <w:rPr>
          <w:lang w:val="zh-CN"/>
        </w:rPr>
        <w:fldChar w:fldCharType="begin"/>
      </w:r>
      <w:r>
        <w:rPr>
          <w:lang w:val="zh-CN"/>
        </w:rPr>
        <w:instrText xml:space="preserve"> PAGEREF _Toc1032358 \h </w:instrText>
      </w:r>
      <w:r>
        <w:rPr>
          <w:lang w:val="zh-CN"/>
        </w:rPr>
        <w:fldChar w:fldCharType="separate"/>
      </w:r>
      <w:r>
        <w:rPr>
          <w:lang w:val="zh-CN"/>
        </w:rPr>
        <w:t>5</w:t>
      </w:r>
      <w:r>
        <w:rPr>
          <w:lang w:val="zh-CN"/>
        </w:rPr>
        <w:fldChar w:fldCharType="end"/>
      </w:r>
      <w:r>
        <w:rPr>
          <w:lang w:val="zh-CN"/>
        </w:rPr>
        <w:fldChar w:fldCharType="end"/>
      </w:r>
    </w:p>
    <w:p>
      <w:pPr>
        <w:pStyle w:val="30"/>
        <w:tabs>
          <w:tab w:val="right" w:leader="dot" w:pos="9017"/>
        </w:tabs>
        <w:spacing w:line="240" w:lineRule="auto"/>
        <w:ind w:firstLine="480"/>
        <w:rPr>
          <w:rFonts w:ascii="Calibri" w:hAnsi="Calibri"/>
          <w:sz w:val="21"/>
          <w:szCs w:val="22"/>
          <w:lang w:val="zh-CN"/>
        </w:rPr>
      </w:pPr>
      <w:r>
        <w:fldChar w:fldCharType="begin"/>
      </w:r>
      <w:r>
        <w:instrText xml:space="preserve"> HYPERLINK \l "_Toc1032359" </w:instrText>
      </w:r>
      <w:r>
        <w:fldChar w:fldCharType="separate"/>
      </w:r>
      <w:r>
        <w:rPr>
          <w:rStyle w:val="51"/>
          <w:rFonts w:hint="eastAsia"/>
          <w:lang w:val="zh-CN"/>
        </w:rPr>
        <w:t>第二章</w:t>
      </w:r>
      <w:r>
        <w:rPr>
          <w:rStyle w:val="51"/>
          <w:lang w:val="zh-CN"/>
        </w:rPr>
        <w:t xml:space="preserve"> </w:t>
      </w:r>
      <w:r>
        <w:rPr>
          <w:rStyle w:val="51"/>
          <w:rFonts w:hint="eastAsia"/>
          <w:lang w:val="zh-CN"/>
        </w:rPr>
        <w:t>供应商须知及前附表</w:t>
      </w:r>
      <w:r>
        <w:rPr>
          <w:lang w:val="zh-CN"/>
        </w:rPr>
        <w:tab/>
      </w:r>
      <w:r>
        <w:rPr>
          <w:lang w:val="zh-CN"/>
        </w:rPr>
        <w:fldChar w:fldCharType="begin"/>
      </w:r>
      <w:r>
        <w:rPr>
          <w:lang w:val="zh-CN"/>
        </w:rPr>
        <w:instrText xml:space="preserve"> PAGEREF _Toc1032359 \h </w:instrText>
      </w:r>
      <w:r>
        <w:rPr>
          <w:lang w:val="zh-CN"/>
        </w:rPr>
        <w:fldChar w:fldCharType="separate"/>
      </w:r>
      <w:r>
        <w:rPr>
          <w:lang w:val="zh-CN"/>
        </w:rPr>
        <w:t>6</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"_Toc1032360" </w:instrText>
      </w:r>
      <w:r>
        <w:fldChar w:fldCharType="separate"/>
      </w:r>
      <w:r>
        <w:rPr>
          <w:rStyle w:val="51"/>
          <w:rFonts w:hint="eastAsia"/>
          <w:lang w:val="zh-CN"/>
        </w:rPr>
        <w:t>供应商须知前附表</w:t>
      </w:r>
      <w:r>
        <w:rPr>
          <w:lang w:val="zh-CN"/>
        </w:rPr>
        <w:tab/>
      </w:r>
      <w:r>
        <w:rPr>
          <w:lang w:val="zh-CN"/>
        </w:rPr>
        <w:fldChar w:fldCharType="begin"/>
      </w:r>
      <w:r>
        <w:rPr>
          <w:lang w:val="zh-CN"/>
        </w:rPr>
        <w:instrText xml:space="preserve"> PAGEREF _Toc1032360 \h </w:instrText>
      </w:r>
      <w:r>
        <w:rPr>
          <w:lang w:val="zh-CN"/>
        </w:rPr>
        <w:fldChar w:fldCharType="separate"/>
      </w:r>
      <w:r>
        <w:rPr>
          <w:lang w:val="zh-CN"/>
        </w:rPr>
        <w:t>7</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"_Toc1032361" </w:instrText>
      </w:r>
      <w:r>
        <w:fldChar w:fldCharType="separate"/>
      </w:r>
      <w:r>
        <w:rPr>
          <w:rStyle w:val="51"/>
          <w:lang w:val="zh-CN"/>
        </w:rPr>
        <w:t xml:space="preserve">1. </w:t>
      </w:r>
      <w:r>
        <w:rPr>
          <w:rStyle w:val="51"/>
          <w:rFonts w:hint="eastAsia"/>
          <w:lang w:val="zh-CN"/>
        </w:rPr>
        <w:t>适用范围</w:t>
      </w:r>
      <w:r>
        <w:rPr>
          <w:lang w:val="zh-CN"/>
        </w:rPr>
        <w:tab/>
      </w:r>
      <w:r>
        <w:rPr>
          <w:lang w:val="zh-CN"/>
        </w:rPr>
        <w:fldChar w:fldCharType="begin"/>
      </w:r>
      <w:r>
        <w:rPr>
          <w:lang w:val="zh-CN"/>
        </w:rPr>
        <w:instrText xml:space="preserve"> PAGEREF _Toc1032361 \h </w:instrText>
      </w:r>
      <w:r>
        <w:rPr>
          <w:lang w:val="zh-CN"/>
        </w:rPr>
        <w:fldChar w:fldCharType="separate"/>
      </w:r>
      <w:r>
        <w:rPr>
          <w:lang w:val="zh-CN"/>
        </w:rPr>
        <w:t>8</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"_Toc1032362" </w:instrText>
      </w:r>
      <w:r>
        <w:fldChar w:fldCharType="separate"/>
      </w:r>
      <w:r>
        <w:rPr>
          <w:rStyle w:val="51"/>
          <w:lang w:val="zh-CN"/>
        </w:rPr>
        <w:t xml:space="preserve">2. </w:t>
      </w:r>
      <w:r>
        <w:rPr>
          <w:rStyle w:val="51"/>
          <w:rFonts w:hint="eastAsia"/>
          <w:lang w:val="zh-CN"/>
        </w:rPr>
        <w:t>定义</w:t>
      </w:r>
      <w:r>
        <w:rPr>
          <w:lang w:val="zh-CN"/>
        </w:rPr>
        <w:tab/>
      </w:r>
      <w:r>
        <w:rPr>
          <w:lang w:val="zh-CN"/>
        </w:rPr>
        <w:fldChar w:fldCharType="begin"/>
      </w:r>
      <w:r>
        <w:rPr>
          <w:lang w:val="zh-CN"/>
        </w:rPr>
        <w:instrText xml:space="preserve"> PAGEREF _Toc1032362 \h </w:instrText>
      </w:r>
      <w:r>
        <w:rPr>
          <w:lang w:val="zh-CN"/>
        </w:rPr>
        <w:fldChar w:fldCharType="separate"/>
      </w:r>
      <w:r>
        <w:rPr>
          <w:lang w:val="zh-CN"/>
        </w:rPr>
        <w:t>8</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"_Toc1032363" </w:instrText>
      </w:r>
      <w:r>
        <w:fldChar w:fldCharType="separate"/>
      </w:r>
      <w:r>
        <w:rPr>
          <w:rStyle w:val="51"/>
          <w:lang w:val="zh-CN"/>
        </w:rPr>
        <w:t xml:space="preserve">3. </w:t>
      </w:r>
      <w:r>
        <w:rPr>
          <w:rStyle w:val="51"/>
          <w:rFonts w:hint="eastAsia"/>
          <w:lang w:val="zh-CN"/>
        </w:rPr>
        <w:t>询价费用</w:t>
      </w:r>
      <w:r>
        <w:rPr>
          <w:lang w:val="zh-CN"/>
        </w:rPr>
        <w:tab/>
      </w:r>
      <w:r>
        <w:rPr>
          <w:lang w:val="zh-CN"/>
        </w:rPr>
        <w:fldChar w:fldCharType="begin"/>
      </w:r>
      <w:r>
        <w:rPr>
          <w:lang w:val="zh-CN"/>
        </w:rPr>
        <w:instrText xml:space="preserve"> PAGEREF _Toc1032363 \h </w:instrText>
      </w:r>
      <w:r>
        <w:rPr>
          <w:lang w:val="zh-CN"/>
        </w:rPr>
        <w:fldChar w:fldCharType="separate"/>
      </w:r>
      <w:r>
        <w:rPr>
          <w:lang w:val="zh-CN"/>
        </w:rPr>
        <w:t>8</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"_Toc1032364" </w:instrText>
      </w:r>
      <w:r>
        <w:fldChar w:fldCharType="separate"/>
      </w:r>
      <w:r>
        <w:rPr>
          <w:rStyle w:val="51"/>
          <w:lang w:val="zh-CN"/>
        </w:rPr>
        <w:t xml:space="preserve">4. </w:t>
      </w:r>
      <w:r>
        <w:rPr>
          <w:rStyle w:val="51"/>
          <w:rFonts w:hint="eastAsia"/>
          <w:lang w:val="zh-CN"/>
        </w:rPr>
        <w:t>现场踏勘</w:t>
      </w:r>
      <w:r>
        <w:rPr>
          <w:lang w:val="zh-CN"/>
        </w:rPr>
        <w:tab/>
      </w:r>
      <w:r>
        <w:rPr>
          <w:lang w:val="zh-CN"/>
        </w:rPr>
        <w:fldChar w:fldCharType="begin"/>
      </w:r>
      <w:r>
        <w:rPr>
          <w:lang w:val="zh-CN"/>
        </w:rPr>
        <w:instrText xml:space="preserve"> PAGEREF _Toc1032364 \h </w:instrText>
      </w:r>
      <w:r>
        <w:rPr>
          <w:lang w:val="zh-CN"/>
        </w:rPr>
        <w:fldChar w:fldCharType="separate"/>
      </w:r>
      <w:r>
        <w:rPr>
          <w:lang w:val="zh-CN"/>
        </w:rPr>
        <w:t>8</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"_Toc1032365" </w:instrText>
      </w:r>
      <w:r>
        <w:fldChar w:fldCharType="separate"/>
      </w:r>
      <w:r>
        <w:rPr>
          <w:rStyle w:val="51"/>
          <w:lang w:val="zh-CN"/>
        </w:rPr>
        <w:t xml:space="preserve">5. </w:t>
      </w:r>
      <w:r>
        <w:rPr>
          <w:rStyle w:val="51"/>
          <w:rFonts w:hint="eastAsia"/>
          <w:lang w:val="zh-CN"/>
        </w:rPr>
        <w:t>采购文件的构成</w:t>
      </w:r>
      <w:r>
        <w:rPr>
          <w:lang w:val="zh-CN"/>
        </w:rPr>
        <w:tab/>
      </w:r>
      <w:r>
        <w:rPr>
          <w:lang w:val="zh-CN"/>
        </w:rPr>
        <w:fldChar w:fldCharType="begin"/>
      </w:r>
      <w:r>
        <w:rPr>
          <w:lang w:val="zh-CN"/>
        </w:rPr>
        <w:instrText xml:space="preserve"> PAGEREF _Toc1032365 \h </w:instrText>
      </w:r>
      <w:r>
        <w:rPr>
          <w:lang w:val="zh-CN"/>
        </w:rPr>
        <w:fldChar w:fldCharType="separate"/>
      </w:r>
      <w:r>
        <w:rPr>
          <w:lang w:val="zh-CN"/>
        </w:rPr>
        <w:t>8</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"_Toc1032366" </w:instrText>
      </w:r>
      <w:r>
        <w:fldChar w:fldCharType="separate"/>
      </w:r>
      <w:r>
        <w:rPr>
          <w:rStyle w:val="51"/>
          <w:lang w:val="zh-CN"/>
        </w:rPr>
        <w:t xml:space="preserve">6. </w:t>
      </w:r>
      <w:r>
        <w:rPr>
          <w:rStyle w:val="51"/>
          <w:rFonts w:hint="eastAsia"/>
          <w:lang w:val="zh-CN"/>
        </w:rPr>
        <w:t>采购文件的澄清、修改、补充</w:t>
      </w:r>
      <w:r>
        <w:rPr>
          <w:lang w:val="zh-CN"/>
        </w:rPr>
        <w:tab/>
      </w:r>
      <w:r>
        <w:rPr>
          <w:lang w:val="zh-CN"/>
        </w:rPr>
        <w:fldChar w:fldCharType="begin"/>
      </w:r>
      <w:r>
        <w:rPr>
          <w:lang w:val="zh-CN"/>
        </w:rPr>
        <w:instrText xml:space="preserve"> PAGEREF _Toc1032366 \h </w:instrText>
      </w:r>
      <w:r>
        <w:rPr>
          <w:lang w:val="zh-CN"/>
        </w:rPr>
        <w:fldChar w:fldCharType="separate"/>
      </w:r>
      <w:r>
        <w:rPr>
          <w:lang w:val="zh-CN"/>
        </w:rPr>
        <w:t>9</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"_Toc1032367" </w:instrText>
      </w:r>
      <w:r>
        <w:fldChar w:fldCharType="separate"/>
      </w:r>
      <w:r>
        <w:rPr>
          <w:rStyle w:val="51"/>
          <w:lang w:val="zh-CN"/>
        </w:rPr>
        <w:t xml:space="preserve">7. </w:t>
      </w:r>
      <w:r>
        <w:rPr>
          <w:rStyle w:val="51"/>
          <w:rFonts w:hint="eastAsia"/>
          <w:lang w:val="zh-CN"/>
        </w:rPr>
        <w:t>编制基本要求</w:t>
      </w:r>
      <w:r>
        <w:rPr>
          <w:lang w:val="zh-CN"/>
        </w:rPr>
        <w:tab/>
      </w:r>
      <w:r>
        <w:rPr>
          <w:lang w:val="zh-CN"/>
        </w:rPr>
        <w:fldChar w:fldCharType="begin"/>
      </w:r>
      <w:r>
        <w:rPr>
          <w:lang w:val="zh-CN"/>
        </w:rPr>
        <w:instrText xml:space="preserve"> PAGEREF _Toc1032367 \h </w:instrText>
      </w:r>
      <w:r>
        <w:rPr>
          <w:lang w:val="zh-CN"/>
        </w:rPr>
        <w:fldChar w:fldCharType="separate"/>
      </w:r>
      <w:r>
        <w:rPr>
          <w:lang w:val="zh-CN"/>
        </w:rPr>
        <w:t>9</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"_Toc1032368" </w:instrText>
      </w:r>
      <w:r>
        <w:fldChar w:fldCharType="separate"/>
      </w:r>
      <w:r>
        <w:rPr>
          <w:rStyle w:val="51"/>
          <w:lang w:val="zh-CN"/>
        </w:rPr>
        <w:t xml:space="preserve">8. </w:t>
      </w:r>
      <w:r>
        <w:rPr>
          <w:rStyle w:val="51"/>
          <w:rFonts w:hint="eastAsia"/>
          <w:lang w:val="zh-CN"/>
        </w:rPr>
        <w:t>语言和计量单位</w:t>
      </w:r>
      <w:r>
        <w:rPr>
          <w:lang w:val="zh-CN"/>
        </w:rPr>
        <w:tab/>
      </w:r>
      <w:r>
        <w:rPr>
          <w:lang w:val="zh-CN"/>
        </w:rPr>
        <w:fldChar w:fldCharType="begin"/>
      </w:r>
      <w:r>
        <w:rPr>
          <w:lang w:val="zh-CN"/>
        </w:rPr>
        <w:instrText xml:space="preserve"> PAGEREF _Toc1032368 \h </w:instrText>
      </w:r>
      <w:r>
        <w:rPr>
          <w:lang w:val="zh-CN"/>
        </w:rPr>
        <w:fldChar w:fldCharType="separate"/>
      </w:r>
      <w:r>
        <w:rPr>
          <w:lang w:val="zh-CN"/>
        </w:rPr>
        <w:t>10</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"_Toc1032369" </w:instrText>
      </w:r>
      <w:r>
        <w:fldChar w:fldCharType="separate"/>
      </w:r>
      <w:r>
        <w:rPr>
          <w:rStyle w:val="51"/>
          <w:lang w:val="zh-CN"/>
        </w:rPr>
        <w:t xml:space="preserve">9. </w:t>
      </w:r>
      <w:r>
        <w:rPr>
          <w:rStyle w:val="51"/>
          <w:rFonts w:hint="eastAsia"/>
          <w:lang w:val="zh-CN"/>
        </w:rPr>
        <w:t>报价</w:t>
      </w:r>
      <w:r>
        <w:rPr>
          <w:lang w:val="zh-CN"/>
        </w:rPr>
        <w:tab/>
      </w:r>
      <w:r>
        <w:rPr>
          <w:lang w:val="zh-CN"/>
        </w:rPr>
        <w:fldChar w:fldCharType="begin"/>
      </w:r>
      <w:r>
        <w:rPr>
          <w:lang w:val="zh-CN"/>
        </w:rPr>
        <w:instrText xml:space="preserve"> PAGEREF _Toc1032369 \h </w:instrText>
      </w:r>
      <w:r>
        <w:rPr>
          <w:lang w:val="zh-CN"/>
        </w:rPr>
        <w:fldChar w:fldCharType="separate"/>
      </w:r>
      <w:r>
        <w:rPr>
          <w:lang w:val="zh-CN"/>
        </w:rPr>
        <w:t>10</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"_Toc1032370" </w:instrText>
      </w:r>
      <w:r>
        <w:fldChar w:fldCharType="separate"/>
      </w:r>
      <w:r>
        <w:rPr>
          <w:rStyle w:val="51"/>
          <w:lang w:val="zh-CN"/>
        </w:rPr>
        <w:t xml:space="preserve">10. </w:t>
      </w:r>
      <w:r>
        <w:rPr>
          <w:rStyle w:val="51"/>
          <w:rFonts w:hint="eastAsia"/>
          <w:lang w:val="zh-CN"/>
        </w:rPr>
        <w:t>报价货币</w:t>
      </w:r>
      <w:r>
        <w:rPr>
          <w:lang w:val="zh-CN"/>
        </w:rPr>
        <w:tab/>
      </w:r>
      <w:r>
        <w:rPr>
          <w:lang w:val="zh-CN"/>
        </w:rPr>
        <w:fldChar w:fldCharType="begin"/>
      </w:r>
      <w:r>
        <w:rPr>
          <w:lang w:val="zh-CN"/>
        </w:rPr>
        <w:instrText xml:space="preserve"> PAGEREF _Toc1032370 \h </w:instrText>
      </w:r>
      <w:r>
        <w:rPr>
          <w:lang w:val="zh-CN"/>
        </w:rPr>
        <w:fldChar w:fldCharType="separate"/>
      </w:r>
      <w:r>
        <w:rPr>
          <w:lang w:val="zh-CN"/>
        </w:rPr>
        <w:t>10</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"_Toc1032371" </w:instrText>
      </w:r>
      <w:r>
        <w:fldChar w:fldCharType="separate"/>
      </w:r>
      <w:r>
        <w:rPr>
          <w:rStyle w:val="51"/>
          <w:lang w:val="zh-CN"/>
        </w:rPr>
        <w:t xml:space="preserve">11. </w:t>
      </w:r>
      <w:r>
        <w:rPr>
          <w:rStyle w:val="51"/>
          <w:rFonts w:hint="eastAsia"/>
          <w:lang w:val="zh-CN"/>
        </w:rPr>
        <w:t>响应保证金</w:t>
      </w:r>
      <w:r>
        <w:rPr>
          <w:lang w:val="zh-CN"/>
        </w:rPr>
        <w:tab/>
      </w:r>
      <w:r>
        <w:rPr>
          <w:lang w:val="zh-CN"/>
        </w:rPr>
        <w:fldChar w:fldCharType="begin"/>
      </w:r>
      <w:r>
        <w:rPr>
          <w:lang w:val="zh-CN"/>
        </w:rPr>
        <w:instrText xml:space="preserve"> PAGEREF _Toc1032371 \h </w:instrText>
      </w:r>
      <w:r>
        <w:rPr>
          <w:lang w:val="zh-CN"/>
        </w:rPr>
        <w:fldChar w:fldCharType="separate"/>
      </w:r>
      <w:r>
        <w:rPr>
          <w:lang w:val="zh-CN"/>
        </w:rPr>
        <w:t>10</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"_Toc1032372" </w:instrText>
      </w:r>
      <w:r>
        <w:fldChar w:fldCharType="separate"/>
      </w:r>
      <w:r>
        <w:rPr>
          <w:rStyle w:val="51"/>
          <w:lang w:val="zh-CN"/>
        </w:rPr>
        <w:t xml:space="preserve">12. </w:t>
      </w:r>
      <w:r>
        <w:rPr>
          <w:rStyle w:val="51"/>
          <w:rFonts w:hint="eastAsia"/>
          <w:lang w:val="zh-CN"/>
        </w:rPr>
        <w:t>采购有效期</w:t>
      </w:r>
      <w:r>
        <w:rPr>
          <w:lang w:val="zh-CN"/>
        </w:rPr>
        <w:tab/>
      </w:r>
      <w:r>
        <w:rPr>
          <w:lang w:val="zh-CN"/>
        </w:rPr>
        <w:fldChar w:fldCharType="begin"/>
      </w:r>
      <w:r>
        <w:rPr>
          <w:lang w:val="zh-CN"/>
        </w:rPr>
        <w:instrText xml:space="preserve"> PAGEREF _Toc1032372 \h </w:instrText>
      </w:r>
      <w:r>
        <w:rPr>
          <w:lang w:val="zh-CN"/>
        </w:rPr>
        <w:fldChar w:fldCharType="separate"/>
      </w:r>
      <w:r>
        <w:rPr>
          <w:lang w:val="zh-CN"/>
        </w:rPr>
        <w:t>11</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"_Toc1032373" </w:instrText>
      </w:r>
      <w:r>
        <w:fldChar w:fldCharType="separate"/>
      </w:r>
      <w:r>
        <w:rPr>
          <w:rStyle w:val="51"/>
          <w:lang w:val="zh-CN"/>
        </w:rPr>
        <w:t xml:space="preserve">13. </w:t>
      </w:r>
      <w:r>
        <w:rPr>
          <w:rStyle w:val="51"/>
          <w:rFonts w:hint="eastAsia"/>
          <w:lang w:val="zh-CN"/>
        </w:rPr>
        <w:t>响应文件递交截止时间及地点</w:t>
      </w:r>
      <w:r>
        <w:rPr>
          <w:lang w:val="zh-CN"/>
        </w:rPr>
        <w:tab/>
      </w:r>
      <w:r>
        <w:rPr>
          <w:lang w:val="zh-CN"/>
        </w:rPr>
        <w:fldChar w:fldCharType="begin"/>
      </w:r>
      <w:r>
        <w:rPr>
          <w:lang w:val="zh-CN"/>
        </w:rPr>
        <w:instrText xml:space="preserve"> PAGEREF _Toc1032373 \h </w:instrText>
      </w:r>
      <w:r>
        <w:rPr>
          <w:lang w:val="zh-CN"/>
        </w:rPr>
        <w:fldChar w:fldCharType="separate"/>
      </w:r>
      <w:r>
        <w:rPr>
          <w:lang w:val="zh-CN"/>
        </w:rPr>
        <w:t>11</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"_Toc1032374" </w:instrText>
      </w:r>
      <w:r>
        <w:fldChar w:fldCharType="separate"/>
      </w:r>
      <w:r>
        <w:rPr>
          <w:rStyle w:val="51"/>
          <w:lang w:val="zh-CN"/>
        </w:rPr>
        <w:t xml:space="preserve">14. </w:t>
      </w:r>
      <w:r>
        <w:rPr>
          <w:rStyle w:val="51"/>
          <w:rFonts w:hint="eastAsia"/>
          <w:lang w:val="zh-CN"/>
        </w:rPr>
        <w:t>响应文件的修改和撤销</w:t>
      </w:r>
      <w:r>
        <w:rPr>
          <w:lang w:val="zh-CN"/>
        </w:rPr>
        <w:tab/>
      </w:r>
      <w:r>
        <w:rPr>
          <w:lang w:val="zh-CN"/>
        </w:rPr>
        <w:fldChar w:fldCharType="begin"/>
      </w:r>
      <w:r>
        <w:rPr>
          <w:lang w:val="zh-CN"/>
        </w:rPr>
        <w:instrText xml:space="preserve"> PAGEREF _Toc1032374 \h </w:instrText>
      </w:r>
      <w:r>
        <w:rPr>
          <w:lang w:val="zh-CN"/>
        </w:rPr>
        <w:fldChar w:fldCharType="separate"/>
      </w:r>
      <w:r>
        <w:rPr>
          <w:lang w:val="zh-CN"/>
        </w:rPr>
        <w:t>11</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"_Toc1032375" </w:instrText>
      </w:r>
      <w:r>
        <w:fldChar w:fldCharType="separate"/>
      </w:r>
      <w:r>
        <w:rPr>
          <w:rStyle w:val="51"/>
          <w:lang w:val="zh-CN"/>
        </w:rPr>
        <w:t xml:space="preserve">15. </w:t>
      </w:r>
      <w:r>
        <w:rPr>
          <w:rStyle w:val="51"/>
          <w:rFonts w:hint="eastAsia"/>
          <w:lang w:val="zh-CN"/>
        </w:rPr>
        <w:t>询价小组</w:t>
      </w:r>
      <w:r>
        <w:rPr>
          <w:lang w:val="zh-CN"/>
        </w:rPr>
        <w:tab/>
      </w:r>
      <w:r>
        <w:rPr>
          <w:lang w:val="zh-CN"/>
        </w:rPr>
        <w:fldChar w:fldCharType="begin"/>
      </w:r>
      <w:r>
        <w:rPr>
          <w:lang w:val="zh-CN"/>
        </w:rPr>
        <w:instrText xml:space="preserve"> PAGEREF _Toc1032375 \h </w:instrText>
      </w:r>
      <w:r>
        <w:rPr>
          <w:lang w:val="zh-CN"/>
        </w:rPr>
        <w:fldChar w:fldCharType="separate"/>
      </w:r>
      <w:r>
        <w:rPr>
          <w:lang w:val="zh-CN"/>
        </w:rPr>
        <w:t>11</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"_Toc1032376" </w:instrText>
      </w:r>
      <w:r>
        <w:fldChar w:fldCharType="separate"/>
      </w:r>
      <w:r>
        <w:rPr>
          <w:rStyle w:val="51"/>
          <w:lang w:val="zh-CN"/>
        </w:rPr>
        <w:t xml:space="preserve">16. </w:t>
      </w:r>
      <w:r>
        <w:rPr>
          <w:rStyle w:val="51"/>
          <w:rFonts w:hint="eastAsia"/>
          <w:lang w:val="zh-CN"/>
        </w:rPr>
        <w:t>开启响应文件</w:t>
      </w:r>
      <w:r>
        <w:rPr>
          <w:lang w:val="zh-CN"/>
        </w:rPr>
        <w:tab/>
      </w:r>
      <w:r>
        <w:rPr>
          <w:lang w:val="zh-CN"/>
        </w:rPr>
        <w:fldChar w:fldCharType="begin"/>
      </w:r>
      <w:r>
        <w:rPr>
          <w:lang w:val="zh-CN"/>
        </w:rPr>
        <w:instrText xml:space="preserve"> PAGEREF _Toc1032376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"_Toc1032377" </w:instrText>
      </w:r>
      <w:r>
        <w:fldChar w:fldCharType="separate"/>
      </w:r>
      <w:r>
        <w:rPr>
          <w:rStyle w:val="51"/>
          <w:lang w:val="zh-CN"/>
        </w:rPr>
        <w:t xml:space="preserve">17. </w:t>
      </w:r>
      <w:r>
        <w:rPr>
          <w:rStyle w:val="51"/>
          <w:rFonts w:hint="eastAsia"/>
          <w:lang w:val="zh-CN"/>
        </w:rPr>
        <w:t>评审方法</w:t>
      </w:r>
      <w:r>
        <w:rPr>
          <w:lang w:val="zh-CN"/>
        </w:rPr>
        <w:tab/>
      </w:r>
      <w:r>
        <w:rPr>
          <w:lang w:val="zh-CN"/>
        </w:rPr>
        <w:fldChar w:fldCharType="begin"/>
      </w:r>
      <w:r>
        <w:rPr>
          <w:lang w:val="zh-CN"/>
        </w:rPr>
        <w:instrText xml:space="preserve"> PAGEREF _Toc1032377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"_Toc1032378" </w:instrText>
      </w:r>
      <w:r>
        <w:fldChar w:fldCharType="separate"/>
      </w:r>
      <w:r>
        <w:rPr>
          <w:rStyle w:val="51"/>
          <w:lang w:val="zh-CN"/>
        </w:rPr>
        <w:t xml:space="preserve">18. </w:t>
      </w:r>
      <w:r>
        <w:rPr>
          <w:rStyle w:val="51"/>
          <w:rFonts w:hint="eastAsia"/>
          <w:lang w:val="zh-CN"/>
        </w:rPr>
        <w:t>确定成交供应商</w:t>
      </w:r>
      <w:r>
        <w:rPr>
          <w:lang w:val="zh-CN"/>
        </w:rPr>
        <w:tab/>
      </w:r>
      <w:r>
        <w:rPr>
          <w:lang w:val="zh-CN"/>
        </w:rPr>
        <w:fldChar w:fldCharType="begin"/>
      </w:r>
      <w:r>
        <w:rPr>
          <w:lang w:val="zh-CN"/>
        </w:rPr>
        <w:instrText xml:space="preserve"> PAGEREF _Toc1032378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"_Toc1032379" </w:instrText>
      </w:r>
      <w:r>
        <w:fldChar w:fldCharType="separate"/>
      </w:r>
      <w:r>
        <w:rPr>
          <w:rStyle w:val="51"/>
          <w:lang w:val="zh-CN"/>
        </w:rPr>
        <w:t xml:space="preserve">19. </w:t>
      </w:r>
      <w:r>
        <w:rPr>
          <w:rStyle w:val="51"/>
          <w:rFonts w:hint="eastAsia"/>
          <w:lang w:val="zh-CN"/>
        </w:rPr>
        <w:t>采购结果公告</w:t>
      </w:r>
      <w:r>
        <w:rPr>
          <w:lang w:val="zh-CN"/>
        </w:rPr>
        <w:tab/>
      </w:r>
      <w:r>
        <w:rPr>
          <w:lang w:val="zh-CN"/>
        </w:rPr>
        <w:fldChar w:fldCharType="begin"/>
      </w:r>
      <w:r>
        <w:rPr>
          <w:lang w:val="zh-CN"/>
        </w:rPr>
        <w:instrText xml:space="preserve"> PAGEREF _Toc1032379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"_Toc1032380" </w:instrText>
      </w:r>
      <w:r>
        <w:fldChar w:fldCharType="separate"/>
      </w:r>
      <w:r>
        <w:rPr>
          <w:rStyle w:val="51"/>
          <w:lang w:val="zh-CN"/>
        </w:rPr>
        <w:t xml:space="preserve">20. </w:t>
      </w:r>
      <w:r>
        <w:rPr>
          <w:rStyle w:val="51"/>
          <w:rFonts w:hint="eastAsia"/>
          <w:lang w:val="zh-CN"/>
        </w:rPr>
        <w:t>成交通知</w:t>
      </w:r>
      <w:r>
        <w:rPr>
          <w:lang w:val="zh-CN"/>
        </w:rPr>
        <w:tab/>
      </w:r>
      <w:r>
        <w:rPr>
          <w:lang w:val="zh-CN"/>
        </w:rPr>
        <w:fldChar w:fldCharType="begin"/>
      </w:r>
      <w:r>
        <w:rPr>
          <w:lang w:val="zh-CN"/>
        </w:rPr>
        <w:instrText xml:space="preserve"> PAGEREF _Toc1032380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"_Toc1032381" </w:instrText>
      </w:r>
      <w:r>
        <w:fldChar w:fldCharType="separate"/>
      </w:r>
      <w:r>
        <w:rPr>
          <w:rStyle w:val="51"/>
          <w:lang w:val="zh-CN"/>
        </w:rPr>
        <w:t xml:space="preserve">21. </w:t>
      </w:r>
      <w:r>
        <w:rPr>
          <w:rStyle w:val="51"/>
          <w:rFonts w:hint="eastAsia"/>
          <w:lang w:val="zh-CN"/>
        </w:rPr>
        <w:t>签订合同</w:t>
      </w:r>
      <w:r>
        <w:rPr>
          <w:lang w:val="zh-CN"/>
        </w:rPr>
        <w:tab/>
      </w:r>
      <w:r>
        <w:rPr>
          <w:lang w:val="zh-CN"/>
        </w:rPr>
        <w:fldChar w:fldCharType="begin"/>
      </w:r>
      <w:r>
        <w:rPr>
          <w:lang w:val="zh-CN"/>
        </w:rPr>
        <w:instrText xml:space="preserve"> PAGEREF _Toc1032381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"_Toc1032382" </w:instrText>
      </w:r>
      <w:r>
        <w:fldChar w:fldCharType="separate"/>
      </w:r>
      <w:r>
        <w:rPr>
          <w:rStyle w:val="51"/>
          <w:lang w:val="zh-CN"/>
        </w:rPr>
        <w:t xml:space="preserve">22. </w:t>
      </w:r>
      <w:r>
        <w:rPr>
          <w:rStyle w:val="51"/>
          <w:rFonts w:hint="eastAsia"/>
          <w:lang w:val="zh-CN"/>
        </w:rPr>
        <w:t>其他需要补充的内容</w:t>
      </w:r>
      <w:r>
        <w:rPr>
          <w:lang w:val="zh-CN"/>
        </w:rPr>
        <w:tab/>
      </w:r>
      <w:r>
        <w:rPr>
          <w:lang w:val="zh-CN"/>
        </w:rPr>
        <w:fldChar w:fldCharType="begin"/>
      </w:r>
      <w:r>
        <w:rPr>
          <w:lang w:val="zh-CN"/>
        </w:rPr>
        <w:instrText xml:space="preserve"> PAGEREF _Toc1032382 \h </w:instrText>
      </w:r>
      <w:r>
        <w:rPr>
          <w:lang w:val="zh-CN"/>
        </w:rPr>
        <w:fldChar w:fldCharType="separate"/>
      </w:r>
      <w:r>
        <w:rPr>
          <w:lang w:val="zh-CN"/>
        </w:rPr>
        <w:t>12</w:t>
      </w:r>
      <w:r>
        <w:rPr>
          <w:lang w:val="zh-CN"/>
        </w:rPr>
        <w:fldChar w:fldCharType="end"/>
      </w:r>
      <w:r>
        <w:rPr>
          <w:lang w:val="zh-CN"/>
        </w:rPr>
        <w:fldChar w:fldCharType="end"/>
      </w:r>
    </w:p>
    <w:p>
      <w:pPr>
        <w:pStyle w:val="30"/>
        <w:tabs>
          <w:tab w:val="right" w:leader="dot" w:pos="9017"/>
        </w:tabs>
        <w:spacing w:line="240" w:lineRule="auto"/>
        <w:ind w:firstLine="480"/>
        <w:rPr>
          <w:rFonts w:ascii="Calibri" w:hAnsi="Calibri"/>
          <w:sz w:val="21"/>
          <w:szCs w:val="22"/>
          <w:lang w:val="zh-CN"/>
        </w:rPr>
      </w:pPr>
      <w:r>
        <w:fldChar w:fldCharType="begin"/>
      </w:r>
      <w:r>
        <w:instrText xml:space="preserve"> HYPERLINK \l "_Toc1032383" </w:instrText>
      </w:r>
      <w:r>
        <w:fldChar w:fldCharType="separate"/>
      </w:r>
      <w:r>
        <w:rPr>
          <w:rStyle w:val="51"/>
          <w:rFonts w:hint="eastAsia"/>
          <w:lang w:val="zh-CN"/>
        </w:rPr>
        <w:t>第三章</w:t>
      </w:r>
      <w:r>
        <w:rPr>
          <w:rStyle w:val="51"/>
          <w:lang w:val="zh-CN"/>
        </w:rPr>
        <w:t xml:space="preserve"> </w:t>
      </w:r>
      <w:r>
        <w:rPr>
          <w:rStyle w:val="51"/>
          <w:rFonts w:hint="eastAsia"/>
          <w:lang w:val="zh-CN"/>
        </w:rPr>
        <w:t>评审办法</w:t>
      </w:r>
      <w:r>
        <w:rPr>
          <w:lang w:val="zh-CN"/>
        </w:rPr>
        <w:tab/>
      </w:r>
      <w:r>
        <w:rPr>
          <w:lang w:val="zh-CN"/>
        </w:rPr>
        <w:fldChar w:fldCharType="begin"/>
      </w:r>
      <w:r>
        <w:rPr>
          <w:lang w:val="zh-CN"/>
        </w:rPr>
        <w:instrText xml:space="preserve"> PAGEREF _Toc1032383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"_Toc1032384" </w:instrText>
      </w:r>
      <w:r>
        <w:fldChar w:fldCharType="separate"/>
      </w:r>
      <w:r>
        <w:rPr>
          <w:rStyle w:val="51"/>
          <w:rFonts w:hint="eastAsia"/>
          <w:lang w:val="zh-CN"/>
        </w:rPr>
        <w:t>一、总则</w:t>
      </w:r>
      <w:r>
        <w:rPr>
          <w:lang w:val="zh-CN"/>
        </w:rPr>
        <w:tab/>
      </w:r>
      <w:r>
        <w:rPr>
          <w:lang w:val="zh-CN"/>
        </w:rPr>
        <w:fldChar w:fldCharType="begin"/>
      </w:r>
      <w:r>
        <w:rPr>
          <w:lang w:val="zh-CN"/>
        </w:rPr>
        <w:instrText xml:space="preserve"> PAGEREF _Toc1032384 \h </w:instrText>
      </w:r>
      <w:r>
        <w:rPr>
          <w:lang w:val="zh-CN"/>
        </w:rPr>
        <w:fldChar w:fldCharType="separate"/>
      </w:r>
      <w:r>
        <w:rPr>
          <w:lang w:val="zh-CN"/>
        </w:rPr>
        <w:t>12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"_Toc1032385" </w:instrText>
      </w:r>
      <w:r>
        <w:fldChar w:fldCharType="separate"/>
      </w:r>
      <w:r>
        <w:rPr>
          <w:rStyle w:val="51"/>
          <w:rFonts w:hint="eastAsia"/>
          <w:lang w:val="zh-CN"/>
        </w:rPr>
        <w:t>二、评审方法</w:t>
      </w:r>
      <w:r>
        <w:rPr>
          <w:lang w:val="zh-CN"/>
        </w:rPr>
        <w:tab/>
      </w:r>
      <w:r>
        <w:rPr>
          <w:lang w:val="zh-CN"/>
        </w:rPr>
        <w:fldChar w:fldCharType="begin"/>
      </w:r>
      <w:r>
        <w:rPr>
          <w:lang w:val="zh-CN"/>
        </w:rPr>
        <w:instrText xml:space="preserve"> PAGEREF _Toc1032385 \h </w:instrText>
      </w:r>
      <w:r>
        <w:rPr>
          <w:lang w:val="zh-CN"/>
        </w:rPr>
        <w:fldChar w:fldCharType="separate"/>
      </w:r>
      <w:r>
        <w:rPr>
          <w:lang w:val="zh-CN"/>
        </w:rPr>
        <w:t>13</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"_Toc1032386" </w:instrText>
      </w:r>
      <w:r>
        <w:fldChar w:fldCharType="separate"/>
      </w:r>
      <w:r>
        <w:rPr>
          <w:rStyle w:val="51"/>
          <w:rFonts w:hint="eastAsia"/>
          <w:lang w:val="zh-CN"/>
        </w:rPr>
        <w:t>三、评审程序</w:t>
      </w:r>
      <w:r>
        <w:rPr>
          <w:lang w:val="zh-CN"/>
        </w:rPr>
        <w:tab/>
      </w:r>
      <w:r>
        <w:rPr>
          <w:lang w:val="zh-CN"/>
        </w:rPr>
        <w:fldChar w:fldCharType="begin"/>
      </w:r>
      <w:r>
        <w:rPr>
          <w:lang w:val="zh-CN"/>
        </w:rPr>
        <w:instrText xml:space="preserve"> PAGEREF _Toc1032386 \h </w:instrText>
      </w:r>
      <w:r>
        <w:rPr>
          <w:lang w:val="zh-CN"/>
        </w:rPr>
        <w:fldChar w:fldCharType="separate"/>
      </w:r>
      <w:r>
        <w:rPr>
          <w:lang w:val="zh-CN"/>
        </w:rPr>
        <w:t>13</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"_Toc1032387" </w:instrText>
      </w:r>
      <w:r>
        <w:fldChar w:fldCharType="separate"/>
      </w:r>
      <w:r>
        <w:rPr>
          <w:rStyle w:val="51"/>
          <w:rFonts w:hint="eastAsia"/>
          <w:lang w:val="zh-CN"/>
        </w:rPr>
        <w:t>四、推荐成交供应商</w:t>
      </w:r>
      <w:r>
        <w:rPr>
          <w:lang w:val="zh-CN"/>
        </w:rPr>
        <w:tab/>
      </w:r>
      <w:r>
        <w:rPr>
          <w:lang w:val="zh-CN"/>
        </w:rPr>
        <w:fldChar w:fldCharType="begin"/>
      </w:r>
      <w:r>
        <w:rPr>
          <w:lang w:val="zh-CN"/>
        </w:rPr>
        <w:instrText xml:space="preserve"> PAGEREF _Toc1032387 \h </w:instrText>
      </w:r>
      <w:r>
        <w:rPr>
          <w:lang w:val="zh-CN"/>
        </w:rPr>
        <w:fldChar w:fldCharType="separate"/>
      </w:r>
      <w:r>
        <w:rPr>
          <w:lang w:val="zh-CN"/>
        </w:rPr>
        <w:t>14</w:t>
      </w:r>
      <w:r>
        <w:rPr>
          <w:lang w:val="zh-CN"/>
        </w:rPr>
        <w:fldChar w:fldCharType="end"/>
      </w:r>
      <w:r>
        <w:rPr>
          <w:lang w:val="zh-CN"/>
        </w:rPr>
        <w:fldChar w:fldCharType="end"/>
      </w:r>
    </w:p>
    <w:p>
      <w:pPr>
        <w:pStyle w:val="30"/>
        <w:tabs>
          <w:tab w:val="right" w:leader="dot" w:pos="9017"/>
        </w:tabs>
        <w:spacing w:line="240" w:lineRule="auto"/>
        <w:ind w:firstLine="480"/>
        <w:rPr>
          <w:rFonts w:ascii="Calibri" w:hAnsi="Calibri"/>
          <w:sz w:val="21"/>
          <w:szCs w:val="22"/>
          <w:lang w:val="zh-CN"/>
        </w:rPr>
      </w:pPr>
      <w:r>
        <w:fldChar w:fldCharType="begin"/>
      </w:r>
      <w:r>
        <w:instrText xml:space="preserve"> HYPERLINK \l "_Toc1032388" </w:instrText>
      </w:r>
      <w:r>
        <w:fldChar w:fldCharType="separate"/>
      </w:r>
      <w:r>
        <w:rPr>
          <w:rStyle w:val="51"/>
          <w:rFonts w:hint="eastAsia"/>
          <w:lang w:val="zh-CN"/>
        </w:rPr>
        <w:t>第四章</w:t>
      </w:r>
      <w:r>
        <w:rPr>
          <w:rStyle w:val="51"/>
          <w:lang w:val="zh-CN"/>
        </w:rPr>
        <w:t xml:space="preserve"> </w:t>
      </w:r>
      <w:r>
        <w:rPr>
          <w:rStyle w:val="51"/>
          <w:rFonts w:hint="eastAsia"/>
          <w:lang w:val="zh-CN"/>
        </w:rPr>
        <w:t>合同条款及格式</w:t>
      </w:r>
      <w:r>
        <w:rPr>
          <w:lang w:val="zh-CN"/>
        </w:rPr>
        <w:tab/>
      </w:r>
      <w:r>
        <w:rPr>
          <w:lang w:val="zh-CN"/>
        </w:rPr>
        <w:fldChar w:fldCharType="begin"/>
      </w:r>
      <w:r>
        <w:rPr>
          <w:lang w:val="zh-CN"/>
        </w:rPr>
        <w:instrText xml:space="preserve"> PAGEREF _Toc1032388 \h </w:instrText>
      </w:r>
      <w:r>
        <w:rPr>
          <w:lang w:val="zh-CN"/>
        </w:rPr>
        <w:fldChar w:fldCharType="separate"/>
      </w:r>
      <w:r>
        <w:rPr>
          <w:lang w:val="zh-CN"/>
        </w:rPr>
        <w:t>15</w:t>
      </w:r>
      <w:r>
        <w:rPr>
          <w:lang w:val="zh-CN"/>
        </w:rPr>
        <w:fldChar w:fldCharType="end"/>
      </w:r>
      <w:r>
        <w:rPr>
          <w:lang w:val="zh-CN"/>
        </w:rPr>
        <w:fldChar w:fldCharType="end"/>
      </w:r>
    </w:p>
    <w:p>
      <w:pPr>
        <w:pStyle w:val="30"/>
        <w:tabs>
          <w:tab w:val="right" w:leader="dot" w:pos="9017"/>
        </w:tabs>
        <w:spacing w:line="240" w:lineRule="auto"/>
        <w:ind w:firstLine="480"/>
        <w:rPr>
          <w:rFonts w:ascii="Calibri" w:hAnsi="Calibri"/>
          <w:sz w:val="21"/>
          <w:szCs w:val="22"/>
          <w:lang w:val="zh-CN"/>
        </w:rPr>
      </w:pPr>
      <w:r>
        <w:fldChar w:fldCharType="begin"/>
      </w:r>
      <w:r>
        <w:instrText xml:space="preserve"> HYPERLINK \l "_Toc1032389" </w:instrText>
      </w:r>
      <w:r>
        <w:fldChar w:fldCharType="separate"/>
      </w:r>
      <w:r>
        <w:rPr>
          <w:rStyle w:val="51"/>
          <w:rFonts w:hint="eastAsia"/>
          <w:lang w:val="zh-CN"/>
        </w:rPr>
        <w:t>第五章</w:t>
      </w:r>
      <w:r>
        <w:rPr>
          <w:rStyle w:val="51"/>
          <w:lang w:val="zh-CN"/>
        </w:rPr>
        <w:t xml:space="preserve"> </w:t>
      </w:r>
      <w:r>
        <w:rPr>
          <w:rStyle w:val="51"/>
          <w:rFonts w:hint="eastAsia"/>
          <w:lang w:val="zh-CN"/>
        </w:rPr>
        <w:t>采购需求</w:t>
      </w:r>
      <w:r>
        <w:rPr>
          <w:lang w:val="zh-CN"/>
        </w:rPr>
        <w:tab/>
      </w:r>
      <w:r>
        <w:rPr>
          <w:lang w:val="zh-CN"/>
        </w:rPr>
        <w:fldChar w:fldCharType="begin"/>
      </w:r>
      <w:r>
        <w:rPr>
          <w:lang w:val="zh-CN"/>
        </w:rPr>
        <w:instrText xml:space="preserve"> PAGEREF _Toc1032389 \h </w:instrText>
      </w:r>
      <w:r>
        <w:rPr>
          <w:lang w:val="zh-CN"/>
        </w:rPr>
        <w:fldChar w:fldCharType="separate"/>
      </w:r>
      <w:r>
        <w:rPr>
          <w:lang w:val="zh-CN"/>
        </w:rPr>
        <w:t>16</w:t>
      </w:r>
      <w:r>
        <w:rPr>
          <w:lang w:val="zh-CN"/>
        </w:rPr>
        <w:fldChar w:fldCharType="end"/>
      </w:r>
      <w:r>
        <w:rPr>
          <w:lang w:val="zh-CN"/>
        </w:rPr>
        <w:fldChar w:fldCharType="end"/>
      </w:r>
    </w:p>
    <w:p>
      <w:pPr>
        <w:pStyle w:val="30"/>
        <w:tabs>
          <w:tab w:val="right" w:leader="dot" w:pos="9017"/>
        </w:tabs>
        <w:spacing w:line="240" w:lineRule="auto"/>
        <w:ind w:firstLine="480"/>
        <w:rPr>
          <w:rFonts w:ascii="Calibri" w:hAnsi="Calibri"/>
          <w:sz w:val="21"/>
          <w:szCs w:val="22"/>
          <w:lang w:val="zh-CN"/>
        </w:rPr>
      </w:pPr>
      <w:r>
        <w:fldChar w:fldCharType="begin"/>
      </w:r>
      <w:r>
        <w:instrText xml:space="preserve"> HYPERLINK \l "_Toc1032390" </w:instrText>
      </w:r>
      <w:r>
        <w:fldChar w:fldCharType="separate"/>
      </w:r>
      <w:r>
        <w:rPr>
          <w:rStyle w:val="51"/>
          <w:rFonts w:hint="eastAsia"/>
          <w:lang w:val="zh-CN"/>
        </w:rPr>
        <w:t>第六章</w:t>
      </w:r>
      <w:r>
        <w:rPr>
          <w:rStyle w:val="51"/>
          <w:lang w:val="zh-CN"/>
        </w:rPr>
        <w:t xml:space="preserve"> </w:t>
      </w:r>
      <w:r>
        <w:rPr>
          <w:rStyle w:val="51"/>
          <w:rFonts w:hint="eastAsia"/>
          <w:lang w:val="zh-CN"/>
        </w:rPr>
        <w:t>响应文件格式</w:t>
      </w:r>
      <w:r>
        <w:rPr>
          <w:lang w:val="zh-CN"/>
        </w:rPr>
        <w:tab/>
      </w:r>
      <w:r>
        <w:rPr>
          <w:lang w:val="zh-CN"/>
        </w:rPr>
        <w:fldChar w:fldCharType="begin"/>
      </w:r>
      <w:r>
        <w:rPr>
          <w:lang w:val="zh-CN"/>
        </w:rPr>
        <w:instrText xml:space="preserve"> PAGEREF _Toc1032390 \h </w:instrText>
      </w:r>
      <w:r>
        <w:rPr>
          <w:lang w:val="zh-CN"/>
        </w:rPr>
        <w:fldChar w:fldCharType="separate"/>
      </w:r>
      <w:r>
        <w:rPr>
          <w:lang w:val="zh-CN"/>
        </w:rPr>
        <w:t>17</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"_Toc1032391" </w:instrText>
      </w:r>
      <w:r>
        <w:fldChar w:fldCharType="separate"/>
      </w:r>
      <w:r>
        <w:rPr>
          <w:rStyle w:val="51"/>
          <w:rFonts w:hint="eastAsia"/>
          <w:lang w:val="zh-CN"/>
        </w:rPr>
        <w:t>一、授权委托书</w:t>
      </w:r>
      <w:r>
        <w:rPr>
          <w:lang w:val="zh-CN"/>
        </w:rPr>
        <w:tab/>
      </w:r>
      <w:r>
        <w:rPr>
          <w:lang w:val="zh-CN"/>
        </w:rPr>
        <w:fldChar w:fldCharType="begin"/>
      </w:r>
      <w:r>
        <w:rPr>
          <w:lang w:val="zh-CN"/>
        </w:rPr>
        <w:instrText xml:space="preserve"> PAGEREF _Toc1032391 \h </w:instrText>
      </w:r>
      <w:r>
        <w:rPr>
          <w:lang w:val="zh-CN"/>
        </w:rPr>
        <w:fldChar w:fldCharType="separate"/>
      </w:r>
      <w:r>
        <w:rPr>
          <w:lang w:val="zh-CN"/>
        </w:rPr>
        <w:t>20</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"_Toc1032392" </w:instrText>
      </w:r>
      <w:r>
        <w:fldChar w:fldCharType="separate"/>
      </w:r>
      <w:r>
        <w:rPr>
          <w:rStyle w:val="51"/>
          <w:rFonts w:hint="eastAsia"/>
          <w:lang w:val="zh-CN"/>
        </w:rPr>
        <w:t>二、报价部分</w:t>
      </w:r>
      <w:r>
        <w:rPr>
          <w:lang w:val="zh-CN"/>
        </w:rPr>
        <w:tab/>
      </w:r>
      <w:r>
        <w:rPr>
          <w:lang w:val="zh-CN"/>
        </w:rPr>
        <w:fldChar w:fldCharType="begin"/>
      </w:r>
      <w:r>
        <w:rPr>
          <w:lang w:val="zh-CN"/>
        </w:rPr>
        <w:instrText xml:space="preserve"> PAGEREF _Toc1032392 \h </w:instrText>
      </w:r>
      <w:r>
        <w:rPr>
          <w:lang w:val="zh-CN"/>
        </w:rPr>
        <w:fldChar w:fldCharType="separate"/>
      </w:r>
      <w:r>
        <w:rPr>
          <w:lang w:val="zh-CN"/>
        </w:rPr>
        <w:t>21</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"_Toc1032393" </w:instrText>
      </w:r>
      <w:r>
        <w:fldChar w:fldCharType="separate"/>
      </w:r>
      <w:r>
        <w:rPr>
          <w:rStyle w:val="51"/>
          <w:rFonts w:hint="eastAsia"/>
          <w:lang w:val="zh-CN"/>
        </w:rPr>
        <w:t>三、商务部分</w:t>
      </w:r>
      <w:r>
        <w:rPr>
          <w:lang w:val="zh-CN"/>
        </w:rPr>
        <w:tab/>
      </w:r>
      <w:r>
        <w:rPr>
          <w:lang w:val="zh-CN"/>
        </w:rPr>
        <w:fldChar w:fldCharType="begin"/>
      </w:r>
      <w:r>
        <w:rPr>
          <w:lang w:val="zh-CN"/>
        </w:rPr>
        <w:instrText xml:space="preserve"> PAGEREF _Toc1032393 \h </w:instrText>
      </w:r>
      <w:r>
        <w:rPr>
          <w:lang w:val="zh-CN"/>
        </w:rPr>
        <w:fldChar w:fldCharType="separate"/>
      </w:r>
      <w:r>
        <w:rPr>
          <w:lang w:val="zh-CN"/>
        </w:rPr>
        <w:t>22</w:t>
      </w:r>
      <w:r>
        <w:rPr>
          <w:lang w:val="zh-CN"/>
        </w:rPr>
        <w:fldChar w:fldCharType="end"/>
      </w:r>
      <w:r>
        <w:rPr>
          <w:lang w:val="zh-CN"/>
        </w:rPr>
        <w:fldChar w:fldCharType="end"/>
      </w:r>
    </w:p>
    <w:p>
      <w:pPr>
        <w:pStyle w:val="37"/>
        <w:tabs>
          <w:tab w:val="right" w:leader="dot" w:pos="9017"/>
        </w:tabs>
        <w:spacing w:line="240" w:lineRule="auto"/>
        <w:ind w:left="480" w:firstLine="480"/>
        <w:rPr>
          <w:rFonts w:ascii="Calibri" w:hAnsi="Calibri"/>
          <w:sz w:val="21"/>
          <w:szCs w:val="22"/>
          <w:lang w:val="zh-CN"/>
        </w:rPr>
      </w:pPr>
      <w:r>
        <w:fldChar w:fldCharType="begin"/>
      </w:r>
      <w:r>
        <w:instrText xml:space="preserve"> HYPERLINK \l "_Toc1032394" </w:instrText>
      </w:r>
      <w:r>
        <w:fldChar w:fldCharType="separate"/>
      </w:r>
      <w:r>
        <w:rPr>
          <w:rStyle w:val="51"/>
          <w:rFonts w:hint="eastAsia"/>
          <w:lang w:val="zh-CN"/>
        </w:rPr>
        <w:t>四、技术部分</w:t>
      </w:r>
      <w:r>
        <w:rPr>
          <w:lang w:val="zh-CN"/>
        </w:rPr>
        <w:tab/>
      </w:r>
      <w:r>
        <w:rPr>
          <w:lang w:val="zh-CN"/>
        </w:rPr>
        <w:fldChar w:fldCharType="begin"/>
      </w:r>
      <w:r>
        <w:rPr>
          <w:lang w:val="zh-CN"/>
        </w:rPr>
        <w:instrText xml:space="preserve"> PAGEREF _Toc1032394 \h </w:instrText>
      </w:r>
      <w:r>
        <w:rPr>
          <w:lang w:val="zh-CN"/>
        </w:rPr>
        <w:fldChar w:fldCharType="separate"/>
      </w:r>
      <w:r>
        <w:rPr>
          <w:lang w:val="zh-CN"/>
        </w:rPr>
        <w:t>23</w:t>
      </w:r>
      <w:r>
        <w:rPr>
          <w:lang w:val="zh-CN"/>
        </w:rPr>
        <w:fldChar w:fldCharType="end"/>
      </w:r>
      <w:r>
        <w:rPr>
          <w:lang w:val="zh-CN"/>
        </w:rPr>
        <w:fldChar w:fldCharType="end"/>
      </w:r>
    </w:p>
    <w:p>
      <w:pPr>
        <w:spacing w:line="240" w:lineRule="auto"/>
        <w:ind w:left="284" w:firstLineChars="0"/>
        <w:jc w:val="left"/>
      </w:pPr>
      <w:r>
        <w:rPr>
          <w:rFonts w:ascii="宋体" w:hAnsi="宋体" w:cs="Arial"/>
          <w:bCs/>
          <w:caps/>
          <w:sz w:val="22"/>
          <w:szCs w:val="22"/>
        </w:rPr>
        <w:fldChar w:fldCharType="end"/>
      </w:r>
      <w:bookmarkStart w:id="1" w:name="_Toc233104896"/>
    </w:p>
    <w:p>
      <w:pPr>
        <w:pStyle w:val="87"/>
        <w:ind w:firstLine="1040"/>
        <w:jc w:val="center"/>
      </w:pPr>
    </w:p>
    <w:p>
      <w:pPr>
        <w:ind w:firstLine="480"/>
      </w:pPr>
      <w:bookmarkStart w:id="2" w:name="_Toc527045600"/>
      <w:bookmarkStart w:id="3" w:name="_Toc527120203"/>
    </w:p>
    <w:p>
      <w:pPr>
        <w:ind w:firstLine="480"/>
      </w:pPr>
      <w:r>
        <w:br w:type="page"/>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pStyle w:val="41"/>
        <w:spacing w:before="120"/>
        <w:rPr>
          <w:b/>
          <w:bCs/>
        </w:rPr>
      </w:pPr>
      <w:bookmarkStart w:id="4" w:name="_Toc1032350"/>
      <w:r>
        <w:rPr>
          <w:rFonts w:hint="eastAsia"/>
          <w:b/>
          <w:bCs/>
        </w:rPr>
        <w:t>第一章</w:t>
      </w:r>
      <w:r>
        <w:rPr>
          <w:b/>
          <w:bCs/>
        </w:rPr>
        <w:t xml:space="preserve"> </w:t>
      </w:r>
      <w:r>
        <w:rPr>
          <w:rFonts w:hint="eastAsia"/>
          <w:b/>
          <w:bCs/>
        </w:rPr>
        <w:t>采购</w:t>
      </w:r>
      <w:bookmarkEnd w:id="1"/>
      <w:bookmarkEnd w:id="2"/>
      <w:bookmarkEnd w:id="3"/>
      <w:r>
        <w:rPr>
          <w:rFonts w:hint="eastAsia"/>
          <w:b/>
          <w:bCs/>
        </w:rPr>
        <w:t>公告</w:t>
      </w:r>
      <w:bookmarkEnd w:id="4"/>
    </w:p>
    <w:p>
      <w:pPr>
        <w:pStyle w:val="41"/>
        <w:spacing w:before="120"/>
      </w:pPr>
      <w:r>
        <w:rPr>
          <w:rFonts w:ascii="Arial" w:hAnsi="Arial" w:cs="Arial"/>
          <w:b/>
          <w:szCs w:val="21"/>
        </w:rPr>
        <w:br w:type="page"/>
      </w:r>
      <w:bookmarkStart w:id="5" w:name="_Toc49019215"/>
      <w:bookmarkStart w:id="6" w:name="_Toc48791214"/>
      <w:bookmarkStart w:id="7" w:name="_Toc48995830"/>
      <w:bookmarkStart w:id="8" w:name="_Toc47261864"/>
      <w:bookmarkStart w:id="9" w:name="_Toc47261049"/>
      <w:bookmarkStart w:id="10" w:name="_Toc47262048"/>
      <w:bookmarkStart w:id="11" w:name="_Toc47261669"/>
      <w:bookmarkStart w:id="12" w:name="_Toc47418234"/>
      <w:bookmarkStart w:id="13" w:name="_Toc47418710"/>
      <w:bookmarkStart w:id="14" w:name="_Toc47418917"/>
      <w:bookmarkStart w:id="15" w:name="_Toc527708221"/>
      <w:bookmarkStart w:id="16" w:name="_Toc1032351"/>
      <w:bookmarkStart w:id="17" w:name="_Toc49019216"/>
      <w:bookmarkStart w:id="18" w:name="_Toc47416177"/>
      <w:bookmarkStart w:id="19" w:name="_Toc47415923"/>
      <w:r>
        <w:rPr>
          <w:b/>
          <w:bCs/>
        </w:rPr>
        <w:t>第一章</w:t>
      </w:r>
      <w:bookmarkEnd w:id="5"/>
      <w:bookmarkEnd w:id="6"/>
      <w:bookmarkEnd w:id="7"/>
      <w:bookmarkEnd w:id="8"/>
      <w:bookmarkEnd w:id="9"/>
      <w:bookmarkEnd w:id="10"/>
      <w:bookmarkEnd w:id="11"/>
      <w:bookmarkEnd w:id="12"/>
      <w:bookmarkEnd w:id="13"/>
      <w:bookmarkEnd w:id="14"/>
      <w:r>
        <w:rPr>
          <w:b/>
          <w:bCs/>
        </w:rPr>
        <w:t xml:space="preserve"> </w:t>
      </w:r>
      <w:r>
        <w:rPr>
          <w:rFonts w:hint="eastAsia"/>
          <w:b/>
          <w:bCs/>
        </w:rPr>
        <w:t>采购公告</w:t>
      </w:r>
      <w:bookmarkEnd w:id="15"/>
      <w:bookmarkEnd w:id="16"/>
    </w:p>
    <w:p>
      <w:pPr>
        <w:spacing w:line="360" w:lineRule="auto"/>
        <w:ind w:firstLine="480"/>
        <w:jc w:val="center"/>
        <w:rPr>
          <w:rFonts w:eastAsia="黑体"/>
          <w:color w:val="000000"/>
          <w:sz w:val="28"/>
        </w:rPr>
      </w:pPr>
      <w:bookmarkStart w:id="20" w:name="_Toc361508574"/>
      <w:bookmarkEnd w:id="20"/>
      <w:bookmarkStart w:id="21" w:name="_Toc384308199"/>
      <w:bookmarkEnd w:id="21"/>
      <w:bookmarkStart w:id="22" w:name="_Toc369531507"/>
      <w:bookmarkEnd w:id="22"/>
      <w:bookmarkStart w:id="23" w:name="_Toc18885"/>
      <w:bookmarkEnd w:id="23"/>
      <w:bookmarkStart w:id="24" w:name="_Toc352691465"/>
      <w:bookmarkEnd w:id="24"/>
      <w:bookmarkStart w:id="25" w:name="_Toc384308200"/>
      <w:bookmarkStart w:id="26" w:name="_Toc361508575"/>
      <w:r>
        <w:rPr>
          <w:rFonts w:hint="eastAsia" w:ascii="楷体" w:hAnsi="楷体" w:eastAsia="楷体"/>
          <w:szCs w:val="24"/>
          <w:u w:val="single"/>
        </w:rPr>
        <w:t xml:space="preserve"> </w:t>
      </w:r>
      <w:r>
        <w:rPr>
          <w:rFonts w:hint="eastAsia" w:ascii="黑体" w:hAnsi="黑体" w:eastAsia="黑体" w:cs="黑体"/>
          <w:sz w:val="28"/>
          <w:szCs w:val="28"/>
          <w:u w:val="single"/>
        </w:rPr>
        <w:t>热网首站电缆</w:t>
      </w:r>
      <w:r>
        <w:rPr>
          <w:rFonts w:hint="eastAsia" w:ascii="楷体" w:hAnsi="楷体" w:eastAsia="楷体"/>
          <w:szCs w:val="24"/>
          <w:u w:val="single"/>
        </w:rPr>
        <w:t xml:space="preserve"> </w:t>
      </w:r>
      <w:r>
        <w:rPr>
          <w:rFonts w:hint="eastAsia" w:eastAsia="黑体"/>
          <w:sz w:val="28"/>
        </w:rPr>
        <w:t>采购</w:t>
      </w:r>
      <w:r>
        <w:rPr>
          <w:rFonts w:eastAsia="黑体"/>
          <w:sz w:val="28"/>
        </w:rPr>
        <w:t>公</w:t>
      </w:r>
      <w:r>
        <w:rPr>
          <w:rFonts w:eastAsia="黑体"/>
          <w:color w:val="000000"/>
          <w:sz w:val="28"/>
        </w:rPr>
        <w:t>告</w:t>
      </w:r>
    </w:p>
    <w:p>
      <w:pPr>
        <w:spacing w:line="360" w:lineRule="auto"/>
        <w:ind w:firstLine="2940" w:firstLineChars="1050"/>
        <w:rPr>
          <w:rFonts w:eastAsia="黑体"/>
          <w:color w:val="000000"/>
          <w:sz w:val="20"/>
          <w:u w:val="single"/>
        </w:rPr>
      </w:pPr>
      <w:r>
        <w:rPr>
          <w:rFonts w:hint="eastAsia" w:ascii="黑体" w:eastAsia="黑体"/>
          <w:sz w:val="28"/>
          <w:szCs w:val="28"/>
        </w:rPr>
        <w:t>采购编号：</w:t>
      </w:r>
      <w:r>
        <w:rPr>
          <w:rFonts w:hint="eastAsia" w:ascii="楷体" w:hAnsi="楷体" w:eastAsia="楷体"/>
          <w:szCs w:val="24"/>
          <w:u w:val="single"/>
        </w:rPr>
        <w:t xml:space="preserve">                   </w:t>
      </w:r>
    </w:p>
    <w:p>
      <w:pPr>
        <w:pStyle w:val="3"/>
        <w:spacing w:before="120"/>
      </w:pPr>
      <w:bookmarkStart w:id="27" w:name="_Toc527708222"/>
      <w:bookmarkStart w:id="28" w:name="_Toc504312942"/>
      <w:bookmarkStart w:id="29" w:name="_Toc1032352"/>
      <w:r>
        <w:t xml:space="preserve">1. </w:t>
      </w:r>
      <w:r>
        <w:rPr>
          <w:rFonts w:hint="eastAsia"/>
        </w:rPr>
        <w:t>采购</w:t>
      </w:r>
      <w:r>
        <w:t>条件</w:t>
      </w:r>
      <w:bookmarkEnd w:id="27"/>
      <w:bookmarkEnd w:id="28"/>
      <w:bookmarkEnd w:id="29"/>
    </w:p>
    <w:p>
      <w:pPr>
        <w:ind w:firstLine="480"/>
        <w:rPr>
          <w:highlight w:val="none"/>
        </w:rPr>
      </w:pPr>
      <w:r>
        <w:rPr>
          <w:highlight w:val="none"/>
        </w:rPr>
        <w:t>本采购项目</w:t>
      </w:r>
      <w:r>
        <w:rPr>
          <w:rFonts w:hint="eastAsia" w:eastAsia="楷体"/>
          <w:highlight w:val="none"/>
          <w:u w:val="single"/>
        </w:rPr>
        <w:t>热网首站电缆</w:t>
      </w:r>
      <w:r>
        <w:rPr>
          <w:highlight w:val="none"/>
        </w:rPr>
        <w:t>采购人为</w:t>
      </w:r>
      <w:r>
        <w:rPr>
          <w:rFonts w:hint="eastAsia" w:eastAsia="楷体"/>
          <w:highlight w:val="none"/>
          <w:u w:val="single"/>
        </w:rPr>
        <w:t>西安热工研究院有限公司</w:t>
      </w:r>
      <w:r>
        <w:rPr>
          <w:rFonts w:hint="eastAsia"/>
          <w:highlight w:val="none"/>
        </w:rPr>
        <w:t>，资金来源</w:t>
      </w:r>
      <w:r>
        <w:rPr>
          <w:highlight w:val="none"/>
        </w:rPr>
        <w:t>为</w:t>
      </w:r>
      <w:r>
        <w:rPr>
          <w:rFonts w:hint="eastAsia" w:ascii="楷体" w:hAnsi="楷体" w:eastAsia="楷体"/>
          <w:highlight w:val="none"/>
          <w:u w:val="single"/>
        </w:rPr>
        <w:t xml:space="preserve"> 自筹</w:t>
      </w:r>
      <w:r>
        <w:rPr>
          <w:rFonts w:ascii="楷体" w:hAnsi="楷体" w:eastAsia="楷体"/>
          <w:highlight w:val="none"/>
          <w:u w:val="single"/>
        </w:rPr>
        <w:t xml:space="preserve"> </w:t>
      </w:r>
      <w:r>
        <w:rPr>
          <w:highlight w:val="none"/>
        </w:rPr>
        <w:t>，</w:t>
      </w:r>
      <w:r>
        <w:rPr>
          <w:rFonts w:hint="eastAsia"/>
          <w:highlight w:val="none"/>
        </w:rPr>
        <w:t>该</w:t>
      </w:r>
      <w:r>
        <w:rPr>
          <w:highlight w:val="none"/>
        </w:rPr>
        <w:t>项目已具备采购条件，现对</w:t>
      </w:r>
      <w:r>
        <w:rPr>
          <w:rFonts w:hint="eastAsia"/>
          <w:highlight w:val="none"/>
          <w:u w:val="single"/>
        </w:rPr>
        <w:t xml:space="preserve"> </w:t>
      </w:r>
      <w:r>
        <w:rPr>
          <w:rFonts w:hint="eastAsia" w:eastAsia="楷体"/>
          <w:szCs w:val="22"/>
          <w:highlight w:val="none"/>
          <w:u w:val="single"/>
        </w:rPr>
        <w:t>热网首站电缆</w:t>
      </w:r>
      <w:r>
        <w:rPr>
          <w:rFonts w:hint="eastAsia" w:eastAsia="楷体"/>
          <w:szCs w:val="22"/>
          <w:highlight w:val="none"/>
          <w:u w:val="single"/>
          <w:lang w:val="en-US" w:eastAsia="zh-CN"/>
        </w:rPr>
        <w:t xml:space="preserve"> </w:t>
      </w:r>
      <w:r>
        <w:rPr>
          <w:highlight w:val="none"/>
        </w:rPr>
        <w:t>进行</w:t>
      </w:r>
      <w:r>
        <w:rPr>
          <w:rFonts w:hint="eastAsia"/>
          <w:highlight w:val="none"/>
        </w:rPr>
        <w:t>合格供应商公开询价</w:t>
      </w:r>
      <w:r>
        <w:rPr>
          <w:highlight w:val="none"/>
        </w:rPr>
        <w:t>。</w:t>
      </w:r>
    </w:p>
    <w:p>
      <w:pPr>
        <w:pStyle w:val="3"/>
        <w:spacing w:before="120"/>
      </w:pPr>
      <w:bookmarkStart w:id="30" w:name="_Toc527708223"/>
      <w:bookmarkStart w:id="31" w:name="_Toc504312943"/>
      <w:bookmarkStart w:id="32" w:name="_Toc1032353"/>
      <w:r>
        <w:t xml:space="preserve">2. </w:t>
      </w:r>
      <w:r>
        <w:rPr>
          <w:rFonts w:hint="eastAsia"/>
        </w:rPr>
        <w:t>项目概况与采购范围</w:t>
      </w:r>
      <w:bookmarkEnd w:id="30"/>
      <w:bookmarkEnd w:id="31"/>
      <w:bookmarkEnd w:id="32"/>
    </w:p>
    <w:p>
      <w:pPr>
        <w:autoSpaceDE w:val="0"/>
        <w:autoSpaceDN w:val="0"/>
        <w:spacing w:line="360" w:lineRule="auto"/>
        <w:ind w:firstLine="480"/>
        <w:jc w:val="left"/>
        <w:rPr>
          <w:rFonts w:ascii="宋体" w:hAnsi="宋体"/>
        </w:rPr>
      </w:pPr>
      <w:r>
        <w:rPr>
          <w:rFonts w:hint="eastAsia" w:ascii="宋体" w:hAnsi="宋体"/>
        </w:rPr>
        <w:t>项目执行需要采购热网首站仪表，设备清单及相关要求见采购需求技术规范。</w:t>
      </w:r>
    </w:p>
    <w:p>
      <w:pPr>
        <w:spacing w:line="360" w:lineRule="auto"/>
        <w:ind w:firstLine="480"/>
        <w:jc w:val="left"/>
        <w:rPr>
          <w:rFonts w:ascii="宋体" w:hAnsi="宋体" w:cs="Arial"/>
          <w:szCs w:val="24"/>
        </w:rPr>
      </w:pPr>
      <w:r>
        <w:rPr>
          <w:rFonts w:hint="eastAsia" w:ascii="宋体" w:hAnsi="宋体" w:cs="Arial"/>
          <w:szCs w:val="24"/>
        </w:rPr>
        <w:t xml:space="preserve">供货周期：合同签订后30日，于交货地点进行交接； </w:t>
      </w:r>
    </w:p>
    <w:p>
      <w:pPr>
        <w:spacing w:line="360" w:lineRule="auto"/>
        <w:ind w:firstLine="480"/>
        <w:jc w:val="left"/>
        <w:rPr>
          <w:rFonts w:ascii="宋体" w:hAnsi="宋体" w:cs="Arial"/>
          <w:szCs w:val="24"/>
        </w:rPr>
      </w:pPr>
      <w:r>
        <w:rPr>
          <w:rFonts w:hint="eastAsia" w:ascii="宋体" w:hAnsi="宋体" w:cs="Arial"/>
          <w:szCs w:val="24"/>
        </w:rPr>
        <w:t>交货地点：商丘市梁园区</w:t>
      </w:r>
    </w:p>
    <w:p>
      <w:pPr>
        <w:spacing w:line="360" w:lineRule="auto"/>
        <w:ind w:firstLine="480"/>
        <w:jc w:val="left"/>
        <w:rPr>
          <w:rFonts w:ascii="宋体" w:hAnsi="宋体" w:cs="Arial"/>
          <w:szCs w:val="24"/>
        </w:rPr>
      </w:pPr>
      <w:r>
        <w:rPr>
          <w:rFonts w:hint="eastAsia" w:ascii="宋体" w:hAnsi="宋体" w:cs="Arial"/>
          <w:szCs w:val="24"/>
        </w:rPr>
        <w:t>交货方法及费用：由供方自定，费用已包含在合同总价中。</w:t>
      </w:r>
    </w:p>
    <w:p>
      <w:pPr>
        <w:pStyle w:val="3"/>
        <w:spacing w:before="120"/>
      </w:pPr>
      <w:bookmarkStart w:id="33" w:name="_Toc504312944"/>
      <w:bookmarkStart w:id="34" w:name="_Toc527708224"/>
      <w:bookmarkStart w:id="35" w:name="_Toc1032354"/>
      <w:r>
        <w:t xml:space="preserve">3. </w:t>
      </w:r>
      <w:r>
        <w:rPr>
          <w:rFonts w:hint="eastAsia"/>
        </w:rPr>
        <w:t>供应商</w:t>
      </w:r>
      <w:r>
        <w:t>资格要求</w:t>
      </w:r>
      <w:bookmarkEnd w:id="33"/>
      <w:bookmarkEnd w:id="34"/>
      <w:bookmarkEnd w:id="35"/>
    </w:p>
    <w:p>
      <w:pPr>
        <w:ind w:firstLine="480"/>
      </w:pPr>
      <w:r>
        <w:rPr>
          <w:rFonts w:hint="eastAsia"/>
        </w:rPr>
        <w:t>3.1</w:t>
      </w:r>
      <w:r>
        <w:t xml:space="preserve"> </w:t>
      </w:r>
      <w:r>
        <w:rPr>
          <w:rFonts w:hint="eastAsia"/>
        </w:rPr>
        <w:t>通用条件：</w:t>
      </w:r>
    </w:p>
    <w:p>
      <w:pPr>
        <w:ind w:firstLine="480"/>
      </w:pPr>
      <w:r>
        <w:rPr>
          <w:rFonts w:hint="eastAsia"/>
        </w:rPr>
        <w:t>供应商须为集团公司级、采购人所属的二级单位或采购人供应商库内的合格供应商，且不处于供应商暂停采购活动的期限内。</w:t>
      </w:r>
    </w:p>
    <w:p>
      <w:pPr>
        <w:ind w:firstLine="480"/>
      </w:pPr>
      <w:r>
        <w:rPr>
          <w:rFonts w:hint="eastAsia"/>
        </w:rPr>
        <w:t>3.2</w:t>
      </w:r>
      <w:r>
        <w:t xml:space="preserve"> </w:t>
      </w:r>
      <w:r>
        <w:rPr>
          <w:rFonts w:hint="eastAsia"/>
        </w:rPr>
        <w:t>专项条件：</w:t>
      </w:r>
    </w:p>
    <w:p>
      <w:pPr>
        <w:ind w:firstLine="480"/>
        <w:rPr>
          <w:rFonts w:hint="eastAsia"/>
        </w:rPr>
      </w:pPr>
      <w:r>
        <w:rPr>
          <w:rFonts w:hint="eastAsia"/>
          <w:highlight w:val="yellow"/>
        </w:rPr>
        <w:t>3.2.1资质要求：</w:t>
      </w:r>
      <w:r>
        <w:rPr>
          <w:rFonts w:hint="eastAsia"/>
          <w:u w:val="single"/>
          <w:lang w:val="en-US" w:eastAsia="zh-CN"/>
        </w:rPr>
        <w:t xml:space="preserve">  </w:t>
      </w:r>
      <w:r>
        <w:rPr>
          <w:rFonts w:hint="eastAsia" w:ascii="宋体" w:hAnsi="宋体"/>
          <w:szCs w:val="24"/>
          <w:u w:val="single"/>
        </w:rPr>
        <w:t>制造商注册资金不低于人民币1000万元，授权代理商注册资金不低于人民币100万元</w:t>
      </w:r>
      <w:r>
        <w:rPr>
          <w:rFonts w:hint="eastAsia"/>
          <w:u w:val="single"/>
        </w:rPr>
        <w:t xml:space="preserve">  </w:t>
      </w:r>
      <w:r>
        <w:rPr>
          <w:rFonts w:hint="eastAsia"/>
        </w:rPr>
        <w:t>。</w:t>
      </w:r>
    </w:p>
    <w:p>
      <w:pPr>
        <w:ind w:firstLine="480"/>
        <w:rPr>
          <w:rFonts w:hint="eastAsia"/>
          <w:highlight w:val="none"/>
        </w:rPr>
      </w:pPr>
      <w:r>
        <w:t>3.</w:t>
      </w:r>
      <w:r>
        <w:rPr>
          <w:rFonts w:hint="eastAsia"/>
        </w:rPr>
        <w:t>2.2</w:t>
      </w:r>
      <w:r>
        <w:t>业绩</w:t>
      </w:r>
      <w:r>
        <w:rPr>
          <w:rFonts w:hint="eastAsia"/>
        </w:rPr>
        <w:t>要</w:t>
      </w:r>
      <w:r>
        <w:rPr>
          <w:rFonts w:hint="eastAsia"/>
          <w:highlight w:val="none"/>
        </w:rPr>
        <w:t>求：</w:t>
      </w:r>
      <w:r>
        <w:rPr>
          <w:rFonts w:hint="eastAsia"/>
          <w:highlight w:val="none"/>
          <w:u w:val="single"/>
        </w:rPr>
        <w:t xml:space="preserve">    无  </w:t>
      </w:r>
      <w:r>
        <w:rPr>
          <w:highlight w:val="none"/>
          <w:u w:val="single"/>
        </w:rPr>
        <w:t xml:space="preserve">   </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u w:val="single"/>
          <w:lang w:val="en-US" w:eastAsia="zh-CN"/>
        </w:rPr>
        <w:t xml:space="preserve">      </w:t>
      </w:r>
      <w:r>
        <w:rPr>
          <w:rFonts w:hint="eastAsia"/>
          <w:highlight w:val="none"/>
          <w:u w:val="single"/>
        </w:rPr>
        <w:t xml:space="preserve">  </w:t>
      </w:r>
      <w:r>
        <w:rPr>
          <w:rFonts w:hint="eastAsia"/>
          <w:highlight w:val="none"/>
        </w:rPr>
        <w:t>。</w:t>
      </w:r>
    </w:p>
    <w:p>
      <w:pPr>
        <w:ind w:firstLine="480"/>
        <w:rPr>
          <w:highlight w:val="none"/>
        </w:rPr>
      </w:pPr>
      <w:r>
        <w:rPr>
          <w:highlight w:val="none"/>
        </w:rPr>
        <w:t>3.</w:t>
      </w:r>
      <w:r>
        <w:rPr>
          <w:rFonts w:hint="eastAsia"/>
          <w:highlight w:val="none"/>
        </w:rPr>
        <w:t>2.3是否允许</w:t>
      </w:r>
      <w:r>
        <w:rPr>
          <w:highlight w:val="none"/>
        </w:rPr>
        <w:t>联合体</w:t>
      </w:r>
      <w:r>
        <w:rPr>
          <w:rFonts w:hint="eastAsia"/>
          <w:highlight w:val="none"/>
        </w:rPr>
        <w:t>：</w:t>
      </w:r>
      <w:r>
        <w:rPr>
          <w:rFonts w:hint="eastAsia"/>
          <w:highlight w:val="none"/>
          <w:u w:val="single"/>
        </w:rPr>
        <w:t xml:space="preserve">    </w:t>
      </w:r>
      <w:r>
        <w:rPr>
          <w:rFonts w:hint="eastAsia" w:ascii="宋体" w:hAnsi="宋体"/>
          <w:szCs w:val="24"/>
          <w:highlight w:val="none"/>
          <w:u w:val="single"/>
        </w:rPr>
        <w:t>不接受</w:t>
      </w:r>
      <w:r>
        <w:rPr>
          <w:rFonts w:hint="eastAsia"/>
          <w:highlight w:val="none"/>
          <w:u w:val="single"/>
        </w:rPr>
        <w:t xml:space="preserve">  </w:t>
      </w:r>
      <w:r>
        <w:rPr>
          <w:highlight w:val="none"/>
          <w:u w:val="single"/>
        </w:rPr>
        <w:t xml:space="preserve">     </w:t>
      </w:r>
      <w:r>
        <w:rPr>
          <w:rFonts w:hint="eastAsia"/>
          <w:highlight w:val="none"/>
          <w:u w:val="single"/>
        </w:rPr>
        <w:t xml:space="preserve">       </w:t>
      </w:r>
      <w:r>
        <w:rPr>
          <w:rFonts w:hint="eastAsia"/>
          <w:highlight w:val="none"/>
        </w:rPr>
        <w:t>。</w:t>
      </w:r>
    </w:p>
    <w:p>
      <w:pPr>
        <w:ind w:firstLine="480"/>
      </w:pPr>
      <w:r>
        <w:rPr>
          <w:rFonts w:hint="eastAsia"/>
          <w:highlight w:val="none"/>
        </w:rPr>
        <w:t>3.2.4是否接受代理商：</w:t>
      </w:r>
      <w:r>
        <w:rPr>
          <w:rFonts w:hint="eastAsia"/>
          <w:highlight w:val="none"/>
          <w:u w:val="single"/>
        </w:rPr>
        <w:t xml:space="preserve">     </w:t>
      </w:r>
      <w:r>
        <w:rPr>
          <w:rFonts w:hint="eastAsia" w:ascii="宋体" w:hAnsi="宋体"/>
          <w:szCs w:val="24"/>
          <w:highlight w:val="none"/>
          <w:u w:val="single"/>
        </w:rPr>
        <w:t>接受</w:t>
      </w:r>
      <w:r>
        <w:rPr>
          <w:highlight w:val="none"/>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w:t>
      </w:r>
    </w:p>
    <w:p>
      <w:pPr>
        <w:ind w:firstLine="480"/>
        <w:rPr>
          <w:highlight w:val="none"/>
        </w:rPr>
      </w:pPr>
      <w:r>
        <w:rPr>
          <w:rFonts w:hint="eastAsia"/>
          <w:highlight w:val="yellow"/>
        </w:rPr>
        <w:t>3.2.5应具备的其他要求：</w:t>
      </w:r>
      <w:r>
        <w:rPr>
          <w:rFonts w:hint="eastAsia"/>
          <w:highlight w:val="none"/>
          <w:u w:val="single"/>
        </w:rPr>
        <w:t xml:space="preserve">  </w:t>
      </w:r>
      <w:r>
        <w:rPr>
          <w:rFonts w:hint="eastAsia"/>
          <w:u w:val="single"/>
        </w:rPr>
        <w:t>须提供制造商的全国工业产品生产许可证和3C认证，且证书在有效期内（未提供的供应商报价一律作废）</w:t>
      </w:r>
      <w:r>
        <w:rPr>
          <w:rFonts w:hint="eastAsia"/>
          <w:highlight w:val="none"/>
          <w:u w:val="single"/>
        </w:rPr>
        <w:t xml:space="preserve">  </w:t>
      </w:r>
      <w:r>
        <w:rPr>
          <w:rFonts w:hint="eastAsia"/>
          <w:highlight w:val="none"/>
        </w:rPr>
        <w:t>。</w:t>
      </w:r>
    </w:p>
    <w:p>
      <w:pPr>
        <w:pStyle w:val="3"/>
        <w:spacing w:before="120"/>
      </w:pPr>
      <w:bookmarkStart w:id="36" w:name="_Toc504312945"/>
      <w:bookmarkStart w:id="37" w:name="_Toc1032355"/>
      <w:bookmarkStart w:id="38" w:name="_Toc527708225"/>
      <w:r>
        <w:rPr>
          <w:rFonts w:hint="eastAsia"/>
        </w:rPr>
        <w:t>4</w:t>
      </w:r>
      <w:r>
        <w:t xml:space="preserve">. </w:t>
      </w:r>
      <w:r>
        <w:rPr>
          <w:rFonts w:hint="eastAsia"/>
        </w:rPr>
        <w:t>采购</w:t>
      </w:r>
      <w:r>
        <w:t>文件的获取</w:t>
      </w:r>
      <w:bookmarkEnd w:id="36"/>
      <w:bookmarkEnd w:id="37"/>
      <w:bookmarkEnd w:id="38"/>
    </w:p>
    <w:p>
      <w:pPr>
        <w:ind w:firstLine="480"/>
      </w:pPr>
      <w:r>
        <w:rPr>
          <w:rFonts w:hint="eastAsia" w:cs="宋体"/>
          <w:color w:val="000000"/>
          <w:kern w:val="0"/>
        </w:rPr>
        <w:t>4.</w:t>
      </w:r>
      <w:r>
        <w:t xml:space="preserve">1 </w:t>
      </w:r>
      <w:r>
        <w:rPr>
          <w:rFonts w:hint="eastAsia"/>
        </w:rPr>
        <w:t>有意向的供应商可从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时起至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时止（北京时间，下同），登陆电子商务平台进行报名。</w:t>
      </w:r>
    </w:p>
    <w:p>
      <w:pPr>
        <w:ind w:firstLine="480"/>
      </w:pPr>
      <w:r>
        <w:rPr>
          <w:rFonts w:hint="eastAsia"/>
        </w:rPr>
        <w:t>4.2</w:t>
      </w:r>
      <w:r>
        <w:t xml:space="preserve"> </w:t>
      </w:r>
      <w:r>
        <w:rPr>
          <w:rFonts w:hint="eastAsia"/>
        </w:rPr>
        <w:t>采购文件下载：通过电子商务平台下载采购文件，采购文件费：</w:t>
      </w:r>
      <w:r>
        <w:rPr>
          <w:rFonts w:hint="eastAsia"/>
          <w:u w:val="single"/>
        </w:rPr>
        <w:t xml:space="preserve">       </w:t>
      </w:r>
      <w:r>
        <w:rPr>
          <w:rFonts w:hint="eastAsia"/>
        </w:rPr>
        <w:t>元。</w:t>
      </w:r>
    </w:p>
    <w:p>
      <w:pPr>
        <w:pStyle w:val="3"/>
        <w:spacing w:before="120"/>
      </w:pPr>
      <w:bookmarkStart w:id="39" w:name="_Toc527708226"/>
      <w:bookmarkStart w:id="40" w:name="_Toc1032356"/>
      <w:bookmarkStart w:id="41" w:name="_Toc504312946"/>
      <w:r>
        <w:rPr>
          <w:rFonts w:hint="eastAsia"/>
        </w:rPr>
        <w:t>5</w:t>
      </w:r>
      <w:r>
        <w:t>. 响应文件的递交</w:t>
      </w:r>
      <w:bookmarkEnd w:id="39"/>
      <w:bookmarkEnd w:id="40"/>
      <w:bookmarkEnd w:id="41"/>
    </w:p>
    <w:p>
      <w:pPr>
        <w:ind w:firstLine="480"/>
      </w:pPr>
      <w:r>
        <w:rPr>
          <w:rFonts w:hint="eastAsia"/>
        </w:rPr>
        <w:t>5.1</w:t>
      </w:r>
      <w:r>
        <w:t xml:space="preserve"> </w:t>
      </w:r>
      <w:r>
        <w:rPr>
          <w:rFonts w:hint="eastAsia"/>
        </w:rPr>
        <w:t>供应商应按采购文件规定的递交截止时间前登陆电子商务平台，完成响应文件的传输递交, 递交截止时间前未完成响应文件递交的视为放弃询价资格。</w:t>
      </w:r>
    </w:p>
    <w:p>
      <w:pPr>
        <w:ind w:firstLine="480"/>
      </w:pPr>
      <w:r>
        <w:rPr>
          <w:rFonts w:hint="eastAsia"/>
        </w:rPr>
        <w:t>5.2</w:t>
      </w:r>
      <w:r>
        <w:t xml:space="preserve"> </w:t>
      </w:r>
      <w:r>
        <w:rPr>
          <w:rFonts w:hint="eastAsia"/>
        </w:rPr>
        <w:t>递交时间截止后，在电子商务平台开启响应文件。</w:t>
      </w:r>
    </w:p>
    <w:p>
      <w:pPr>
        <w:ind w:firstLine="480"/>
      </w:pPr>
      <w:r>
        <w:rPr>
          <w:rFonts w:hint="eastAsia"/>
        </w:rPr>
        <w:t>5.3</w:t>
      </w:r>
      <w:r>
        <w:t xml:space="preserve"> </w:t>
      </w:r>
      <w:r>
        <w:rPr>
          <w:rFonts w:hint="eastAsia"/>
        </w:rPr>
        <w:t>响应文件的递交截止时间：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r>
        <w:rPr>
          <w:rFonts w:hint="eastAsia"/>
          <w:u w:val="single"/>
        </w:rPr>
        <w:t xml:space="preserve">    </w:t>
      </w:r>
      <w:r>
        <w:rPr>
          <w:rFonts w:hint="eastAsia"/>
        </w:rPr>
        <w:t>分；</w:t>
      </w:r>
      <w:r>
        <w:rPr>
          <w:rFonts w:hint="eastAsia"/>
          <w:bCs/>
        </w:rPr>
        <w:t>响应文件解密开始时间：同</w:t>
      </w:r>
      <w:r>
        <w:rPr>
          <w:rFonts w:hint="eastAsia"/>
        </w:rPr>
        <w:t>递交截止时间。</w:t>
      </w:r>
    </w:p>
    <w:p>
      <w:pPr>
        <w:pStyle w:val="3"/>
        <w:spacing w:before="120"/>
      </w:pPr>
      <w:bookmarkStart w:id="42" w:name="_Toc527708227"/>
      <w:bookmarkStart w:id="43" w:name="_Toc1032357"/>
      <w:bookmarkStart w:id="44" w:name="_Toc504312947"/>
      <w:r>
        <w:rPr>
          <w:rFonts w:hint="eastAsia"/>
        </w:rPr>
        <w:t>6. 发布公告的媒介</w:t>
      </w:r>
      <w:bookmarkEnd w:id="42"/>
      <w:bookmarkEnd w:id="43"/>
      <w:bookmarkEnd w:id="44"/>
    </w:p>
    <w:p>
      <w:pPr>
        <w:ind w:firstLine="480"/>
      </w:pPr>
      <w:r>
        <w:rPr>
          <w:rFonts w:hint="eastAsia"/>
        </w:rPr>
        <w:t>本次采购公告在电子商务平台（http://ec.chng.com.cn/）发布。因轻信其他组织、个人或媒介提供的信息而造成的损失，采购人、采购代理机构概不负责。</w:t>
      </w:r>
    </w:p>
    <w:p>
      <w:pPr>
        <w:pStyle w:val="3"/>
        <w:spacing w:before="120"/>
      </w:pPr>
      <w:bookmarkStart w:id="45" w:name="_Toc1032358"/>
      <w:bookmarkStart w:id="46" w:name="_Toc527708228"/>
      <w:bookmarkStart w:id="47" w:name="_Toc504312948"/>
      <w:r>
        <w:rPr>
          <w:rFonts w:hint="eastAsia"/>
        </w:rPr>
        <w:t>7</w:t>
      </w:r>
      <w:r>
        <w:t>. 联系方式</w:t>
      </w:r>
      <w:bookmarkEnd w:id="45"/>
      <w:bookmarkEnd w:id="46"/>
      <w:bookmarkEnd w:id="47"/>
    </w:p>
    <w:tbl>
      <w:tblPr>
        <w:tblStyle w:val="44"/>
        <w:tblW w:w="8364" w:type="dxa"/>
        <w:jc w:val="center"/>
        <w:shd w:val="clear" w:color="auto" w:fill="FFFFFF"/>
        <w:tblLayout w:type="fixed"/>
        <w:tblCellMar>
          <w:top w:w="0" w:type="dxa"/>
          <w:left w:w="108" w:type="dxa"/>
          <w:bottom w:w="0" w:type="dxa"/>
          <w:right w:w="108" w:type="dxa"/>
        </w:tblCellMar>
      </w:tblPr>
      <w:tblGrid>
        <w:gridCol w:w="1334"/>
        <w:gridCol w:w="2919"/>
        <w:gridCol w:w="1418"/>
        <w:gridCol w:w="2693"/>
      </w:tblGrid>
      <w:tr>
        <w:tblPrEx>
          <w:tblCellMar>
            <w:top w:w="0" w:type="dxa"/>
            <w:left w:w="108" w:type="dxa"/>
            <w:bottom w:w="0" w:type="dxa"/>
            <w:right w:w="108" w:type="dxa"/>
          </w:tblCellMar>
        </w:tblPrEx>
        <w:trPr>
          <w:trHeight w:val="680" w:hRule="exact"/>
          <w:jc w:val="center"/>
        </w:trPr>
        <w:tc>
          <w:tcPr>
            <w:tcW w:w="1334" w:type="dxa"/>
            <w:shd w:val="clear" w:color="auto" w:fill="FFFFFF"/>
            <w:noWrap w:val="0"/>
            <w:vAlign w:val="center"/>
          </w:tcPr>
          <w:p>
            <w:pPr>
              <w:pStyle w:val="94"/>
              <w:rPr>
                <w:sz w:val="24"/>
                <w:szCs w:val="24"/>
              </w:rPr>
            </w:pPr>
            <w:bookmarkStart w:id="48" w:name="_Toc144974481"/>
            <w:bookmarkEnd w:id="48"/>
            <w:bookmarkStart w:id="49" w:name="_Toc352691456"/>
            <w:bookmarkEnd w:id="49"/>
            <w:bookmarkStart w:id="50" w:name="_Toc247527536"/>
            <w:bookmarkEnd w:id="50"/>
            <w:bookmarkStart w:id="51" w:name="_Toc361508563"/>
            <w:bookmarkEnd w:id="51"/>
            <w:bookmarkStart w:id="52" w:name="_Toc247513935"/>
            <w:bookmarkEnd w:id="52"/>
            <w:bookmarkStart w:id="53" w:name="_Toc300834930"/>
            <w:bookmarkEnd w:id="53"/>
            <w:bookmarkStart w:id="54" w:name="_Toc152042289"/>
            <w:bookmarkEnd w:id="54"/>
            <w:bookmarkStart w:id="55" w:name="_Toc17972"/>
            <w:bookmarkEnd w:id="55"/>
            <w:bookmarkStart w:id="56" w:name="_Toc152045513"/>
            <w:bookmarkEnd w:id="56"/>
            <w:bookmarkStart w:id="57" w:name="_Toc384308188"/>
            <w:bookmarkEnd w:id="57"/>
            <w:bookmarkStart w:id="58" w:name="_Toc369531498"/>
            <w:bookmarkEnd w:id="58"/>
            <w:r>
              <w:rPr>
                <w:rFonts w:hint="eastAsia"/>
                <w:sz w:val="24"/>
                <w:szCs w:val="24"/>
              </w:rPr>
              <w:t>采 购 人：</w:t>
            </w:r>
          </w:p>
        </w:tc>
        <w:tc>
          <w:tcPr>
            <w:tcW w:w="2919" w:type="dxa"/>
            <w:shd w:val="clear" w:color="auto" w:fill="FFFFFF"/>
            <w:noWrap w:val="0"/>
            <w:vAlign w:val="center"/>
          </w:tcPr>
          <w:p>
            <w:pPr>
              <w:pStyle w:val="94"/>
              <w:rPr>
                <w:rFonts w:hint="eastAsia"/>
                <w:sz w:val="24"/>
                <w:szCs w:val="24"/>
                <w:u w:val="single"/>
              </w:rPr>
            </w:pPr>
            <w:r>
              <w:rPr>
                <w:rFonts w:hint="eastAsia"/>
                <w:u w:val="single"/>
              </w:rPr>
              <w:t xml:space="preserve"> 西安热工研究院有限公司     </w:t>
            </w:r>
          </w:p>
        </w:tc>
        <w:tc>
          <w:tcPr>
            <w:tcW w:w="1418" w:type="dxa"/>
            <w:shd w:val="clear" w:color="auto" w:fill="FFFFFF"/>
            <w:noWrap w:val="0"/>
            <w:vAlign w:val="center"/>
          </w:tcPr>
          <w:p>
            <w:pPr>
              <w:pStyle w:val="94"/>
              <w:rPr>
                <w:sz w:val="24"/>
                <w:szCs w:val="24"/>
              </w:rPr>
            </w:pPr>
            <w:r>
              <w:rPr>
                <w:rFonts w:hint="eastAsia"/>
                <w:sz w:val="24"/>
                <w:szCs w:val="24"/>
              </w:rPr>
              <w:t>采购代理：</w:t>
            </w:r>
          </w:p>
        </w:tc>
        <w:tc>
          <w:tcPr>
            <w:tcW w:w="2693" w:type="dxa"/>
            <w:shd w:val="clear" w:color="auto" w:fill="FFFFFF"/>
            <w:noWrap w:val="0"/>
            <w:vAlign w:val="center"/>
          </w:tcPr>
          <w:p>
            <w:pPr>
              <w:spacing w:line="240" w:lineRule="auto"/>
              <w:ind w:firstLine="0" w:firstLineChars="0"/>
              <w:jc w:val="left"/>
              <w:rPr>
                <w:rFonts w:ascii="宋体" w:hAnsi="宋体"/>
                <w:szCs w:val="22"/>
                <w:u w:val="single"/>
              </w:rPr>
            </w:pPr>
            <w:r>
              <w:rPr>
                <w:rFonts w:hint="eastAsia" w:ascii="宋体" w:hAnsi="宋体"/>
                <w:szCs w:val="22"/>
                <w:u w:val="single"/>
              </w:rPr>
              <w:t xml:space="preserve"> 西安热工研究院有限公司     </w:t>
            </w:r>
          </w:p>
        </w:tc>
      </w:tr>
      <w:tr>
        <w:tblPrEx>
          <w:tblCellMar>
            <w:top w:w="0" w:type="dxa"/>
            <w:left w:w="108" w:type="dxa"/>
            <w:bottom w:w="0" w:type="dxa"/>
            <w:right w:w="108" w:type="dxa"/>
          </w:tblCellMar>
        </w:tblPrEx>
        <w:trPr>
          <w:trHeight w:val="680" w:hRule="exact"/>
          <w:jc w:val="center"/>
        </w:trPr>
        <w:tc>
          <w:tcPr>
            <w:tcW w:w="1334" w:type="dxa"/>
            <w:shd w:val="clear" w:color="auto" w:fill="FFFFFF"/>
            <w:noWrap w:val="0"/>
            <w:vAlign w:val="center"/>
          </w:tcPr>
          <w:p>
            <w:pPr>
              <w:pStyle w:val="94"/>
              <w:rPr>
                <w:sz w:val="24"/>
                <w:szCs w:val="24"/>
              </w:rPr>
            </w:pPr>
            <w:r>
              <w:rPr>
                <w:rFonts w:hint="eastAsia"/>
                <w:sz w:val="24"/>
                <w:szCs w:val="24"/>
              </w:rPr>
              <w:t xml:space="preserve">地 </w:t>
            </w:r>
            <w:r>
              <w:rPr>
                <w:sz w:val="24"/>
                <w:szCs w:val="24"/>
              </w:rPr>
              <w:t xml:space="preserve">   </w:t>
            </w:r>
            <w:r>
              <w:rPr>
                <w:rFonts w:hint="eastAsia"/>
                <w:sz w:val="24"/>
                <w:szCs w:val="24"/>
              </w:rPr>
              <w:t>址：</w:t>
            </w:r>
          </w:p>
        </w:tc>
        <w:tc>
          <w:tcPr>
            <w:tcW w:w="2919" w:type="dxa"/>
            <w:shd w:val="clear" w:color="auto" w:fill="FFFFFF"/>
            <w:noWrap w:val="0"/>
            <w:vAlign w:val="center"/>
          </w:tcPr>
          <w:p>
            <w:pPr>
              <w:pStyle w:val="94"/>
              <w:rPr>
                <w:rFonts w:hint="eastAsia"/>
                <w:sz w:val="24"/>
                <w:szCs w:val="24"/>
                <w:u w:val="single"/>
              </w:rPr>
            </w:pPr>
            <w:r>
              <w:rPr>
                <w:rFonts w:hint="eastAsia"/>
                <w:u w:val="single"/>
              </w:rPr>
              <w:t>陕西省</w:t>
            </w:r>
            <w:r>
              <w:rPr>
                <w:u w:val="single"/>
              </w:rPr>
              <w:t>西安市</w:t>
            </w:r>
            <w:r>
              <w:rPr>
                <w:rFonts w:hint="eastAsia"/>
                <w:u w:val="single"/>
              </w:rPr>
              <w:t>雁翔路99号博源广场A座</w:t>
            </w:r>
          </w:p>
        </w:tc>
        <w:tc>
          <w:tcPr>
            <w:tcW w:w="1418" w:type="dxa"/>
            <w:shd w:val="clear" w:color="auto" w:fill="FFFFFF"/>
            <w:noWrap w:val="0"/>
            <w:vAlign w:val="center"/>
          </w:tcPr>
          <w:p>
            <w:pPr>
              <w:pStyle w:val="94"/>
              <w:rPr>
                <w:sz w:val="24"/>
                <w:szCs w:val="24"/>
              </w:rPr>
            </w:pPr>
            <w:r>
              <w:rPr>
                <w:rFonts w:hint="eastAsia"/>
                <w:sz w:val="24"/>
                <w:szCs w:val="24"/>
              </w:rPr>
              <w:t xml:space="preserve">地 </w:t>
            </w:r>
            <w:r>
              <w:rPr>
                <w:sz w:val="24"/>
                <w:szCs w:val="24"/>
              </w:rPr>
              <w:t xml:space="preserve">   </w:t>
            </w:r>
            <w:r>
              <w:rPr>
                <w:rFonts w:hint="eastAsia"/>
                <w:sz w:val="24"/>
                <w:szCs w:val="24"/>
              </w:rPr>
              <w:t>址：</w:t>
            </w:r>
          </w:p>
        </w:tc>
        <w:tc>
          <w:tcPr>
            <w:tcW w:w="2693" w:type="dxa"/>
            <w:shd w:val="clear" w:color="auto" w:fill="FFFFFF"/>
            <w:noWrap w:val="0"/>
            <w:vAlign w:val="center"/>
          </w:tcPr>
          <w:p>
            <w:pPr>
              <w:spacing w:line="240" w:lineRule="auto"/>
              <w:ind w:firstLine="0" w:firstLineChars="0"/>
              <w:jc w:val="left"/>
              <w:rPr>
                <w:rFonts w:ascii="宋体" w:hAnsi="宋体"/>
                <w:szCs w:val="22"/>
                <w:u w:val="single"/>
              </w:rPr>
            </w:pPr>
            <w:r>
              <w:rPr>
                <w:rFonts w:hint="eastAsia" w:ascii="宋体" w:hAnsi="宋体"/>
                <w:szCs w:val="22"/>
                <w:u w:val="single"/>
              </w:rPr>
              <w:t>陕西省</w:t>
            </w:r>
            <w:r>
              <w:rPr>
                <w:rFonts w:ascii="宋体" w:hAnsi="宋体"/>
                <w:szCs w:val="22"/>
                <w:u w:val="single"/>
              </w:rPr>
              <w:t>西安市</w:t>
            </w:r>
            <w:r>
              <w:rPr>
                <w:rFonts w:hint="eastAsia" w:ascii="宋体" w:hAnsi="宋体"/>
                <w:szCs w:val="22"/>
                <w:u w:val="single"/>
              </w:rPr>
              <w:t>雁翔路99号博源广场A座</w:t>
            </w:r>
          </w:p>
        </w:tc>
      </w:tr>
      <w:tr>
        <w:tblPrEx>
          <w:shd w:val="clear" w:color="auto" w:fill="FFFFFF"/>
          <w:tblCellMar>
            <w:top w:w="0" w:type="dxa"/>
            <w:left w:w="108" w:type="dxa"/>
            <w:bottom w:w="0" w:type="dxa"/>
            <w:right w:w="108" w:type="dxa"/>
          </w:tblCellMar>
        </w:tblPrEx>
        <w:trPr>
          <w:trHeight w:val="567" w:hRule="exact"/>
          <w:jc w:val="center"/>
        </w:trPr>
        <w:tc>
          <w:tcPr>
            <w:tcW w:w="1334" w:type="dxa"/>
            <w:shd w:val="clear" w:color="auto" w:fill="FFFFFF"/>
            <w:noWrap w:val="0"/>
            <w:vAlign w:val="center"/>
          </w:tcPr>
          <w:p>
            <w:pPr>
              <w:pStyle w:val="94"/>
              <w:rPr>
                <w:sz w:val="24"/>
                <w:szCs w:val="24"/>
              </w:rPr>
            </w:pPr>
            <w:r>
              <w:rPr>
                <w:rFonts w:hint="eastAsia"/>
                <w:sz w:val="24"/>
                <w:szCs w:val="24"/>
              </w:rPr>
              <w:t xml:space="preserve">邮 </w:t>
            </w:r>
            <w:r>
              <w:rPr>
                <w:sz w:val="24"/>
                <w:szCs w:val="24"/>
              </w:rPr>
              <w:t xml:space="preserve">   </w:t>
            </w:r>
            <w:r>
              <w:rPr>
                <w:rFonts w:hint="eastAsia"/>
                <w:sz w:val="24"/>
                <w:szCs w:val="24"/>
              </w:rPr>
              <w:t>编：</w:t>
            </w:r>
          </w:p>
        </w:tc>
        <w:tc>
          <w:tcPr>
            <w:tcW w:w="2919" w:type="dxa"/>
            <w:shd w:val="clear" w:color="auto" w:fill="FFFFFF"/>
            <w:noWrap w:val="0"/>
            <w:vAlign w:val="center"/>
          </w:tcPr>
          <w:p>
            <w:pPr>
              <w:pStyle w:val="94"/>
              <w:rPr>
                <w:rFonts w:hint="eastAsia"/>
                <w:sz w:val="24"/>
                <w:szCs w:val="24"/>
                <w:u w:val="single"/>
              </w:rPr>
            </w:pPr>
            <w:r>
              <w:rPr>
                <w:rFonts w:hint="eastAsia"/>
                <w:u w:val="single"/>
              </w:rPr>
              <w:t xml:space="preserve">   710054              </w:t>
            </w:r>
          </w:p>
        </w:tc>
        <w:tc>
          <w:tcPr>
            <w:tcW w:w="1418" w:type="dxa"/>
            <w:shd w:val="clear" w:color="auto" w:fill="FFFFFF"/>
            <w:noWrap w:val="0"/>
            <w:vAlign w:val="center"/>
          </w:tcPr>
          <w:p>
            <w:pPr>
              <w:pStyle w:val="94"/>
              <w:rPr>
                <w:sz w:val="24"/>
                <w:szCs w:val="24"/>
              </w:rPr>
            </w:pPr>
            <w:r>
              <w:rPr>
                <w:rFonts w:hint="eastAsia"/>
                <w:sz w:val="24"/>
                <w:szCs w:val="24"/>
              </w:rPr>
              <w:t xml:space="preserve">邮 </w:t>
            </w:r>
            <w:r>
              <w:rPr>
                <w:sz w:val="24"/>
                <w:szCs w:val="24"/>
              </w:rPr>
              <w:t xml:space="preserve">   </w:t>
            </w:r>
            <w:r>
              <w:rPr>
                <w:rFonts w:hint="eastAsia"/>
                <w:sz w:val="24"/>
                <w:szCs w:val="24"/>
              </w:rPr>
              <w:t>编：</w:t>
            </w:r>
          </w:p>
        </w:tc>
        <w:tc>
          <w:tcPr>
            <w:tcW w:w="2693" w:type="dxa"/>
            <w:shd w:val="clear" w:color="auto" w:fill="FFFFFF"/>
            <w:noWrap w:val="0"/>
            <w:vAlign w:val="center"/>
          </w:tcPr>
          <w:p>
            <w:pPr>
              <w:spacing w:line="240" w:lineRule="auto"/>
              <w:ind w:firstLine="0" w:firstLineChars="0"/>
              <w:jc w:val="left"/>
              <w:rPr>
                <w:rFonts w:ascii="宋体" w:hAnsi="宋体"/>
                <w:szCs w:val="22"/>
                <w:u w:val="single"/>
              </w:rPr>
            </w:pPr>
            <w:r>
              <w:rPr>
                <w:rFonts w:hint="eastAsia" w:ascii="宋体" w:hAnsi="宋体"/>
                <w:szCs w:val="22"/>
                <w:u w:val="single"/>
              </w:rPr>
              <w:t xml:space="preserve">   710054              </w:t>
            </w:r>
          </w:p>
        </w:tc>
      </w:tr>
      <w:tr>
        <w:tblPrEx>
          <w:tblCellMar>
            <w:top w:w="0" w:type="dxa"/>
            <w:left w:w="108" w:type="dxa"/>
            <w:bottom w:w="0" w:type="dxa"/>
            <w:right w:w="108" w:type="dxa"/>
          </w:tblCellMar>
        </w:tblPrEx>
        <w:trPr>
          <w:trHeight w:val="567" w:hRule="exact"/>
          <w:jc w:val="center"/>
        </w:trPr>
        <w:tc>
          <w:tcPr>
            <w:tcW w:w="1334" w:type="dxa"/>
            <w:shd w:val="clear" w:color="auto" w:fill="FFFFFF"/>
            <w:noWrap w:val="0"/>
            <w:vAlign w:val="center"/>
          </w:tcPr>
          <w:p>
            <w:pPr>
              <w:pStyle w:val="94"/>
              <w:rPr>
                <w:sz w:val="24"/>
                <w:szCs w:val="24"/>
              </w:rPr>
            </w:pPr>
            <w:r>
              <w:rPr>
                <w:rFonts w:hint="eastAsia"/>
                <w:sz w:val="24"/>
                <w:szCs w:val="24"/>
              </w:rPr>
              <w:t xml:space="preserve">电 </w:t>
            </w:r>
            <w:r>
              <w:rPr>
                <w:sz w:val="24"/>
                <w:szCs w:val="24"/>
              </w:rPr>
              <w:t xml:space="preserve">   </w:t>
            </w:r>
            <w:r>
              <w:rPr>
                <w:rFonts w:hint="eastAsia"/>
                <w:sz w:val="24"/>
                <w:szCs w:val="24"/>
              </w:rPr>
              <w:t>话：</w:t>
            </w:r>
          </w:p>
        </w:tc>
        <w:tc>
          <w:tcPr>
            <w:tcW w:w="2919" w:type="dxa"/>
            <w:shd w:val="clear" w:color="auto" w:fill="FFFFFF"/>
            <w:noWrap w:val="0"/>
            <w:vAlign w:val="center"/>
          </w:tcPr>
          <w:p>
            <w:pPr>
              <w:pStyle w:val="94"/>
              <w:rPr>
                <w:rFonts w:hint="eastAsia"/>
                <w:sz w:val="24"/>
                <w:szCs w:val="24"/>
                <w:u w:val="single"/>
              </w:rPr>
            </w:pPr>
            <w:r>
              <w:rPr>
                <w:rFonts w:hint="eastAsia"/>
                <w:szCs w:val="24"/>
                <w:highlight w:val="yellow"/>
                <w:u w:val="single"/>
              </w:rPr>
              <w:t xml:space="preserve"> 029-82001395         </w:t>
            </w:r>
          </w:p>
        </w:tc>
        <w:tc>
          <w:tcPr>
            <w:tcW w:w="1418" w:type="dxa"/>
            <w:shd w:val="clear" w:color="auto" w:fill="FFFFFF"/>
            <w:noWrap w:val="0"/>
            <w:vAlign w:val="center"/>
          </w:tcPr>
          <w:p>
            <w:pPr>
              <w:pStyle w:val="94"/>
              <w:rPr>
                <w:sz w:val="24"/>
                <w:szCs w:val="24"/>
                <w:highlight w:val="yellow"/>
              </w:rPr>
            </w:pPr>
            <w:r>
              <w:rPr>
                <w:rFonts w:hint="eastAsia"/>
                <w:sz w:val="24"/>
                <w:szCs w:val="24"/>
                <w:highlight w:val="yellow"/>
              </w:rPr>
              <w:t xml:space="preserve">电 </w:t>
            </w:r>
            <w:r>
              <w:rPr>
                <w:sz w:val="24"/>
                <w:szCs w:val="24"/>
                <w:highlight w:val="yellow"/>
              </w:rPr>
              <w:t xml:space="preserve">   </w:t>
            </w:r>
            <w:r>
              <w:rPr>
                <w:rFonts w:hint="eastAsia"/>
                <w:sz w:val="24"/>
                <w:szCs w:val="24"/>
                <w:highlight w:val="yellow"/>
              </w:rPr>
              <w:t>话：</w:t>
            </w:r>
          </w:p>
        </w:tc>
        <w:tc>
          <w:tcPr>
            <w:tcW w:w="2693" w:type="dxa"/>
            <w:shd w:val="clear" w:color="auto" w:fill="FFFFFF"/>
            <w:noWrap w:val="0"/>
            <w:vAlign w:val="center"/>
          </w:tcPr>
          <w:p>
            <w:pPr>
              <w:pStyle w:val="94"/>
              <w:rPr>
                <w:rFonts w:hint="eastAsia"/>
                <w:szCs w:val="24"/>
                <w:highlight w:val="yellow"/>
                <w:u w:val="single"/>
              </w:rPr>
            </w:pPr>
            <w:r>
              <w:rPr>
                <w:rFonts w:hint="eastAsia"/>
                <w:szCs w:val="24"/>
                <w:highlight w:val="yellow"/>
                <w:u w:val="single"/>
              </w:rPr>
              <w:t xml:space="preserve"> 029-82001</w:t>
            </w:r>
            <w:r>
              <w:rPr>
                <w:rFonts w:hint="eastAsia"/>
                <w:szCs w:val="24"/>
                <w:highlight w:val="yellow"/>
                <w:u w:val="single"/>
                <w:lang w:val="en-US" w:eastAsia="zh-CN"/>
              </w:rPr>
              <w:t>262</w:t>
            </w:r>
            <w:r>
              <w:rPr>
                <w:rFonts w:hint="eastAsia"/>
                <w:szCs w:val="24"/>
                <w:highlight w:val="yellow"/>
                <w:u w:val="single"/>
              </w:rPr>
              <w:t xml:space="preserve">         </w:t>
            </w:r>
          </w:p>
        </w:tc>
      </w:tr>
      <w:tr>
        <w:tblPrEx>
          <w:tblCellMar>
            <w:top w:w="0" w:type="dxa"/>
            <w:left w:w="108" w:type="dxa"/>
            <w:bottom w:w="0" w:type="dxa"/>
            <w:right w:w="108" w:type="dxa"/>
          </w:tblCellMar>
        </w:tblPrEx>
        <w:trPr>
          <w:trHeight w:val="567" w:hRule="exact"/>
          <w:jc w:val="center"/>
        </w:trPr>
        <w:tc>
          <w:tcPr>
            <w:tcW w:w="1334" w:type="dxa"/>
            <w:shd w:val="clear" w:color="auto" w:fill="FFFFFF"/>
            <w:noWrap w:val="0"/>
            <w:vAlign w:val="center"/>
          </w:tcPr>
          <w:p>
            <w:pPr>
              <w:pStyle w:val="94"/>
              <w:rPr>
                <w:sz w:val="24"/>
                <w:szCs w:val="24"/>
              </w:rPr>
            </w:pPr>
            <w:r>
              <w:rPr>
                <w:rFonts w:hint="eastAsia"/>
                <w:sz w:val="24"/>
                <w:szCs w:val="24"/>
              </w:rPr>
              <w:t>电子邮箱：</w:t>
            </w:r>
          </w:p>
        </w:tc>
        <w:tc>
          <w:tcPr>
            <w:tcW w:w="2919" w:type="dxa"/>
            <w:shd w:val="clear" w:color="auto" w:fill="FFFFFF"/>
            <w:noWrap w:val="0"/>
            <w:vAlign w:val="center"/>
          </w:tcPr>
          <w:p>
            <w:pPr>
              <w:pStyle w:val="94"/>
              <w:rPr>
                <w:rFonts w:hint="eastAsia"/>
                <w:sz w:val="24"/>
                <w:szCs w:val="24"/>
                <w:u w:val="single"/>
              </w:rPr>
            </w:pPr>
            <w:r>
              <w:rPr>
                <w:rFonts w:hint="eastAsia"/>
                <w:szCs w:val="24"/>
                <w:highlight w:val="yellow"/>
                <w:u w:val="single"/>
              </w:rPr>
              <w:t xml:space="preserve"> xietian@tpri.com     </w:t>
            </w:r>
          </w:p>
        </w:tc>
        <w:tc>
          <w:tcPr>
            <w:tcW w:w="1418" w:type="dxa"/>
            <w:shd w:val="clear" w:color="auto" w:fill="FFFFFF"/>
            <w:noWrap w:val="0"/>
            <w:vAlign w:val="center"/>
          </w:tcPr>
          <w:p>
            <w:pPr>
              <w:pStyle w:val="94"/>
              <w:rPr>
                <w:sz w:val="24"/>
                <w:szCs w:val="24"/>
                <w:highlight w:val="yellow"/>
              </w:rPr>
            </w:pPr>
            <w:r>
              <w:rPr>
                <w:rFonts w:hint="eastAsia"/>
                <w:sz w:val="24"/>
                <w:szCs w:val="24"/>
                <w:highlight w:val="yellow"/>
              </w:rPr>
              <w:t>电子邮箱：</w:t>
            </w:r>
          </w:p>
        </w:tc>
        <w:tc>
          <w:tcPr>
            <w:tcW w:w="2693" w:type="dxa"/>
            <w:shd w:val="clear" w:color="auto" w:fill="FFFFFF"/>
            <w:noWrap w:val="0"/>
            <w:vAlign w:val="center"/>
          </w:tcPr>
          <w:p>
            <w:pPr>
              <w:pStyle w:val="94"/>
              <w:rPr>
                <w:rFonts w:hint="eastAsia"/>
                <w:szCs w:val="24"/>
                <w:highlight w:val="yellow"/>
                <w:u w:val="single"/>
              </w:rPr>
            </w:pPr>
            <w:r>
              <w:rPr>
                <w:rFonts w:hint="eastAsia"/>
                <w:szCs w:val="24"/>
                <w:highlight w:val="yellow"/>
                <w:u w:val="single"/>
              </w:rPr>
              <w:t xml:space="preserve"> </w:t>
            </w:r>
            <w:r>
              <w:rPr>
                <w:rFonts w:hint="eastAsia"/>
                <w:szCs w:val="24"/>
                <w:highlight w:val="yellow"/>
                <w:u w:val="single"/>
                <w:lang w:val="en-US" w:eastAsia="zh-CN"/>
              </w:rPr>
              <w:t>sunjiayue</w:t>
            </w:r>
            <w:r>
              <w:rPr>
                <w:rFonts w:hint="eastAsia"/>
                <w:szCs w:val="24"/>
                <w:highlight w:val="yellow"/>
                <w:u w:val="single"/>
              </w:rPr>
              <w:t xml:space="preserve">@tpri.com     </w:t>
            </w:r>
          </w:p>
        </w:tc>
      </w:tr>
      <w:tr>
        <w:tblPrEx>
          <w:tblCellMar>
            <w:top w:w="0" w:type="dxa"/>
            <w:left w:w="108" w:type="dxa"/>
            <w:bottom w:w="0" w:type="dxa"/>
            <w:right w:w="108" w:type="dxa"/>
          </w:tblCellMar>
        </w:tblPrEx>
        <w:trPr>
          <w:trHeight w:val="567" w:hRule="exact"/>
          <w:jc w:val="center"/>
        </w:trPr>
        <w:tc>
          <w:tcPr>
            <w:tcW w:w="1334" w:type="dxa"/>
            <w:shd w:val="clear" w:color="auto" w:fill="FFFFFF"/>
            <w:noWrap w:val="0"/>
            <w:vAlign w:val="center"/>
          </w:tcPr>
          <w:p>
            <w:pPr>
              <w:pStyle w:val="94"/>
              <w:rPr>
                <w:sz w:val="24"/>
                <w:szCs w:val="24"/>
              </w:rPr>
            </w:pPr>
            <w:r>
              <w:rPr>
                <w:rFonts w:hint="eastAsia"/>
                <w:sz w:val="24"/>
                <w:szCs w:val="24"/>
              </w:rPr>
              <w:t>联 系 人：</w:t>
            </w:r>
          </w:p>
        </w:tc>
        <w:tc>
          <w:tcPr>
            <w:tcW w:w="2919" w:type="dxa"/>
            <w:shd w:val="clear" w:color="auto" w:fill="FFFFFF"/>
            <w:noWrap w:val="0"/>
            <w:vAlign w:val="center"/>
          </w:tcPr>
          <w:p>
            <w:pPr>
              <w:pStyle w:val="94"/>
              <w:rPr>
                <w:rFonts w:hint="eastAsia"/>
                <w:sz w:val="24"/>
                <w:szCs w:val="24"/>
                <w:u w:val="single"/>
              </w:rPr>
            </w:pPr>
            <w:r>
              <w:rPr>
                <w:rFonts w:hint="eastAsia"/>
                <w:szCs w:val="24"/>
                <w:u w:val="single"/>
              </w:rPr>
              <w:t xml:space="preserve">  谢天               </w:t>
            </w:r>
          </w:p>
        </w:tc>
        <w:tc>
          <w:tcPr>
            <w:tcW w:w="1418" w:type="dxa"/>
            <w:shd w:val="clear" w:color="auto" w:fill="FFFFFF"/>
            <w:noWrap w:val="0"/>
            <w:vAlign w:val="center"/>
          </w:tcPr>
          <w:p>
            <w:pPr>
              <w:pStyle w:val="94"/>
              <w:rPr>
                <w:sz w:val="24"/>
                <w:szCs w:val="24"/>
                <w:highlight w:val="yellow"/>
              </w:rPr>
            </w:pPr>
            <w:r>
              <w:rPr>
                <w:rFonts w:hint="eastAsia"/>
                <w:sz w:val="24"/>
                <w:szCs w:val="24"/>
                <w:highlight w:val="yellow"/>
              </w:rPr>
              <w:t>联 系 人：</w:t>
            </w:r>
          </w:p>
        </w:tc>
        <w:tc>
          <w:tcPr>
            <w:tcW w:w="2693" w:type="dxa"/>
            <w:shd w:val="clear" w:color="auto" w:fill="FFFFFF"/>
            <w:noWrap w:val="0"/>
            <w:vAlign w:val="center"/>
          </w:tcPr>
          <w:p>
            <w:pPr>
              <w:pStyle w:val="94"/>
              <w:rPr>
                <w:rFonts w:hint="eastAsia"/>
                <w:szCs w:val="24"/>
                <w:highlight w:val="yellow"/>
                <w:u w:val="single"/>
              </w:rPr>
            </w:pPr>
            <w:r>
              <w:rPr>
                <w:rFonts w:hint="eastAsia"/>
                <w:szCs w:val="24"/>
                <w:highlight w:val="yellow"/>
                <w:u w:val="single"/>
              </w:rPr>
              <w:t xml:space="preserve"> </w:t>
            </w:r>
            <w:r>
              <w:rPr>
                <w:rFonts w:hint="eastAsia"/>
                <w:szCs w:val="24"/>
                <w:highlight w:val="yellow"/>
                <w:u w:val="single"/>
                <w:lang w:val="en-US" w:eastAsia="zh-CN"/>
              </w:rPr>
              <w:t>孙嘉悦</w:t>
            </w:r>
            <w:r>
              <w:rPr>
                <w:rFonts w:hint="eastAsia"/>
                <w:szCs w:val="24"/>
                <w:highlight w:val="yellow"/>
                <w:u w:val="single"/>
              </w:rPr>
              <w:t xml:space="preserve">               </w:t>
            </w:r>
          </w:p>
        </w:tc>
      </w:tr>
    </w:tbl>
    <w:p>
      <w:pPr>
        <w:spacing w:line="360" w:lineRule="auto"/>
        <w:ind w:firstLine="480"/>
        <w:rPr>
          <w:color w:val="000000"/>
          <w:szCs w:val="24"/>
        </w:rPr>
      </w:pPr>
    </w:p>
    <w:p>
      <w:pPr>
        <w:spacing w:line="400" w:lineRule="exact"/>
        <w:ind w:firstLine="480"/>
      </w:pPr>
      <w:r>
        <w:rPr>
          <w:color w:val="000000"/>
          <w:szCs w:val="24"/>
        </w:rPr>
        <w:t>　　　　　　　　　　　　　　　　　　　　　　　</w:t>
      </w:r>
      <w:r>
        <w:rPr>
          <w:rFonts w:hint="eastAsia"/>
          <w:color w:val="000000"/>
          <w:szCs w:val="24"/>
          <w:u w:val="single"/>
        </w:rPr>
        <w:t xml:space="preserve"> </w:t>
      </w:r>
      <w:r>
        <w:rPr>
          <w:rFonts w:hint="eastAsia"/>
          <w:color w:val="000000"/>
          <w:szCs w:val="24"/>
          <w:u w:val="single"/>
          <w:lang w:val="en-US" w:eastAsia="zh-CN"/>
        </w:rPr>
        <w:t>2021</w:t>
      </w:r>
      <w:r>
        <w:rPr>
          <w:rFonts w:hint="eastAsia"/>
          <w:color w:val="000000"/>
          <w:szCs w:val="24"/>
          <w:u w:val="single"/>
        </w:rPr>
        <w:t xml:space="preserve"> </w:t>
      </w:r>
      <w:r>
        <w:rPr>
          <w:color w:val="000000"/>
          <w:szCs w:val="24"/>
        </w:rPr>
        <w:t>年</w:t>
      </w:r>
      <w:r>
        <w:rPr>
          <w:rFonts w:hint="eastAsia"/>
          <w:color w:val="000000"/>
          <w:szCs w:val="24"/>
          <w:u w:val="single"/>
        </w:rPr>
        <w:t xml:space="preserve"> </w:t>
      </w:r>
      <w:r>
        <w:rPr>
          <w:rFonts w:hint="eastAsia"/>
          <w:color w:val="000000"/>
          <w:szCs w:val="24"/>
          <w:u w:val="single"/>
          <w:lang w:val="en-US" w:eastAsia="zh-CN"/>
        </w:rPr>
        <w:t>2</w:t>
      </w:r>
      <w:r>
        <w:rPr>
          <w:rFonts w:hint="eastAsia"/>
          <w:color w:val="000000"/>
          <w:szCs w:val="24"/>
          <w:u w:val="single"/>
        </w:rPr>
        <w:t xml:space="preserve"> </w:t>
      </w:r>
      <w:r>
        <w:rPr>
          <w:color w:val="000000"/>
          <w:szCs w:val="24"/>
        </w:rPr>
        <w:t>月</w:t>
      </w:r>
      <w:r>
        <w:rPr>
          <w:rFonts w:hint="eastAsia"/>
          <w:color w:val="000000"/>
          <w:szCs w:val="24"/>
          <w:u w:val="single"/>
        </w:rPr>
        <w:t xml:space="preserve">   </w:t>
      </w:r>
      <w:r>
        <w:rPr>
          <w:color w:val="000000"/>
          <w:szCs w:val="24"/>
        </w:rPr>
        <w:t>日</w:t>
      </w:r>
    </w:p>
    <w:bookmarkEnd w:id="25"/>
    <w:bookmarkEnd w:id="26"/>
    <w:p>
      <w:pPr>
        <w:pStyle w:val="3"/>
        <w:spacing w:before="120"/>
      </w:pPr>
      <w:r>
        <w:rPr>
          <w:rFonts w:hint="eastAsia"/>
        </w:rPr>
        <w:t>8</w:t>
      </w:r>
      <w:r>
        <w:t xml:space="preserve">. </w:t>
      </w:r>
      <w:r>
        <w:rPr>
          <w:rFonts w:hint="eastAsia"/>
        </w:rPr>
        <w:t>采购监督</w:t>
      </w:r>
    </w:p>
    <w:p>
      <w:pPr>
        <w:ind w:firstLine="480"/>
        <w:rPr>
          <w:rFonts w:hint="eastAsia"/>
        </w:rPr>
      </w:pPr>
      <w:r>
        <w:rPr>
          <w:rFonts w:hint="eastAsia"/>
        </w:rPr>
        <w:t>参与报价的供应商和其他利害关系人认为本次采购活动违反法律、法规和规章规定的，有权向采购人监督部门反映、举报，采购人监督部门联系方式如下：</w:t>
      </w:r>
    </w:p>
    <w:p>
      <w:pPr>
        <w:ind w:firstLine="480"/>
        <w:rPr>
          <w:rFonts w:hint="eastAsia"/>
        </w:rPr>
      </w:pPr>
      <w:r>
        <w:rPr>
          <w:rFonts w:hint="eastAsia"/>
        </w:rPr>
        <w:t>监督部门：西安热工研究院有限公司采购管理部</w:t>
      </w:r>
    </w:p>
    <w:p>
      <w:pPr>
        <w:ind w:firstLine="480"/>
        <w:rPr>
          <w:rFonts w:hint="eastAsia"/>
        </w:rPr>
      </w:pPr>
      <w:r>
        <w:rPr>
          <w:rFonts w:hint="eastAsia"/>
        </w:rPr>
        <w:t>地址：陕西省西安市雁翔路99号博源广场A座</w:t>
      </w:r>
    </w:p>
    <w:p>
      <w:pPr>
        <w:ind w:firstLine="480"/>
        <w:rPr>
          <w:rFonts w:hint="eastAsia"/>
        </w:rPr>
      </w:pPr>
      <w:r>
        <w:rPr>
          <w:rFonts w:hint="eastAsia"/>
        </w:rPr>
        <w:t>电话：029-82001153</w:t>
      </w:r>
    </w:p>
    <w:p>
      <w:pPr>
        <w:spacing w:line="360" w:lineRule="auto"/>
        <w:ind w:firstLine="480"/>
        <w:rPr>
          <w:rFonts w:ascii="Arial" w:hAnsi="宋体" w:cs="Arial"/>
          <w:sz w:val="36"/>
          <w:szCs w:val="36"/>
        </w:rPr>
      </w:pPr>
      <w:r>
        <w:rPr>
          <w:rFonts w:ascii="宋体" w:cs="宋体"/>
          <w:b/>
          <w:bCs/>
          <w:kern w:val="0"/>
          <w:szCs w:val="24"/>
        </w:rPr>
        <w:br w:type="page"/>
      </w:r>
    </w:p>
    <w:p>
      <w:pPr>
        <w:pStyle w:val="87"/>
        <w:ind w:firstLine="720"/>
        <w:jc w:val="center"/>
        <w:rPr>
          <w:rFonts w:ascii="Arial" w:hAnsi="宋体" w:cs="Arial"/>
          <w:sz w:val="36"/>
          <w:szCs w:val="36"/>
        </w:rPr>
      </w:pPr>
    </w:p>
    <w:p>
      <w:pPr>
        <w:pStyle w:val="87"/>
        <w:ind w:firstLine="720"/>
        <w:jc w:val="center"/>
        <w:rPr>
          <w:rFonts w:ascii="Arial" w:hAnsi="宋体" w:cs="Arial"/>
          <w:sz w:val="36"/>
          <w:szCs w:val="36"/>
        </w:rPr>
      </w:pPr>
    </w:p>
    <w:p>
      <w:pPr>
        <w:pStyle w:val="87"/>
        <w:ind w:firstLine="720"/>
        <w:jc w:val="center"/>
        <w:rPr>
          <w:rFonts w:ascii="Arial" w:hAnsi="宋体" w:cs="Arial"/>
          <w:sz w:val="36"/>
          <w:szCs w:val="36"/>
        </w:rPr>
      </w:pPr>
    </w:p>
    <w:p>
      <w:pPr>
        <w:pStyle w:val="87"/>
        <w:ind w:firstLine="720"/>
        <w:jc w:val="center"/>
        <w:rPr>
          <w:rFonts w:ascii="Arial" w:hAnsi="宋体" w:cs="Arial"/>
          <w:sz w:val="36"/>
          <w:szCs w:val="36"/>
        </w:rPr>
      </w:pPr>
    </w:p>
    <w:p>
      <w:pPr>
        <w:pStyle w:val="87"/>
        <w:ind w:firstLine="720"/>
        <w:jc w:val="center"/>
        <w:rPr>
          <w:rFonts w:ascii="Arial" w:hAnsi="宋体" w:cs="Arial"/>
          <w:sz w:val="36"/>
          <w:szCs w:val="36"/>
        </w:rPr>
      </w:pPr>
    </w:p>
    <w:p>
      <w:pPr>
        <w:pStyle w:val="87"/>
        <w:ind w:firstLine="720"/>
        <w:jc w:val="center"/>
        <w:rPr>
          <w:rFonts w:ascii="Arial" w:hAnsi="宋体" w:cs="Arial"/>
          <w:sz w:val="36"/>
          <w:szCs w:val="36"/>
        </w:rPr>
      </w:pPr>
    </w:p>
    <w:p>
      <w:pPr>
        <w:pStyle w:val="41"/>
        <w:spacing w:before="120"/>
        <w:rPr>
          <w:b/>
          <w:bCs/>
        </w:rPr>
      </w:pPr>
      <w:bookmarkStart w:id="59" w:name="_Toc1032359"/>
      <w:r>
        <w:rPr>
          <w:rFonts w:hint="eastAsia"/>
          <w:b/>
          <w:bCs/>
        </w:rPr>
        <w:t>第二章</w:t>
      </w:r>
      <w:r>
        <w:rPr>
          <w:b/>
          <w:bCs/>
        </w:rPr>
        <w:t xml:space="preserve"> </w:t>
      </w:r>
      <w:r>
        <w:rPr>
          <w:rFonts w:hint="eastAsia"/>
          <w:b/>
          <w:bCs/>
        </w:rPr>
        <w:t>供应商须知</w:t>
      </w:r>
      <w:bookmarkEnd w:id="17"/>
      <w:bookmarkEnd w:id="18"/>
      <w:bookmarkEnd w:id="19"/>
      <w:r>
        <w:rPr>
          <w:rFonts w:hint="eastAsia"/>
          <w:b/>
          <w:bCs/>
        </w:rPr>
        <w:t>及前附表</w:t>
      </w:r>
      <w:bookmarkEnd w:id="59"/>
    </w:p>
    <w:p>
      <w:pPr>
        <w:ind w:firstLine="480"/>
      </w:pPr>
    </w:p>
    <w:p>
      <w:pPr>
        <w:ind w:firstLine="480"/>
      </w:pPr>
    </w:p>
    <w:p>
      <w:pPr>
        <w:pStyle w:val="3"/>
        <w:spacing w:before="120"/>
        <w:jc w:val="center"/>
      </w:pPr>
      <w:r>
        <w:br w:type="page"/>
      </w:r>
      <w:bookmarkStart w:id="60" w:name="_Toc1032360"/>
      <w:r>
        <w:rPr>
          <w:rFonts w:hint="eastAsia"/>
        </w:rPr>
        <w:t>供应商须知前附表</w:t>
      </w:r>
      <w:bookmarkEnd w:id="60"/>
    </w:p>
    <w:tbl>
      <w:tblPr>
        <w:tblStyle w:val="44"/>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730"/>
        <w:gridCol w:w="1845"/>
        <w:gridCol w:w="6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条款号</w:t>
            </w:r>
          </w:p>
        </w:tc>
        <w:tc>
          <w:tcPr>
            <w:tcW w:w="1015" w:type="pct"/>
            <w:noWrap w:val="0"/>
            <w:vAlign w:val="center"/>
          </w:tcPr>
          <w:p>
            <w:pPr>
              <w:pStyle w:val="94"/>
              <w:jc w:val="center"/>
            </w:pPr>
            <w:r>
              <w:rPr>
                <w:rFonts w:hint="eastAsia"/>
              </w:rPr>
              <w:t>条款名称</w:t>
            </w:r>
          </w:p>
        </w:tc>
        <w:tc>
          <w:tcPr>
            <w:tcW w:w="3581" w:type="pct"/>
            <w:noWrap w:val="0"/>
            <w:vAlign w:val="center"/>
          </w:tcPr>
          <w:p>
            <w:pPr>
              <w:pStyle w:val="94"/>
              <w:jc w:val="center"/>
            </w:pPr>
            <w:r>
              <w:rPr>
                <w:rFonts w:hint="eastAsia"/>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2.1</w:t>
            </w:r>
          </w:p>
        </w:tc>
        <w:tc>
          <w:tcPr>
            <w:tcW w:w="1015" w:type="pct"/>
            <w:noWrap w:val="0"/>
            <w:vAlign w:val="center"/>
          </w:tcPr>
          <w:p>
            <w:pPr>
              <w:pStyle w:val="94"/>
              <w:rPr>
                <w:rFonts w:cs="Arial"/>
              </w:rPr>
            </w:pPr>
            <w:r>
              <w:rPr>
                <w:rFonts w:hint="eastAsia" w:cs="Arial"/>
              </w:rPr>
              <w:t>采购人及联系方式</w:t>
            </w:r>
          </w:p>
        </w:tc>
        <w:tc>
          <w:tcPr>
            <w:tcW w:w="3581" w:type="pct"/>
            <w:noWrap w:val="0"/>
            <w:vAlign w:val="center"/>
          </w:tcPr>
          <w:p>
            <w:pPr>
              <w:pStyle w:val="94"/>
              <w:rPr>
                <w:rFonts w:cs="Arial"/>
              </w:rPr>
            </w:pPr>
            <w:r>
              <w:rPr>
                <w:rFonts w:hint="eastAsia" w:cs="Arial"/>
              </w:rPr>
              <w:t>详见第一章采购公告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4.1</w:t>
            </w:r>
          </w:p>
        </w:tc>
        <w:tc>
          <w:tcPr>
            <w:tcW w:w="1015" w:type="pct"/>
            <w:noWrap w:val="0"/>
            <w:vAlign w:val="center"/>
          </w:tcPr>
          <w:p>
            <w:pPr>
              <w:pStyle w:val="94"/>
              <w:rPr>
                <w:rFonts w:cs="宋体"/>
                <w:color w:val="000000"/>
              </w:rPr>
            </w:pPr>
            <w:r>
              <w:rPr>
                <w:rFonts w:hint="eastAsia" w:cs="宋体"/>
                <w:color w:val="000000"/>
              </w:rPr>
              <w:t>踏勘现场</w:t>
            </w:r>
          </w:p>
        </w:tc>
        <w:tc>
          <w:tcPr>
            <w:tcW w:w="3581" w:type="pct"/>
            <w:noWrap w:val="0"/>
            <w:vAlign w:val="center"/>
          </w:tcPr>
          <w:p>
            <w:pPr>
              <w:pStyle w:val="94"/>
              <w:rPr>
                <w:rFonts w:cs="宋体"/>
                <w:color w:val="000000"/>
              </w:rPr>
            </w:pPr>
            <w:r>
              <w:rPr>
                <w:rFonts w:ascii="宋体" w:hAnsi="宋体"/>
                <w:sz w:val="24"/>
                <w:szCs w:val="24"/>
                <w:highlight w:val="yellow"/>
              </w:rPr>
              <w:fldChar w:fldCharType="begin"/>
            </w:r>
            <w:r>
              <w:rPr>
                <w:rFonts w:ascii="宋体" w:hAnsi="宋体"/>
                <w:sz w:val="24"/>
                <w:szCs w:val="24"/>
                <w:highlight w:val="yellow"/>
              </w:rPr>
              <w:instrText xml:space="preserve"> eq \o\ac(□,</w:instrText>
            </w:r>
            <w:r>
              <w:rPr>
                <w:rFonts w:ascii="宋体" w:hAnsi="宋体"/>
                <w:position w:val="1"/>
                <w:sz w:val="24"/>
                <w:szCs w:val="24"/>
                <w:highlight w:val="yellow"/>
              </w:rPr>
              <w:instrText xml:space="preserve">√</w:instrText>
            </w:r>
            <w:r>
              <w:rPr>
                <w:rFonts w:ascii="宋体" w:hAnsi="宋体"/>
                <w:sz w:val="24"/>
                <w:szCs w:val="24"/>
                <w:highlight w:val="yellow"/>
              </w:rPr>
              <w:instrText xml:space="preserve">)</w:instrText>
            </w:r>
            <w:r>
              <w:rPr>
                <w:rFonts w:ascii="宋体" w:hAnsi="宋体"/>
                <w:sz w:val="24"/>
                <w:szCs w:val="24"/>
                <w:highlight w:val="yellow"/>
              </w:rPr>
              <w:fldChar w:fldCharType="end"/>
            </w:r>
            <w:r>
              <w:rPr>
                <w:rFonts w:hint="eastAsia" w:cs="宋体"/>
                <w:color w:val="000000"/>
              </w:rPr>
              <w:t>不组织</w:t>
            </w:r>
          </w:p>
          <w:p>
            <w:pPr>
              <w:pStyle w:val="94"/>
              <w:rPr>
                <w:rFonts w:cs="宋体"/>
                <w:color w:val="000000"/>
              </w:rPr>
            </w:pPr>
            <w:r>
              <w:rPr>
                <w:rFonts w:hint="eastAsia" w:cs="宋体"/>
                <w:color w:val="000000"/>
              </w:rPr>
              <w:t>□组织，踏勘时间：</w:t>
            </w:r>
            <w:r>
              <w:rPr>
                <w:rFonts w:hint="eastAsia" w:cs="宋体"/>
                <w:color w:val="000000"/>
                <w:u w:val="single"/>
              </w:rPr>
              <w:t xml:space="preserve">            </w:t>
            </w:r>
          </w:p>
          <w:p>
            <w:pPr>
              <w:pStyle w:val="94"/>
              <w:rPr>
                <w:rFonts w:cs="宋体"/>
                <w:color w:val="000000"/>
              </w:rPr>
            </w:pPr>
            <w:r>
              <w:rPr>
                <w:rFonts w:hint="eastAsia" w:cs="宋体"/>
                <w:color w:val="000000"/>
              </w:rPr>
              <w:t>踏勘集中地点：</w:t>
            </w:r>
            <w:r>
              <w:rPr>
                <w:rFonts w:hint="eastAsia" w:cs="宋体"/>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6.1</w:t>
            </w:r>
          </w:p>
        </w:tc>
        <w:tc>
          <w:tcPr>
            <w:tcW w:w="1015" w:type="pct"/>
            <w:noWrap w:val="0"/>
            <w:vAlign w:val="center"/>
          </w:tcPr>
          <w:p>
            <w:pPr>
              <w:pStyle w:val="94"/>
            </w:pPr>
            <w:r>
              <w:rPr>
                <w:rFonts w:hint="eastAsia"/>
              </w:rPr>
              <w:t>采购文件的澄清、修改、补充</w:t>
            </w:r>
          </w:p>
        </w:tc>
        <w:tc>
          <w:tcPr>
            <w:tcW w:w="3581" w:type="pct"/>
            <w:noWrap w:val="0"/>
            <w:vAlign w:val="center"/>
          </w:tcPr>
          <w:p>
            <w:pPr>
              <w:pStyle w:val="94"/>
            </w:pPr>
            <w:r>
              <w:rPr>
                <w:rFonts w:hint="eastAsia" w:cs="Arial"/>
              </w:rPr>
              <w:t>供应商需在</w:t>
            </w:r>
            <w:r>
              <w:rPr>
                <w:rFonts w:hint="eastAsia" w:cs="宋体"/>
                <w:color w:val="000000"/>
                <w:u w:val="single"/>
              </w:rPr>
              <w:t>____</w:t>
            </w:r>
            <w:r>
              <w:rPr>
                <w:rFonts w:hint="eastAsia" w:cs="Arial"/>
              </w:rPr>
              <w:t>年</w:t>
            </w:r>
            <w:r>
              <w:rPr>
                <w:rFonts w:hint="eastAsia" w:cs="宋体"/>
                <w:color w:val="000000"/>
                <w:u w:val="single"/>
              </w:rPr>
              <w:t>____</w:t>
            </w:r>
            <w:r>
              <w:rPr>
                <w:rFonts w:hint="eastAsia" w:cs="Arial"/>
              </w:rPr>
              <w:t>月</w:t>
            </w:r>
            <w:r>
              <w:rPr>
                <w:rFonts w:hint="eastAsia" w:cs="宋体"/>
                <w:color w:val="000000"/>
                <w:u w:val="single"/>
              </w:rPr>
              <w:t>____</w:t>
            </w:r>
            <w:r>
              <w:rPr>
                <w:rFonts w:hint="eastAsia" w:cs="Arial"/>
              </w:rPr>
              <w:t>日前发出澄清问题，采购人将在收到澄清后24小时内回复。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9.6</w:t>
            </w:r>
          </w:p>
        </w:tc>
        <w:tc>
          <w:tcPr>
            <w:tcW w:w="1015" w:type="pct"/>
            <w:noWrap w:val="0"/>
            <w:vAlign w:val="center"/>
          </w:tcPr>
          <w:p>
            <w:pPr>
              <w:pStyle w:val="94"/>
            </w:pPr>
            <w:r>
              <w:rPr>
                <w:rFonts w:hint="eastAsia"/>
              </w:rPr>
              <w:t>最高限价</w:t>
            </w:r>
          </w:p>
        </w:tc>
        <w:tc>
          <w:tcPr>
            <w:tcW w:w="3581" w:type="pct"/>
            <w:noWrap w:val="0"/>
            <w:vAlign w:val="center"/>
          </w:tcPr>
          <w:p>
            <w:pPr>
              <w:pStyle w:val="94"/>
            </w:pPr>
            <w:r>
              <w:rPr>
                <w:rFonts w:ascii="宋体" w:hAnsi="宋体"/>
                <w:sz w:val="24"/>
                <w:szCs w:val="24"/>
              </w:rPr>
              <w:fldChar w:fldCharType="begin"/>
            </w:r>
            <w:r>
              <w:rPr>
                <w:rFonts w:ascii="宋体" w:hAnsi="宋体"/>
                <w:sz w:val="24"/>
                <w:szCs w:val="24"/>
              </w:rPr>
              <w:instrText xml:space="preserve"> eq \o\ac(□,</w:instrText>
            </w:r>
            <w:r>
              <w:rPr>
                <w:rFonts w:ascii="宋体" w:hAnsi="宋体"/>
                <w:position w:val="1"/>
                <w:sz w:val="24"/>
                <w:szCs w:val="24"/>
              </w:rPr>
              <w:instrText xml:space="preserve">√</w:instrText>
            </w:r>
            <w:r>
              <w:rPr>
                <w:rFonts w:ascii="宋体" w:hAnsi="宋体"/>
                <w:sz w:val="24"/>
                <w:szCs w:val="24"/>
              </w:rPr>
              <w:instrText xml:space="preserve">)</w:instrText>
            </w:r>
            <w:r>
              <w:rPr>
                <w:rFonts w:ascii="宋体" w:hAnsi="宋体"/>
                <w:sz w:val="24"/>
                <w:szCs w:val="24"/>
              </w:rPr>
              <w:fldChar w:fldCharType="end"/>
            </w:r>
            <w:r>
              <w:t>无</w:t>
            </w:r>
          </w:p>
          <w:p>
            <w:pPr>
              <w:pStyle w:val="94"/>
            </w:pPr>
            <w:r>
              <w:rPr>
                <w:rFonts w:hint="eastAsia"/>
              </w:rPr>
              <w:t>□</w:t>
            </w:r>
            <w:r>
              <w:t>有，最高限价：</w:t>
            </w:r>
            <w:r>
              <w:rPr>
                <w:rFonts w:hint="eastAsia"/>
                <w:u w:val="single"/>
              </w:rPr>
              <w:t xml:space="preserve">            </w:t>
            </w:r>
            <w:r>
              <w:rPr>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9.7</w:t>
            </w:r>
          </w:p>
        </w:tc>
        <w:tc>
          <w:tcPr>
            <w:tcW w:w="1015" w:type="pct"/>
            <w:noWrap w:val="0"/>
            <w:vAlign w:val="center"/>
          </w:tcPr>
          <w:p>
            <w:pPr>
              <w:pStyle w:val="94"/>
            </w:pPr>
            <w:r>
              <w:rPr>
                <w:rFonts w:cs="宋体"/>
                <w:szCs w:val="24"/>
              </w:rPr>
              <w:t>采购代理服务费</w:t>
            </w:r>
          </w:p>
        </w:tc>
        <w:tc>
          <w:tcPr>
            <w:tcW w:w="3581" w:type="pct"/>
            <w:noWrap w:val="0"/>
            <w:vAlign w:val="center"/>
          </w:tcPr>
          <w:p>
            <w:pPr>
              <w:pStyle w:val="94"/>
            </w:pPr>
            <w:r>
              <w:rPr>
                <w:rFonts w:ascii="宋体" w:hAnsi="宋体"/>
                <w:sz w:val="24"/>
                <w:szCs w:val="24"/>
              </w:rPr>
              <w:fldChar w:fldCharType="begin"/>
            </w:r>
            <w:r>
              <w:rPr>
                <w:rFonts w:ascii="宋体" w:hAnsi="宋体"/>
                <w:sz w:val="24"/>
                <w:szCs w:val="24"/>
              </w:rPr>
              <w:instrText xml:space="preserve"> eq \o\ac(□,</w:instrText>
            </w:r>
            <w:r>
              <w:rPr>
                <w:rFonts w:ascii="宋体" w:hAnsi="宋体"/>
                <w:position w:val="1"/>
                <w:sz w:val="24"/>
                <w:szCs w:val="24"/>
              </w:rPr>
              <w:instrText xml:space="preserve">√</w:instrText>
            </w:r>
            <w:r>
              <w:rPr>
                <w:rFonts w:ascii="宋体" w:hAnsi="宋体"/>
                <w:sz w:val="24"/>
                <w:szCs w:val="24"/>
              </w:rPr>
              <w:instrText xml:space="preserve">)</w:instrText>
            </w:r>
            <w:r>
              <w:rPr>
                <w:rFonts w:ascii="宋体" w:hAnsi="宋体"/>
                <w:sz w:val="24"/>
                <w:szCs w:val="24"/>
              </w:rPr>
              <w:fldChar w:fldCharType="end"/>
            </w:r>
            <w:r>
              <w:t>无</w:t>
            </w:r>
            <w:r>
              <w:br w:type="textWrapping"/>
            </w:r>
            <w:r>
              <w:t xml:space="preserve">□有，服务费收取标准： </w:t>
            </w:r>
            <w:r>
              <w:rPr>
                <w:rFonts w:hint="eastAsia"/>
                <w:u w:val="single"/>
              </w:rPr>
              <w:t xml:space="preserve">      </w:t>
            </w:r>
            <w:r>
              <w:rPr>
                <w:u w:val="single"/>
              </w:rPr>
              <w:t xml:space="preserve">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10</w:t>
            </w:r>
          </w:p>
        </w:tc>
        <w:tc>
          <w:tcPr>
            <w:tcW w:w="1015" w:type="pct"/>
            <w:noWrap w:val="0"/>
            <w:vAlign w:val="center"/>
          </w:tcPr>
          <w:p>
            <w:pPr>
              <w:pStyle w:val="94"/>
            </w:pPr>
            <w:r>
              <w:rPr>
                <w:rFonts w:hint="eastAsia"/>
              </w:rPr>
              <w:t>报价货币</w:t>
            </w:r>
          </w:p>
        </w:tc>
        <w:tc>
          <w:tcPr>
            <w:tcW w:w="3581" w:type="pct"/>
            <w:noWrap w:val="0"/>
            <w:vAlign w:val="center"/>
          </w:tcPr>
          <w:p>
            <w:pPr>
              <w:pStyle w:val="94"/>
            </w:pPr>
            <w:r>
              <w:rPr>
                <w:rFonts w:ascii="宋体" w:hAnsi="宋体"/>
                <w:sz w:val="24"/>
                <w:szCs w:val="24"/>
              </w:rPr>
              <w:fldChar w:fldCharType="begin"/>
            </w:r>
            <w:r>
              <w:rPr>
                <w:rFonts w:ascii="宋体" w:hAnsi="宋体"/>
                <w:sz w:val="24"/>
                <w:szCs w:val="24"/>
              </w:rPr>
              <w:instrText xml:space="preserve"> eq \o\ac(□,</w:instrText>
            </w:r>
            <w:r>
              <w:rPr>
                <w:rFonts w:ascii="宋体" w:hAnsi="宋体"/>
                <w:position w:val="1"/>
                <w:sz w:val="24"/>
                <w:szCs w:val="24"/>
              </w:rPr>
              <w:instrText xml:space="preserve">√</w:instrText>
            </w:r>
            <w:r>
              <w:rPr>
                <w:rFonts w:ascii="宋体" w:hAnsi="宋体"/>
                <w:sz w:val="24"/>
                <w:szCs w:val="24"/>
              </w:rPr>
              <w:instrText xml:space="preserve">)</w:instrText>
            </w:r>
            <w:r>
              <w:rPr>
                <w:rFonts w:ascii="宋体" w:hAnsi="宋体"/>
                <w:sz w:val="24"/>
                <w:szCs w:val="24"/>
              </w:rPr>
              <w:fldChar w:fldCharType="end"/>
            </w:r>
            <w:r>
              <w:rPr>
                <w:rFonts w:hint="eastAsia"/>
              </w:rPr>
              <w:t>人民币</w:t>
            </w:r>
          </w:p>
          <w:p>
            <w:pPr>
              <w:pStyle w:val="94"/>
            </w:pPr>
            <w:r>
              <w:rPr>
                <w:rFonts w:hint="eastAsia"/>
              </w:rPr>
              <w:t>□其他：</w:t>
            </w:r>
            <w:r>
              <w:rPr>
                <w:rFonts w:hint="eastAsia" w:cs="宋体"/>
                <w:color w:val="000000"/>
                <w:u w:val="single"/>
              </w:rPr>
              <w:t xml:space="preserve">       </w:t>
            </w:r>
            <w:r>
              <w:rPr>
                <w:rFonts w:cs="宋体"/>
                <w:color w:val="000000"/>
                <w:u w:val="single"/>
              </w:rPr>
              <w:t xml:space="preserve">                 </w:t>
            </w:r>
            <w:r>
              <w:rPr>
                <w:rFonts w:hint="eastAsia" w:cs="宋体"/>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11.1</w:t>
            </w:r>
          </w:p>
        </w:tc>
        <w:tc>
          <w:tcPr>
            <w:tcW w:w="1015" w:type="pct"/>
            <w:noWrap w:val="0"/>
            <w:vAlign w:val="center"/>
          </w:tcPr>
          <w:p>
            <w:pPr>
              <w:pStyle w:val="94"/>
              <w:rPr>
                <w:rFonts w:cs="Arial"/>
              </w:rPr>
            </w:pPr>
            <w:r>
              <w:rPr>
                <w:rFonts w:hint="eastAsia" w:cs="Arial"/>
              </w:rPr>
              <w:t>响应保证金</w:t>
            </w:r>
          </w:p>
        </w:tc>
        <w:tc>
          <w:tcPr>
            <w:tcW w:w="3581" w:type="pct"/>
            <w:noWrap w:val="0"/>
            <w:vAlign w:val="center"/>
          </w:tcPr>
          <w:p>
            <w:pPr>
              <w:pStyle w:val="94"/>
            </w:pPr>
            <w:r>
              <w:rPr>
                <w:rFonts w:ascii="宋体" w:hAnsi="宋体"/>
                <w:sz w:val="24"/>
                <w:szCs w:val="24"/>
              </w:rPr>
              <w:fldChar w:fldCharType="begin"/>
            </w:r>
            <w:r>
              <w:rPr>
                <w:rFonts w:ascii="宋体" w:hAnsi="宋体"/>
                <w:sz w:val="24"/>
                <w:szCs w:val="24"/>
              </w:rPr>
              <w:instrText xml:space="preserve"> eq \o\ac(□,</w:instrText>
            </w:r>
            <w:r>
              <w:rPr>
                <w:rFonts w:ascii="宋体" w:hAnsi="宋体"/>
                <w:position w:val="1"/>
                <w:sz w:val="24"/>
                <w:szCs w:val="24"/>
              </w:rPr>
              <w:instrText xml:space="preserve">√</w:instrText>
            </w:r>
            <w:r>
              <w:rPr>
                <w:rFonts w:ascii="宋体" w:hAnsi="宋体"/>
                <w:sz w:val="24"/>
                <w:szCs w:val="24"/>
              </w:rPr>
              <w:instrText xml:space="preserve">)</w:instrText>
            </w:r>
            <w:r>
              <w:rPr>
                <w:rFonts w:ascii="宋体" w:hAnsi="宋体"/>
                <w:sz w:val="24"/>
                <w:szCs w:val="24"/>
              </w:rPr>
              <w:fldChar w:fldCharType="end"/>
            </w:r>
            <w:r>
              <w:rPr>
                <w:rFonts w:hint="eastAsia"/>
              </w:rPr>
              <w:t>无</w:t>
            </w:r>
          </w:p>
          <w:p>
            <w:pPr>
              <w:pStyle w:val="94"/>
            </w:pPr>
            <w:r>
              <w:rPr>
                <w:rFonts w:hint="eastAsia"/>
              </w:rPr>
              <w:t>□有</w:t>
            </w:r>
            <w:r>
              <w:rPr>
                <w:rFonts w:cs="宋体"/>
                <w:color w:val="000000"/>
              </w:rPr>
              <w:t>，</w:t>
            </w:r>
            <w:r>
              <w:rPr>
                <w:rFonts w:hint="eastAsia" w:cs="宋体"/>
                <w:color w:val="000000"/>
              </w:rPr>
              <w:t>按照以下</w:t>
            </w:r>
            <w:r>
              <w:rPr>
                <w:rFonts w:cs="宋体"/>
                <w:color w:val="000000"/>
              </w:rPr>
              <w:t>方式：</w:t>
            </w:r>
            <w:r>
              <w:rPr>
                <w:rFonts w:hint="eastAsia" w:cs="宋体"/>
                <w:color w:val="000000"/>
                <w:u w:val="single"/>
              </w:rPr>
              <w:t xml:space="preserve">      </w:t>
            </w:r>
            <w:r>
              <w:rPr>
                <w:rFonts w:cs="宋体"/>
                <w:color w:val="000000"/>
                <w:u w:val="single"/>
              </w:rPr>
              <w:t xml:space="preserve">       </w:t>
            </w:r>
            <w:r>
              <w:rPr>
                <w:rFonts w:hint="eastAsia" w:cs="宋体"/>
                <w:color w:val="000000"/>
                <w:u w:val="single"/>
              </w:rPr>
              <w:t xml:space="preserve">    </w:t>
            </w:r>
          </w:p>
          <w:p>
            <w:pPr>
              <w:pStyle w:val="94"/>
              <w:rPr>
                <w:rFonts w:cs="宋体"/>
                <w:color w:val="000000"/>
                <w:u w:val="single"/>
              </w:rPr>
            </w:pPr>
            <w:r>
              <w:rPr>
                <w:rFonts w:hint="eastAsia" w:cs="宋体"/>
                <w:color w:val="000000"/>
              </w:rPr>
              <w:t>响应保证金的金额：</w:t>
            </w:r>
            <w:r>
              <w:rPr>
                <w:rFonts w:hint="eastAsia" w:cs="宋体"/>
                <w:color w:val="000000"/>
                <w:u w:val="single"/>
              </w:rPr>
              <w:t xml:space="preserve">       </w:t>
            </w:r>
            <w:r>
              <w:rPr>
                <w:rFonts w:cs="宋体"/>
                <w:color w:val="000000"/>
                <w:u w:val="single"/>
              </w:rPr>
              <w:t xml:space="preserve">       </w:t>
            </w:r>
            <w:r>
              <w:rPr>
                <w:rFonts w:hint="eastAsia" w:cs="宋体"/>
                <w:color w:val="000000"/>
                <w:u w:val="single"/>
              </w:rPr>
              <w:t xml:space="preserve">     </w:t>
            </w:r>
          </w:p>
          <w:p>
            <w:pPr>
              <w:pStyle w:val="94"/>
              <w:rPr>
                <w:rFonts w:cs="宋体"/>
                <w:color w:val="000000"/>
                <w:u w:val="single"/>
              </w:rPr>
            </w:pPr>
            <w:r>
              <w:rPr>
                <w:rFonts w:hint="eastAsia" w:cs="宋体"/>
                <w:color w:val="000000"/>
              </w:rPr>
              <w:t>响应保证金的形式：</w:t>
            </w:r>
            <w:r>
              <w:rPr>
                <w:rFonts w:hint="eastAsia" w:cs="宋体"/>
                <w:color w:val="000000"/>
                <w:u w:val="single"/>
              </w:rPr>
              <w:t xml:space="preserve">       </w:t>
            </w:r>
            <w:r>
              <w:rPr>
                <w:rFonts w:cs="宋体"/>
                <w:color w:val="000000"/>
                <w:u w:val="single"/>
              </w:rPr>
              <w:t xml:space="preserve">       </w:t>
            </w:r>
            <w:r>
              <w:rPr>
                <w:rFonts w:hint="eastAsia" w:cs="宋体"/>
                <w:color w:val="000000"/>
                <w:u w:val="single"/>
              </w:rPr>
              <w:t xml:space="preserve">     </w:t>
            </w:r>
          </w:p>
          <w:p>
            <w:pPr>
              <w:pStyle w:val="94"/>
              <w:rPr>
                <w:rFonts w:cs="宋体"/>
                <w:color w:val="000000"/>
              </w:rPr>
            </w:pPr>
            <w:r>
              <w:rPr>
                <w:rFonts w:hint="eastAsia" w:cs="宋体"/>
                <w:color w:val="000000"/>
              </w:rPr>
              <w:t>响应保证金的递交截止时间为：</w:t>
            </w:r>
            <w:r>
              <w:rPr>
                <w:rFonts w:hint="eastAsia" w:cs="宋体"/>
                <w:color w:val="000000"/>
                <w:u w:val="single"/>
              </w:rPr>
              <w:t>__</w:t>
            </w:r>
            <w:r>
              <w:rPr>
                <w:rFonts w:cs="宋体"/>
                <w:color w:val="000000"/>
                <w:u w:val="single"/>
              </w:rPr>
              <w:t xml:space="preserve">  </w:t>
            </w:r>
            <w:r>
              <w:rPr>
                <w:rFonts w:hint="eastAsia" w:cs="宋体"/>
                <w:color w:val="000000"/>
                <w:u w:val="single"/>
              </w:rPr>
              <w:t>__</w:t>
            </w:r>
            <w:r>
              <w:rPr>
                <w:rFonts w:hint="eastAsia" w:cs="宋体"/>
                <w:color w:val="000000"/>
              </w:rPr>
              <w:t>年</w:t>
            </w:r>
            <w:r>
              <w:rPr>
                <w:rFonts w:hint="eastAsia" w:cs="宋体"/>
                <w:color w:val="000000"/>
                <w:u w:val="single"/>
              </w:rPr>
              <w:t xml:space="preserve">    </w:t>
            </w:r>
            <w:r>
              <w:rPr>
                <w:rFonts w:hint="eastAsia" w:cs="宋体"/>
                <w:color w:val="000000"/>
              </w:rPr>
              <w:t>月</w:t>
            </w:r>
            <w:r>
              <w:rPr>
                <w:rFonts w:hint="eastAsia" w:cs="宋体"/>
                <w:color w:val="000000"/>
                <w:u w:val="single"/>
              </w:rPr>
              <w:t xml:space="preserve">    </w:t>
            </w:r>
            <w:r>
              <w:rPr>
                <w:rFonts w:hint="eastAsia" w:cs="宋体"/>
                <w:color w:val="000000"/>
              </w:rPr>
              <w:t>日</w:t>
            </w:r>
            <w:r>
              <w:rPr>
                <w:rFonts w:hint="eastAsia" w:cs="宋体"/>
                <w:color w:val="000000"/>
                <w:u w:val="single"/>
              </w:rPr>
              <w:t xml:space="preserve">    </w:t>
            </w:r>
            <w:r>
              <w:rPr>
                <w:rFonts w:hint="eastAsia" w:cs="宋体"/>
                <w:color w:val="000000"/>
              </w:rPr>
              <w:t>时之前</w:t>
            </w:r>
          </w:p>
          <w:p>
            <w:pPr>
              <w:pStyle w:val="94"/>
              <w:rPr>
                <w:rFonts w:cs="宋体"/>
                <w:color w:val="000000"/>
              </w:rPr>
            </w:pPr>
            <w:r>
              <w:rPr>
                <w:rFonts w:hint="eastAsia" w:cs="宋体"/>
                <w:color w:val="000000"/>
              </w:rPr>
              <w:t>开户银行及账号如下：</w:t>
            </w:r>
          </w:p>
          <w:p>
            <w:pPr>
              <w:pStyle w:val="94"/>
              <w:rPr>
                <w:rFonts w:cs="宋体"/>
                <w:color w:val="000000"/>
                <w:u w:val="single"/>
              </w:rPr>
            </w:pPr>
            <w:r>
              <w:rPr>
                <w:rFonts w:hint="eastAsia" w:cs="宋体"/>
                <w:color w:val="000000"/>
              </w:rPr>
              <w:t>账户名称：</w:t>
            </w:r>
            <w:r>
              <w:rPr>
                <w:rFonts w:hint="eastAsia" w:cs="宋体"/>
                <w:color w:val="000000"/>
                <w:u w:val="single"/>
              </w:rPr>
              <w:t xml:space="preserve">                    </w:t>
            </w:r>
          </w:p>
          <w:p>
            <w:pPr>
              <w:pStyle w:val="94"/>
              <w:rPr>
                <w:rFonts w:cs="宋体"/>
                <w:color w:val="000000"/>
                <w:u w:val="single"/>
              </w:rPr>
            </w:pPr>
            <w:r>
              <w:rPr>
                <w:rFonts w:hint="eastAsia" w:cs="宋体"/>
                <w:color w:val="000000"/>
              </w:rPr>
              <w:t>开户银行：</w:t>
            </w:r>
            <w:r>
              <w:rPr>
                <w:rFonts w:hint="eastAsia" w:cs="宋体"/>
                <w:color w:val="000000"/>
                <w:u w:val="single"/>
              </w:rPr>
              <w:t xml:space="preserve">                    </w:t>
            </w:r>
          </w:p>
          <w:p>
            <w:pPr>
              <w:pStyle w:val="94"/>
            </w:pPr>
            <w:r>
              <w:rPr>
                <w:rFonts w:hint="eastAsia" w:cs="宋体"/>
                <w:color w:val="000000"/>
              </w:rPr>
              <w:t>账</w:t>
            </w:r>
            <w:r>
              <w:rPr>
                <w:rFonts w:cs="宋体"/>
                <w:color w:val="000000"/>
              </w:rPr>
              <w:t xml:space="preserve">  </w:t>
            </w:r>
            <w:r>
              <w:rPr>
                <w:rFonts w:hint="eastAsia" w:cs="宋体"/>
                <w:color w:val="000000"/>
              </w:rPr>
              <w:t xml:space="preserve">  号：</w:t>
            </w:r>
            <w:r>
              <w:rPr>
                <w:rFonts w:hint="eastAsia" w:cs="宋体"/>
                <w:color w:val="00000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12.1</w:t>
            </w:r>
          </w:p>
        </w:tc>
        <w:tc>
          <w:tcPr>
            <w:tcW w:w="1015" w:type="pct"/>
            <w:noWrap w:val="0"/>
            <w:vAlign w:val="center"/>
          </w:tcPr>
          <w:p>
            <w:pPr>
              <w:pStyle w:val="94"/>
            </w:pPr>
            <w:r>
              <w:rPr>
                <w:rFonts w:hint="eastAsia"/>
              </w:rPr>
              <w:t>采购有效期</w:t>
            </w:r>
          </w:p>
        </w:tc>
        <w:tc>
          <w:tcPr>
            <w:tcW w:w="3581" w:type="pct"/>
            <w:noWrap w:val="0"/>
            <w:vAlign w:val="center"/>
          </w:tcPr>
          <w:p>
            <w:pPr>
              <w:pStyle w:val="94"/>
            </w:pPr>
            <w:r>
              <w:rPr>
                <w:rFonts w:hint="eastAsia"/>
              </w:rPr>
              <w:t>自响应文件递交截止时间起</w:t>
            </w:r>
            <w:r>
              <w:rPr>
                <w:rFonts w:hint="eastAsia"/>
                <w:u w:val="single"/>
              </w:rPr>
              <w:t xml:space="preserve">  120 </w:t>
            </w:r>
            <w:r>
              <w:rPr>
                <w:rFonts w:hint="eastAsia"/>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13</w:t>
            </w:r>
          </w:p>
        </w:tc>
        <w:tc>
          <w:tcPr>
            <w:tcW w:w="1015" w:type="pct"/>
            <w:noWrap w:val="0"/>
            <w:vAlign w:val="center"/>
          </w:tcPr>
          <w:p>
            <w:pPr>
              <w:pStyle w:val="94"/>
            </w:pPr>
            <w:r>
              <w:rPr>
                <w:rFonts w:hint="eastAsia"/>
              </w:rPr>
              <w:t>响应文件递交截止时间及地点</w:t>
            </w:r>
          </w:p>
        </w:tc>
        <w:tc>
          <w:tcPr>
            <w:tcW w:w="3581" w:type="pct"/>
            <w:noWrap w:val="0"/>
            <w:vAlign w:val="center"/>
          </w:tcPr>
          <w:p>
            <w:pPr>
              <w:pStyle w:val="94"/>
              <w:rPr>
                <w:rFonts w:hint="eastAsia"/>
                <w:highlight w:val="yellow"/>
              </w:rPr>
            </w:pPr>
            <w:r>
              <w:rPr>
                <w:rFonts w:hint="eastAsia"/>
                <w:highlight w:val="yellow"/>
              </w:rPr>
              <w:t>响应文件递交截止时间：</w:t>
            </w:r>
          </w:p>
          <w:p>
            <w:pPr>
              <w:pStyle w:val="94"/>
              <w:rPr>
                <w:rFonts w:hint="eastAsia"/>
                <w:highlight w:val="yellow"/>
              </w:rPr>
            </w:pPr>
            <w:r>
              <w:rPr>
                <w:rFonts w:ascii="Wingdings 2" w:hAnsi="Wingdings 2" w:cs="宋体"/>
                <w:color w:val="000000"/>
                <w:highlight w:val="yellow"/>
              </w:rPr>
              <w:sym w:font="Wingdings 2" w:char="F052"/>
            </w:r>
            <w:r>
              <w:rPr>
                <w:rFonts w:hint="eastAsia" w:cs="宋体"/>
                <w:color w:val="000000"/>
                <w:highlight w:val="yellow"/>
              </w:rPr>
              <w:t>以中国华能集团电子商务平台时间为准</w:t>
            </w:r>
          </w:p>
          <w:p>
            <w:pPr>
              <w:pStyle w:val="94"/>
              <w:rPr>
                <w:highlight w:val="yellow"/>
              </w:rPr>
            </w:pPr>
            <w:r>
              <w:rPr>
                <w:rFonts w:hint="eastAsia" w:cs="宋体"/>
                <w:color w:val="000000"/>
              </w:rPr>
              <w:t>□</w:t>
            </w:r>
            <w:r>
              <w:rPr>
                <w:rFonts w:hint="eastAsia"/>
                <w:highlight w:val="yellow"/>
                <w:u w:val="single"/>
              </w:rPr>
              <w:t>____</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r>
              <w:rPr>
                <w:rFonts w:hint="eastAsia"/>
                <w:highlight w:val="yellow"/>
                <w:u w:val="single"/>
              </w:rPr>
              <w:t xml:space="preserve">    </w:t>
            </w:r>
            <w:r>
              <w:rPr>
                <w:rFonts w:hint="eastAsia"/>
                <w:highlight w:val="yellow"/>
              </w:rPr>
              <w:t>时</w:t>
            </w:r>
            <w:r>
              <w:rPr>
                <w:rFonts w:hint="eastAsia"/>
                <w:highlight w:val="yellow"/>
                <w:u w:val="single"/>
              </w:rPr>
              <w:t xml:space="preserve">   </w:t>
            </w:r>
            <w:r>
              <w:rPr>
                <w:rFonts w:hint="eastAsia"/>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16.1</w:t>
            </w:r>
          </w:p>
        </w:tc>
        <w:tc>
          <w:tcPr>
            <w:tcW w:w="1015" w:type="pct"/>
            <w:noWrap w:val="0"/>
            <w:vAlign w:val="center"/>
          </w:tcPr>
          <w:p>
            <w:pPr>
              <w:pStyle w:val="94"/>
            </w:pPr>
            <w:r>
              <w:rPr>
                <w:rFonts w:hint="eastAsia"/>
              </w:rPr>
              <w:t>开启响应文件的开始时间及地点</w:t>
            </w:r>
          </w:p>
        </w:tc>
        <w:tc>
          <w:tcPr>
            <w:tcW w:w="3581" w:type="pct"/>
            <w:noWrap w:val="0"/>
            <w:vAlign w:val="center"/>
          </w:tcPr>
          <w:p>
            <w:pPr>
              <w:pStyle w:val="94"/>
              <w:rPr>
                <w:rFonts w:hint="eastAsia"/>
                <w:highlight w:val="yellow"/>
              </w:rPr>
            </w:pPr>
            <w:r>
              <w:rPr>
                <w:rFonts w:hint="eastAsia"/>
                <w:highlight w:val="yellow"/>
              </w:rPr>
              <w:t>开启响应文件开始时间：</w:t>
            </w:r>
          </w:p>
          <w:p>
            <w:pPr>
              <w:pStyle w:val="94"/>
              <w:rPr>
                <w:rFonts w:hint="eastAsia"/>
                <w:highlight w:val="yellow"/>
              </w:rPr>
            </w:pPr>
            <w:r>
              <w:rPr>
                <w:rFonts w:ascii="Wingdings 2" w:hAnsi="Wingdings 2" w:cs="宋体"/>
                <w:color w:val="000000"/>
                <w:highlight w:val="yellow"/>
              </w:rPr>
              <w:sym w:font="Wingdings 2" w:char="F052"/>
            </w:r>
            <w:r>
              <w:rPr>
                <w:rFonts w:hint="eastAsia" w:cs="宋体"/>
                <w:color w:val="000000"/>
                <w:highlight w:val="yellow"/>
              </w:rPr>
              <w:t>以中国华能集团电子商务平台时间为准</w:t>
            </w:r>
          </w:p>
          <w:p>
            <w:pPr>
              <w:pStyle w:val="94"/>
              <w:rPr>
                <w:highlight w:val="yellow"/>
              </w:rPr>
            </w:pPr>
            <w:r>
              <w:rPr>
                <w:rFonts w:hint="eastAsia" w:cs="宋体"/>
                <w:color w:val="000000"/>
              </w:rPr>
              <w:t>□</w:t>
            </w:r>
            <w:r>
              <w:rPr>
                <w:rFonts w:hint="eastAsia"/>
                <w:highlight w:val="yellow"/>
                <w:u w:val="single"/>
              </w:rPr>
              <w:t>____</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r>
              <w:rPr>
                <w:rFonts w:hint="eastAsia"/>
                <w:highlight w:val="yellow"/>
                <w:u w:val="single"/>
              </w:rPr>
              <w:t xml:space="preserve">    </w:t>
            </w:r>
            <w:r>
              <w:rPr>
                <w:rFonts w:hint="eastAsia"/>
                <w:highlight w:val="yellow"/>
              </w:rPr>
              <w:t>时</w:t>
            </w:r>
            <w:r>
              <w:rPr>
                <w:rFonts w:hint="eastAsia"/>
                <w:highlight w:val="yellow"/>
                <w:u w:val="single"/>
              </w:rPr>
              <w:t xml:space="preserve">   </w:t>
            </w:r>
            <w:r>
              <w:rPr>
                <w:rFonts w:hint="eastAsia"/>
                <w:highlight w:val="yello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16.2</w:t>
            </w:r>
          </w:p>
        </w:tc>
        <w:tc>
          <w:tcPr>
            <w:tcW w:w="1015" w:type="pct"/>
            <w:noWrap w:val="0"/>
            <w:vAlign w:val="center"/>
          </w:tcPr>
          <w:p>
            <w:pPr>
              <w:pStyle w:val="94"/>
              <w:rPr>
                <w:rFonts w:hint="eastAsia"/>
              </w:rPr>
            </w:pPr>
            <w:r>
              <w:rPr>
                <w:rFonts w:hint="eastAsia"/>
              </w:rPr>
              <w:t>谈判时间及地点（如有）</w:t>
            </w:r>
          </w:p>
        </w:tc>
        <w:tc>
          <w:tcPr>
            <w:tcW w:w="3581" w:type="pct"/>
            <w:noWrap w:val="0"/>
            <w:vAlign w:val="center"/>
          </w:tcPr>
          <w:p>
            <w:pPr>
              <w:pStyle w:val="94"/>
              <w:rPr>
                <w:rFonts w:hint="eastAsia" w:ascii="宋体" w:hAnsi="宋体"/>
              </w:rPr>
            </w:pPr>
            <w:r>
              <w:rPr>
                <w:rFonts w:hint="eastAsia" w:ascii="宋体" w:hAnsi="宋体"/>
              </w:rPr>
              <w:t>谈判开始时间：</w:t>
            </w:r>
          </w:p>
          <w:p>
            <w:pPr>
              <w:pStyle w:val="94"/>
              <w:rPr>
                <w:rFonts w:hint="eastAsia"/>
                <w:highlight w:val="yellow"/>
              </w:rPr>
            </w:pPr>
            <w:r>
              <w:rPr>
                <w:rFonts w:ascii="Wingdings 2" w:hAnsi="Wingdings 2" w:cs="宋体"/>
                <w:color w:val="000000"/>
                <w:highlight w:val="yellow"/>
              </w:rPr>
              <w:sym w:font="Wingdings 2" w:char="F052"/>
            </w:r>
            <w:r>
              <w:rPr>
                <w:rFonts w:hint="eastAsia" w:cs="宋体"/>
                <w:color w:val="000000"/>
                <w:highlight w:val="yellow"/>
              </w:rPr>
              <w:t>以中国华能集团电子商务平台时间为准</w:t>
            </w:r>
          </w:p>
          <w:p>
            <w:pPr>
              <w:pStyle w:val="94"/>
              <w:rPr>
                <w:rFonts w:hint="eastAsia" w:ascii="宋体" w:hAnsi="宋体"/>
              </w:rPr>
            </w:pPr>
            <w:r>
              <w:rPr>
                <w:rFonts w:hint="eastAsia" w:cs="宋体"/>
                <w:color w:val="000000"/>
              </w:rPr>
              <w:t>□</w:t>
            </w:r>
            <w:r>
              <w:rPr>
                <w:rFonts w:hint="eastAsia"/>
                <w:highlight w:val="yellow"/>
                <w:u w:val="single"/>
              </w:rPr>
              <w:t>____</w:t>
            </w:r>
            <w:r>
              <w:rPr>
                <w:rFonts w:hint="eastAsia"/>
                <w:highlight w:val="yellow"/>
              </w:rPr>
              <w:t>年</w:t>
            </w:r>
            <w:r>
              <w:rPr>
                <w:rFonts w:hint="eastAsia"/>
                <w:highlight w:val="yellow"/>
                <w:u w:val="single"/>
              </w:rPr>
              <w:t xml:space="preserve">    </w:t>
            </w:r>
            <w:r>
              <w:rPr>
                <w:rFonts w:hint="eastAsia"/>
                <w:highlight w:val="yellow"/>
              </w:rPr>
              <w:t>月</w:t>
            </w:r>
            <w:r>
              <w:rPr>
                <w:rFonts w:hint="eastAsia"/>
                <w:highlight w:val="yellow"/>
                <w:u w:val="single"/>
              </w:rPr>
              <w:t xml:space="preserve">    </w:t>
            </w:r>
            <w:r>
              <w:rPr>
                <w:rFonts w:hint="eastAsia"/>
                <w:highlight w:val="yellow"/>
              </w:rPr>
              <w:t>日</w:t>
            </w:r>
            <w:r>
              <w:rPr>
                <w:rFonts w:hint="eastAsia"/>
                <w:highlight w:val="yellow"/>
                <w:u w:val="single"/>
              </w:rPr>
              <w:t xml:space="preserve">    </w:t>
            </w:r>
            <w:r>
              <w:rPr>
                <w:rFonts w:hint="eastAsia"/>
                <w:highlight w:val="yellow"/>
              </w:rPr>
              <w:t>时</w:t>
            </w:r>
            <w:r>
              <w:rPr>
                <w:rFonts w:hint="eastAsia"/>
                <w:highlight w:val="yellow"/>
                <w:u w:val="single"/>
              </w:rPr>
              <w:t xml:space="preserve">   </w:t>
            </w:r>
            <w:r>
              <w:rPr>
                <w:rFonts w:hint="eastAsia"/>
                <w:highlight w:val="yellow"/>
              </w:rPr>
              <w:t>分</w:t>
            </w:r>
          </w:p>
          <w:p>
            <w:pPr>
              <w:pStyle w:val="94"/>
              <w:rPr>
                <w:rFonts w:hint="eastAsia" w:ascii="宋体" w:hAnsi="宋体"/>
              </w:rPr>
            </w:pPr>
            <w:r>
              <w:rPr>
                <w:rFonts w:hint="eastAsia" w:ascii="宋体" w:hAnsi="宋体"/>
              </w:rPr>
              <w:t>谈判方式及地点：</w:t>
            </w:r>
          </w:p>
          <w:p>
            <w:pPr>
              <w:pStyle w:val="94"/>
              <w:rPr>
                <w:rFonts w:ascii="宋体" w:hAnsi="宋体"/>
                <w:highlight w:val="yellow"/>
                <w:u w:val="single"/>
              </w:rPr>
            </w:pPr>
            <w:r>
              <w:rPr>
                <w:rFonts w:ascii="Wingdings 2" w:hAnsi="Wingdings 2" w:cs="宋体"/>
                <w:color w:val="000000"/>
                <w:highlight w:val="yellow"/>
              </w:rPr>
              <w:sym w:font="Wingdings 2" w:char="F052"/>
            </w:r>
            <w:r>
              <w:rPr>
                <w:rFonts w:hint="eastAsia" w:ascii="宋体" w:hAnsi="宋体"/>
                <w:highlight w:val="yellow"/>
                <w:u w:val="single"/>
              </w:rPr>
              <w:t xml:space="preserve"> </w:t>
            </w:r>
            <w:r>
              <w:rPr>
                <w:rFonts w:ascii="宋体" w:hAnsi="宋体"/>
                <w:highlight w:val="yellow"/>
                <w:u w:val="single"/>
              </w:rPr>
              <w:t xml:space="preserve"> </w:t>
            </w:r>
            <w:r>
              <w:rPr>
                <w:rFonts w:hint="eastAsia" w:ascii="宋体" w:hAnsi="宋体"/>
                <w:highlight w:val="yellow"/>
                <w:u w:val="single"/>
              </w:rPr>
              <w:t>电话谈判</w:t>
            </w:r>
            <w:r>
              <w:rPr>
                <w:rFonts w:ascii="宋体" w:hAnsi="宋体"/>
                <w:highlight w:val="yellow"/>
                <w:u w:val="single"/>
              </w:rPr>
              <w:t xml:space="preserve">    </w:t>
            </w:r>
          </w:p>
          <w:p>
            <w:pPr>
              <w:pStyle w:val="94"/>
            </w:pPr>
            <w:r>
              <w:rPr>
                <w:rFonts w:ascii="Wingdings 2" w:hAnsi="Wingdings 2" w:cs="宋体"/>
                <w:color w:val="000000"/>
                <w:highlight w:val="yellow"/>
              </w:rPr>
              <w:sym w:font="Wingdings 2" w:char="F0A3"/>
            </w:r>
            <w:r>
              <w:rPr>
                <w:rFonts w:hint="eastAsia" w:ascii="宋体" w:hAnsi="宋体"/>
                <w:highlight w:val="yellow"/>
                <w:u w:val="single"/>
              </w:rPr>
              <w:t xml:space="preserve"> </w:t>
            </w:r>
            <w:r>
              <w:rPr>
                <w:rFonts w:ascii="宋体" w:hAnsi="宋体"/>
                <w:highlight w:val="yellow"/>
                <w:u w:val="single"/>
              </w:rPr>
              <w:t xml:space="preserve"> </w:t>
            </w:r>
            <w:r>
              <w:rPr>
                <w:rFonts w:hint="eastAsia" w:ascii="宋体" w:hAnsi="宋体"/>
                <w:highlight w:val="yellow"/>
                <w:u w:val="single"/>
              </w:rPr>
              <w:t>现场谈判</w:t>
            </w:r>
            <w:r>
              <w:rPr>
                <w:rFonts w:ascii="宋体" w:hAnsi="宋体"/>
                <w:highlight w:val="yellow"/>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21.3</w:t>
            </w:r>
          </w:p>
        </w:tc>
        <w:tc>
          <w:tcPr>
            <w:tcW w:w="1015" w:type="pct"/>
            <w:noWrap w:val="0"/>
            <w:vAlign w:val="center"/>
          </w:tcPr>
          <w:p>
            <w:pPr>
              <w:pStyle w:val="94"/>
            </w:pPr>
            <w:r>
              <w:rPr>
                <w:rFonts w:hint="eastAsia"/>
              </w:rPr>
              <w:t>履约担保</w:t>
            </w:r>
          </w:p>
        </w:tc>
        <w:tc>
          <w:tcPr>
            <w:tcW w:w="3581" w:type="pct"/>
            <w:noWrap w:val="0"/>
            <w:vAlign w:val="center"/>
          </w:tcPr>
          <w:p>
            <w:pPr>
              <w:pStyle w:val="94"/>
              <w:rPr>
                <w:rFonts w:ascii="宋体" w:hAnsi="宋体" w:cs="宋体"/>
                <w:color w:val="000000"/>
                <w:highlight w:val="yellow"/>
              </w:rPr>
            </w:pPr>
            <w:r>
              <w:rPr>
                <w:rFonts w:ascii="Wingdings 2" w:hAnsi="Wingdings 2" w:cs="宋体"/>
                <w:color w:val="000000"/>
                <w:highlight w:val="yellow"/>
              </w:rPr>
              <w:sym w:font="Wingdings 2" w:char="F052"/>
            </w:r>
            <w:r>
              <w:rPr>
                <w:rFonts w:hint="eastAsia" w:ascii="宋体" w:hAnsi="宋体" w:cs="宋体"/>
                <w:color w:val="000000"/>
                <w:highlight w:val="yellow"/>
              </w:rPr>
              <w:t>不提供</w:t>
            </w:r>
          </w:p>
          <w:p>
            <w:pPr>
              <w:pStyle w:val="94"/>
              <w:rPr>
                <w:rFonts w:hint="eastAsia" w:ascii="宋体" w:hAnsi="宋体" w:cs="宋体"/>
                <w:color w:val="000000"/>
                <w:highlight w:val="yellow"/>
              </w:rPr>
            </w:pPr>
            <w:r>
              <w:rPr>
                <w:rFonts w:ascii="宋体" w:hAnsi="宋体"/>
                <w:sz w:val="24"/>
                <w:szCs w:val="24"/>
                <w:highlight w:val="yellow"/>
              </w:rPr>
              <w:fldChar w:fldCharType="begin"/>
            </w:r>
            <w:r>
              <w:rPr>
                <w:rFonts w:ascii="宋体" w:hAnsi="宋体"/>
                <w:sz w:val="24"/>
                <w:szCs w:val="24"/>
                <w:highlight w:val="yellow"/>
              </w:rPr>
              <w:instrText xml:space="preserve"> eq \o\ac(□)</w:instrText>
            </w:r>
            <w:r>
              <w:rPr>
                <w:rFonts w:ascii="宋体" w:hAnsi="宋体"/>
                <w:sz w:val="24"/>
                <w:szCs w:val="24"/>
                <w:highlight w:val="yellow"/>
              </w:rPr>
              <w:fldChar w:fldCharType="end"/>
            </w:r>
            <w:r>
              <w:rPr>
                <w:rFonts w:hint="eastAsia" w:ascii="宋体" w:hAnsi="宋体" w:cs="宋体"/>
                <w:color w:val="000000"/>
                <w:highlight w:val="yellow"/>
              </w:rPr>
              <w:t>提供，</w:t>
            </w:r>
          </w:p>
          <w:p>
            <w:pPr>
              <w:pStyle w:val="94"/>
              <w:rPr>
                <w:rFonts w:cs="宋体"/>
                <w:color w:val="000000"/>
                <w:highlight w:val="yellow"/>
              </w:rPr>
            </w:pPr>
            <w:r>
              <w:rPr>
                <w:rFonts w:hint="eastAsia" w:cs="宋体"/>
                <w:color w:val="000000"/>
                <w:highlight w:val="yellow"/>
              </w:rPr>
              <w:t>履约担保金额：</w:t>
            </w:r>
            <w:r>
              <w:rPr>
                <w:rFonts w:hint="eastAsia"/>
                <w:highlight w:val="yellow"/>
                <w:u w:val="single"/>
              </w:rPr>
              <w:t>总合同额的</w:t>
            </w:r>
            <w:r>
              <w:rPr>
                <w:rFonts w:hint="eastAsia" w:cs="宋体"/>
                <w:color w:val="000000"/>
                <w:highlight w:val="yellow"/>
              </w:rPr>
              <w:t>10%</w:t>
            </w:r>
          </w:p>
          <w:p>
            <w:pPr>
              <w:pStyle w:val="94"/>
              <w:rPr>
                <w:rFonts w:hint="eastAsia" w:ascii="宋体" w:hAnsi="宋体" w:cs="宋体"/>
                <w:color w:val="000000"/>
                <w:highlight w:val="yellow"/>
              </w:rPr>
            </w:pPr>
            <w:r>
              <w:rPr>
                <w:rFonts w:hint="eastAsia" w:cs="宋体"/>
                <w:color w:val="000000"/>
                <w:highlight w:val="yellow"/>
              </w:rPr>
              <w:t>履约担保形式：履约保函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rPr>
        <w:tc>
          <w:tcPr>
            <w:tcW w:w="402" w:type="pct"/>
            <w:noWrap w:val="0"/>
            <w:vAlign w:val="center"/>
          </w:tcPr>
          <w:p>
            <w:pPr>
              <w:pStyle w:val="94"/>
              <w:jc w:val="center"/>
            </w:pPr>
            <w:r>
              <w:rPr>
                <w:rFonts w:hint="eastAsia"/>
              </w:rPr>
              <w:t>22</w:t>
            </w:r>
          </w:p>
        </w:tc>
        <w:tc>
          <w:tcPr>
            <w:tcW w:w="1015" w:type="pct"/>
            <w:noWrap w:val="0"/>
            <w:vAlign w:val="center"/>
          </w:tcPr>
          <w:p>
            <w:pPr>
              <w:pStyle w:val="94"/>
            </w:pPr>
            <w:r>
              <w:rPr>
                <w:rFonts w:hint="eastAsia"/>
              </w:rPr>
              <w:t>其他需要补充的内容</w:t>
            </w:r>
          </w:p>
        </w:tc>
        <w:tc>
          <w:tcPr>
            <w:tcW w:w="3581" w:type="pct"/>
            <w:noWrap w:val="0"/>
            <w:vAlign w:val="center"/>
          </w:tcPr>
          <w:p>
            <w:pPr>
              <w:pStyle w:val="94"/>
              <w:widowControl w:val="0"/>
              <w:rPr>
                <w:rFonts w:ascii="宋体" w:hAnsi="宋体"/>
                <w:kern w:val="2"/>
                <w:sz w:val="21"/>
              </w:rPr>
            </w:pPr>
            <w:r>
              <w:rPr>
                <w:rFonts w:hint="eastAsia" w:ascii="宋体" w:hAnsi="宋体"/>
              </w:rPr>
              <w:t>采购时为了准确描述某一配套设备（器件）的技术规格，采购文件或技术规范书中可能引用某一配套设备（器件）的品牌、型号，该品牌、型号不作为投标的唯一或指定产品，但报价配套设备（器件）须满足或高于引用配套设备（器件）性能参数和设备使用功能。在合同签订或履行过程中，该类品牌的选定须经采购人认可。</w:t>
            </w:r>
          </w:p>
        </w:tc>
      </w:tr>
    </w:tbl>
    <w:p>
      <w:pPr>
        <w:ind w:firstLine="480"/>
      </w:pPr>
      <w:r>
        <w:rPr>
          <w:rFonts w:hint="eastAsia"/>
          <w:kern w:val="0"/>
        </w:rPr>
        <w:t>备注：供应商须知前附表是对</w:t>
      </w:r>
      <w:r>
        <w:rPr>
          <w:rFonts w:hint="eastAsia"/>
        </w:rPr>
        <w:t>供应商须知的具体补充和修改，如有矛盾，应以本表为准。</w:t>
      </w:r>
    </w:p>
    <w:p>
      <w:pPr>
        <w:ind w:firstLine="480"/>
      </w:pPr>
    </w:p>
    <w:p>
      <w:pPr>
        <w:ind w:firstLine="0" w:firstLineChars="0"/>
      </w:pPr>
    </w:p>
    <w:p>
      <w:pPr>
        <w:pStyle w:val="3"/>
        <w:spacing w:before="120"/>
      </w:pPr>
      <w:bookmarkStart w:id="61" w:name="_Toc1032361"/>
      <w:r>
        <w:rPr>
          <w:rFonts w:hint="eastAsia"/>
        </w:rPr>
        <w:t>1.</w:t>
      </w:r>
      <w:r>
        <w:t xml:space="preserve"> </w:t>
      </w:r>
      <w:r>
        <w:rPr>
          <w:rFonts w:hint="eastAsia"/>
        </w:rPr>
        <w:t>适用范围</w:t>
      </w:r>
      <w:bookmarkEnd w:id="61"/>
    </w:p>
    <w:p>
      <w:pPr>
        <w:ind w:firstLine="480"/>
      </w:pPr>
      <w:r>
        <w:rPr>
          <w:rFonts w:hint="eastAsia"/>
        </w:rPr>
        <w:t>本采购文件仅适用于本项目</w:t>
      </w:r>
      <w:r>
        <w:rPr>
          <w:rFonts w:hint="eastAsia" w:cs="Arial"/>
        </w:rPr>
        <w:t>公告</w:t>
      </w:r>
      <w:r>
        <w:rPr>
          <w:rFonts w:hint="eastAsia"/>
        </w:rPr>
        <w:t>中所述项目。</w:t>
      </w:r>
    </w:p>
    <w:p>
      <w:pPr>
        <w:pStyle w:val="3"/>
        <w:spacing w:before="120"/>
      </w:pPr>
      <w:bookmarkStart w:id="62" w:name="_Toc1032362"/>
      <w:r>
        <w:rPr>
          <w:rFonts w:hint="eastAsia"/>
        </w:rPr>
        <w:t>2.</w:t>
      </w:r>
      <w:r>
        <w:t xml:space="preserve"> </w:t>
      </w:r>
      <w:r>
        <w:rPr>
          <w:rFonts w:hint="eastAsia"/>
        </w:rPr>
        <w:t>定义</w:t>
      </w:r>
      <w:bookmarkEnd w:id="62"/>
    </w:p>
    <w:p>
      <w:pPr>
        <w:ind w:firstLine="480"/>
      </w:pPr>
      <w:r>
        <w:rPr>
          <w:rFonts w:hint="eastAsia"/>
        </w:rPr>
        <w:t>2.1</w:t>
      </w:r>
      <w:r>
        <w:t xml:space="preserve"> </w:t>
      </w:r>
      <w:r>
        <w:rPr>
          <w:rFonts w:hint="eastAsia"/>
        </w:rPr>
        <w:t>采购人：指依法提出采购项目进行采购的法人或其他组织，采购人及联系方式见前附表。</w:t>
      </w:r>
    </w:p>
    <w:p>
      <w:pPr>
        <w:ind w:firstLine="480"/>
      </w:pPr>
      <w:r>
        <w:rPr>
          <w:rFonts w:hint="eastAsia"/>
        </w:rPr>
        <w:t>2.2 供应商：指响应询价采购，参与询价竞争的法人或其他组织。</w:t>
      </w:r>
    </w:p>
    <w:p>
      <w:pPr>
        <w:ind w:firstLine="480"/>
      </w:pPr>
      <w:r>
        <w:rPr>
          <w:rFonts w:hint="eastAsia"/>
        </w:rPr>
        <w:t>2.3</w:t>
      </w:r>
      <w:r>
        <w:t xml:space="preserve"> </w:t>
      </w:r>
      <w:r>
        <w:rPr>
          <w:rFonts w:hint="eastAsia"/>
        </w:rPr>
        <w:t>成交人：指最终被授予合同的供应商。</w:t>
      </w:r>
    </w:p>
    <w:p>
      <w:pPr>
        <w:pStyle w:val="3"/>
        <w:spacing w:before="120"/>
      </w:pPr>
      <w:bookmarkStart w:id="63" w:name="_Toc1032363"/>
      <w:r>
        <w:rPr>
          <w:rFonts w:hint="eastAsia"/>
        </w:rPr>
        <w:t>3.</w:t>
      </w:r>
      <w:r>
        <w:t xml:space="preserve"> </w:t>
      </w:r>
      <w:r>
        <w:rPr>
          <w:rFonts w:hint="eastAsia"/>
        </w:rPr>
        <w:t>询价费用</w:t>
      </w:r>
      <w:bookmarkEnd w:id="63"/>
    </w:p>
    <w:p>
      <w:pPr>
        <w:ind w:firstLine="480"/>
      </w:pPr>
      <w:r>
        <w:rPr>
          <w:rFonts w:hint="eastAsia"/>
        </w:rPr>
        <w:t>供应商应承担与其参加询价有关的所有费用。不论询价过程和结果如何，供应商应自行承担所有与参加询价有关的费用，采购人在任何情况下均无义务和责任承担这些费用。</w:t>
      </w:r>
    </w:p>
    <w:p>
      <w:pPr>
        <w:pStyle w:val="3"/>
        <w:spacing w:before="120"/>
      </w:pPr>
      <w:bookmarkStart w:id="64" w:name="_Toc1032364"/>
      <w:r>
        <w:rPr>
          <w:rFonts w:hint="eastAsia"/>
        </w:rPr>
        <w:t>4. 现场踏勘</w:t>
      </w:r>
      <w:bookmarkEnd w:id="64"/>
    </w:p>
    <w:p>
      <w:pPr>
        <w:ind w:firstLine="480"/>
      </w:pPr>
      <w:r>
        <w:rPr>
          <w:rFonts w:hint="eastAsia"/>
        </w:rPr>
        <w:t xml:space="preserve">4.1 供应商须知前附表规定组织踏勘现场的，采购人按供应商须知前附表规定的时间、地点组织供应商踏勘项目现场。 </w:t>
      </w:r>
    </w:p>
    <w:p>
      <w:pPr>
        <w:ind w:firstLine="480"/>
      </w:pPr>
      <w:r>
        <w:rPr>
          <w:rFonts w:hint="eastAsia"/>
        </w:rPr>
        <w:t>4.2 供应商自行负责在踏勘现场中所发生的人员伤亡和财产损失。</w:t>
      </w:r>
    </w:p>
    <w:p>
      <w:pPr>
        <w:ind w:firstLine="480"/>
      </w:pPr>
      <w:r>
        <w:rPr>
          <w:rFonts w:hint="eastAsia"/>
        </w:rPr>
        <w:t>4.3 采购人在踏勘现场中介绍的项目场地和相关的周边环境情况，仅供供应商在编制响应文件时参考，采购人不对供应商据此作出的判断和决策负责。</w:t>
      </w:r>
    </w:p>
    <w:p>
      <w:pPr>
        <w:pStyle w:val="3"/>
        <w:spacing w:before="120"/>
      </w:pPr>
      <w:bookmarkStart w:id="65" w:name="_Toc1032365"/>
      <w:r>
        <w:rPr>
          <w:rFonts w:hint="eastAsia"/>
        </w:rPr>
        <w:t>5.</w:t>
      </w:r>
      <w:r>
        <w:t xml:space="preserve"> </w:t>
      </w:r>
      <w:r>
        <w:rPr>
          <w:rFonts w:hint="eastAsia"/>
        </w:rPr>
        <w:t>采购文件的构成</w:t>
      </w:r>
      <w:bookmarkEnd w:id="65"/>
    </w:p>
    <w:p>
      <w:pPr>
        <w:ind w:firstLine="480"/>
      </w:pPr>
      <w:r>
        <w:rPr>
          <w:rFonts w:hint="eastAsia"/>
          <w:kern w:val="0"/>
        </w:rPr>
        <w:t xml:space="preserve">5.1 </w:t>
      </w:r>
      <w:r>
        <w:rPr>
          <w:rFonts w:hint="eastAsia"/>
        </w:rPr>
        <w:t>采购文件由下列文件以及在询价过程中发出的修正和补充文件组成：</w:t>
      </w:r>
    </w:p>
    <w:p>
      <w:pPr>
        <w:ind w:firstLine="480"/>
      </w:pPr>
      <w:r>
        <w:rPr>
          <w:rFonts w:hint="eastAsia"/>
        </w:rPr>
        <w:t>第一章</w:t>
      </w:r>
      <w:r>
        <w:rPr>
          <w:rFonts w:hint="eastAsia"/>
        </w:rPr>
        <w:tab/>
      </w:r>
      <w:r>
        <w:rPr>
          <w:rFonts w:hint="eastAsia"/>
        </w:rPr>
        <w:t xml:space="preserve"> 采购</w:t>
      </w:r>
      <w:r>
        <w:rPr>
          <w:rFonts w:hint="eastAsia" w:cs="Arial"/>
        </w:rPr>
        <w:t>公告</w:t>
      </w:r>
    </w:p>
    <w:p>
      <w:pPr>
        <w:ind w:firstLine="480"/>
      </w:pPr>
      <w:r>
        <w:rPr>
          <w:rFonts w:hint="eastAsia"/>
        </w:rPr>
        <w:t>第二章</w:t>
      </w:r>
      <w:r>
        <w:rPr>
          <w:rFonts w:hint="eastAsia"/>
        </w:rPr>
        <w:tab/>
      </w:r>
      <w:r>
        <w:rPr>
          <w:rFonts w:hint="eastAsia"/>
        </w:rPr>
        <w:t xml:space="preserve"> 供应商须知及前附表</w:t>
      </w:r>
    </w:p>
    <w:p>
      <w:pPr>
        <w:ind w:firstLine="480"/>
      </w:pPr>
      <w:r>
        <w:rPr>
          <w:rFonts w:hint="eastAsia"/>
        </w:rPr>
        <w:t>第三章</w:t>
      </w:r>
      <w:r>
        <w:rPr>
          <w:rFonts w:hint="eastAsia"/>
        </w:rPr>
        <w:tab/>
      </w:r>
      <w:r>
        <w:rPr>
          <w:rFonts w:hint="eastAsia"/>
        </w:rPr>
        <w:t xml:space="preserve"> 评审办法</w:t>
      </w:r>
    </w:p>
    <w:p>
      <w:pPr>
        <w:ind w:firstLine="480"/>
      </w:pPr>
      <w:r>
        <w:rPr>
          <w:rFonts w:hint="eastAsia"/>
        </w:rPr>
        <w:t>第四章</w:t>
      </w:r>
      <w:r>
        <w:rPr>
          <w:rFonts w:hint="eastAsia"/>
        </w:rPr>
        <w:tab/>
      </w:r>
      <w:r>
        <w:rPr>
          <w:rFonts w:hint="eastAsia"/>
        </w:rPr>
        <w:t xml:space="preserve"> 合同草案</w:t>
      </w:r>
    </w:p>
    <w:p>
      <w:pPr>
        <w:ind w:firstLine="480"/>
      </w:pPr>
      <w:r>
        <w:rPr>
          <w:rFonts w:hint="eastAsia"/>
        </w:rPr>
        <w:t>第五章</w:t>
      </w:r>
      <w:r>
        <w:rPr>
          <w:rFonts w:hint="eastAsia"/>
        </w:rPr>
        <w:tab/>
      </w:r>
      <w:r>
        <w:rPr>
          <w:rFonts w:hint="eastAsia"/>
        </w:rPr>
        <w:t xml:space="preserve"> 采购需求</w:t>
      </w:r>
    </w:p>
    <w:p>
      <w:pPr>
        <w:ind w:firstLine="480"/>
      </w:pPr>
      <w:r>
        <w:rPr>
          <w:rFonts w:hint="eastAsia"/>
        </w:rPr>
        <w:t>第六章</w:t>
      </w:r>
      <w:r>
        <w:rPr>
          <w:rFonts w:hint="eastAsia"/>
        </w:rPr>
        <w:tab/>
      </w:r>
      <w:r>
        <w:rPr>
          <w:rFonts w:hint="eastAsia"/>
        </w:rPr>
        <w:t xml:space="preserve"> 响应文件格式</w:t>
      </w:r>
    </w:p>
    <w:p>
      <w:pPr>
        <w:ind w:firstLine="480"/>
      </w:pPr>
      <w:r>
        <w:rPr>
          <w:rFonts w:hint="eastAsia"/>
        </w:rPr>
        <w:t>5.2 供应商下载采购文件过程中，如发现下载不成功或下载的文件格式有误等问题请务必于采购文件发售期内联系电子商务平台客服热线。如果供应商不按上述要求提出而造成不良后果，电子商务平台不承担责任。</w:t>
      </w:r>
    </w:p>
    <w:p>
      <w:pPr>
        <w:ind w:firstLine="480"/>
      </w:pPr>
      <w:r>
        <w:rPr>
          <w:rFonts w:hint="eastAsia"/>
        </w:rPr>
        <w:t>5.3 供应商应认真阅读采购文件中所有的事项、格式、条款和要求等。供应商没有按照采购文件要求提交全部资料，或者响应文件没有对采购文件在各方面都做出实质性响应，可能导致其竞争性谈判被拒绝。</w:t>
      </w:r>
    </w:p>
    <w:p>
      <w:pPr>
        <w:ind w:firstLine="480"/>
      </w:pPr>
      <w:r>
        <w:rPr>
          <w:rFonts w:hint="eastAsia"/>
        </w:rPr>
        <w:t>5.4 响应文件一经递交成功即表示供应商确认采购文件的法律效力，并对此采购文件提出的要求做出相应的响应，承担与采购文件要求相适应的民事、经济和法律责任。</w:t>
      </w:r>
    </w:p>
    <w:p>
      <w:pPr>
        <w:ind w:firstLine="480"/>
      </w:pPr>
      <w:r>
        <w:rPr>
          <w:rFonts w:hint="eastAsia"/>
        </w:rPr>
        <w:t>5.5 由于供应商对采购文件的误解与疏忽或报价误差，而导致询价失败或成交后的任何风险，其责任均由供应商自负。</w:t>
      </w:r>
    </w:p>
    <w:p>
      <w:pPr>
        <w:pStyle w:val="3"/>
        <w:spacing w:before="120"/>
      </w:pPr>
      <w:bookmarkStart w:id="66" w:name="_Toc1032366"/>
      <w:r>
        <w:rPr>
          <w:rFonts w:hint="eastAsia"/>
        </w:rPr>
        <w:t>6. 采购文件的澄清、修改、补充</w:t>
      </w:r>
      <w:bookmarkEnd w:id="66"/>
    </w:p>
    <w:p>
      <w:pPr>
        <w:ind w:firstLine="480"/>
      </w:pPr>
      <w:r>
        <w:rPr>
          <w:rFonts w:hint="eastAsia"/>
        </w:rPr>
        <w:t>6.1任何要求对采购文件进行澄清的供应商，均应在供应商须知前附表规定的时间提出。在谈判截止期前的任何时候，无论出于何种原因，采购人/采购代理机构可主动地对采购文件进行修改、补充。</w:t>
      </w:r>
    </w:p>
    <w:p>
      <w:pPr>
        <w:ind w:firstLine="480"/>
      </w:pPr>
      <w:r>
        <w:rPr>
          <w:rFonts w:hint="eastAsia"/>
        </w:rPr>
        <w:t>6.2采购文件的澄清和修改将以书面形式通知供应商。采购文件的澄清和修改均作为采购文件的组成部分，对供应商具有约束力。供应商应在收到通知后进行确认。如果供应商不予确认，引起的后果由供应商自行承担。</w:t>
      </w:r>
    </w:p>
    <w:p>
      <w:pPr>
        <w:ind w:firstLine="480"/>
      </w:pPr>
      <w:r>
        <w:rPr>
          <w:rFonts w:hint="eastAsia"/>
        </w:rPr>
        <w:t>6.3</w:t>
      </w:r>
      <w:r>
        <w:t xml:space="preserve"> </w:t>
      </w:r>
      <w:r>
        <w:rPr>
          <w:rFonts w:hint="eastAsia"/>
        </w:rPr>
        <w:t>为使</w:t>
      </w:r>
      <w:r>
        <w:rPr>
          <w:rFonts w:hint="eastAsia" w:ascii="宋体" w:hAnsi="宋体" w:cs="Arial"/>
          <w:szCs w:val="24"/>
        </w:rPr>
        <w:t>供应商</w:t>
      </w:r>
      <w:r>
        <w:rPr>
          <w:rFonts w:hint="eastAsia"/>
        </w:rPr>
        <w:t>有充分时间对采购文件的修改部分进行研究，采购人可适当延长询价文件的递交截止时间，并以书面形式通知所有购买采购文件的</w:t>
      </w:r>
      <w:r>
        <w:rPr>
          <w:rFonts w:hint="eastAsia" w:ascii="宋体" w:hAnsi="宋体" w:cs="Arial"/>
          <w:szCs w:val="24"/>
        </w:rPr>
        <w:t>供应商</w:t>
      </w:r>
      <w:r>
        <w:rPr>
          <w:rFonts w:hint="eastAsia"/>
        </w:rPr>
        <w:t>。</w:t>
      </w:r>
    </w:p>
    <w:p>
      <w:pPr>
        <w:pStyle w:val="3"/>
        <w:spacing w:before="120"/>
      </w:pPr>
      <w:bookmarkStart w:id="67" w:name="_Toc1032367"/>
      <w:r>
        <w:rPr>
          <w:rFonts w:hint="eastAsia"/>
        </w:rPr>
        <w:t>7.</w:t>
      </w:r>
      <w:r>
        <w:t xml:space="preserve"> </w:t>
      </w:r>
      <w:r>
        <w:rPr>
          <w:rFonts w:hint="eastAsia"/>
        </w:rPr>
        <w:t>编制基本要求</w:t>
      </w:r>
      <w:bookmarkEnd w:id="67"/>
    </w:p>
    <w:p>
      <w:pPr>
        <w:ind w:firstLine="480"/>
      </w:pPr>
      <w:r>
        <w:rPr>
          <w:rFonts w:hint="eastAsia"/>
        </w:rPr>
        <w:t>7.1</w:t>
      </w:r>
      <w:r>
        <w:rPr>
          <w:rFonts w:hint="eastAsia"/>
          <w:b/>
        </w:rPr>
        <w:t xml:space="preserve"> </w:t>
      </w:r>
      <w:r>
        <w:rPr>
          <w:rFonts w:hint="eastAsia"/>
        </w:rPr>
        <w:t>供应商应在认真阅读，充分理解本采购文件所有内容（包括所有的澄清、修改、补充内容）的基础上，按照“第六章响应文件格式”的要求编制完整的响应文件。</w:t>
      </w:r>
    </w:p>
    <w:p>
      <w:pPr>
        <w:ind w:firstLine="480"/>
      </w:pPr>
      <w:r>
        <w:rPr>
          <w:rFonts w:hint="eastAsia"/>
        </w:rPr>
        <w:t>7.2 供应商必须保证响应文件所提供的全部资料真实可信，并接受采购人对其中任何资料在合同最终授予前进一步审查的要求，如若存在供应商利用弄虚作假等不当手段谋取成交的，一经查实，采购人有权予以否决，并保留进一步追究其责任的权利。</w:t>
      </w:r>
    </w:p>
    <w:p>
      <w:pPr>
        <w:ind w:firstLine="480"/>
      </w:pPr>
      <w:r>
        <w:rPr>
          <w:rFonts w:hint="eastAsia"/>
        </w:rPr>
        <w:t>7.3 如果响应文件填报的内容不详，或没有提供采购文件中所要求的全部资料及数据，给评审造成困难，责任由供应商自行承担。</w:t>
      </w:r>
    </w:p>
    <w:p>
      <w:pPr>
        <w:ind w:firstLine="480"/>
      </w:pPr>
      <w:r>
        <w:rPr>
          <w:rFonts w:hint="eastAsia"/>
        </w:rPr>
        <w:t>7.4如供应商没有对本采购文件的要求提出偏离，采购人可认为供应商完全接受和同意本采购文件的要求。响应文件对采购文件未提出偏离条款的，均被视为接受和同意。响应文件与采购文件有偏离之处，无论多么微小，均应按采购文件格式要求统一汇总说明。</w:t>
      </w:r>
    </w:p>
    <w:p>
      <w:pPr>
        <w:pStyle w:val="3"/>
        <w:spacing w:before="120"/>
      </w:pPr>
      <w:bookmarkStart w:id="68" w:name="_Toc1032368"/>
      <w:r>
        <w:rPr>
          <w:rFonts w:hint="eastAsia"/>
        </w:rPr>
        <w:t>8.</w:t>
      </w:r>
      <w:r>
        <w:t xml:space="preserve"> </w:t>
      </w:r>
      <w:r>
        <w:rPr>
          <w:rFonts w:hint="eastAsia"/>
        </w:rPr>
        <w:t>语言和计量单位</w:t>
      </w:r>
      <w:bookmarkEnd w:id="68"/>
    </w:p>
    <w:p>
      <w:pPr>
        <w:ind w:firstLine="480"/>
      </w:pPr>
      <w:r>
        <w:rPr>
          <w:rFonts w:hint="eastAsia"/>
        </w:rPr>
        <w:t>8.1</w:t>
      </w:r>
      <w:r>
        <w:t xml:space="preserve"> </w:t>
      </w:r>
      <w:r>
        <w:rPr>
          <w:rFonts w:hint="eastAsia"/>
          <w:lang w:val="zh-CN"/>
        </w:rPr>
        <w:t>响应文件及供应商与</w:t>
      </w:r>
      <w:r>
        <w:rPr>
          <w:rFonts w:hint="eastAsia"/>
        </w:rPr>
        <w:t>采购人</w:t>
      </w:r>
      <w:r>
        <w:rPr>
          <w:rFonts w:hint="eastAsia"/>
          <w:lang w:val="zh-CN"/>
        </w:rPr>
        <w:t>之间的凡与采购有关的来往信函和文件均使用中文，若其中有其它语言的书面材料，则应附有中文译文，并以中文译文为准。</w:t>
      </w:r>
    </w:p>
    <w:p>
      <w:pPr>
        <w:ind w:firstLine="480"/>
      </w:pPr>
      <w:r>
        <w:rPr>
          <w:rFonts w:hint="eastAsia"/>
        </w:rPr>
        <w:t>8.2</w:t>
      </w:r>
      <w:r>
        <w:t xml:space="preserve"> </w:t>
      </w:r>
      <w:r>
        <w:rPr>
          <w:rFonts w:hint="eastAsia"/>
        </w:rPr>
        <w:t>除非采购文件中另有规定，计量单位均采用中华人民共和国法定的计量单位。</w:t>
      </w:r>
    </w:p>
    <w:p>
      <w:pPr>
        <w:pStyle w:val="3"/>
        <w:spacing w:before="120"/>
      </w:pPr>
      <w:bookmarkStart w:id="69" w:name="_Toc1032369"/>
      <w:r>
        <w:rPr>
          <w:rFonts w:hint="eastAsia"/>
        </w:rPr>
        <w:t>9. 报价</w:t>
      </w:r>
      <w:bookmarkEnd w:id="69"/>
    </w:p>
    <w:p>
      <w:pPr>
        <w:ind w:firstLine="480"/>
      </w:pPr>
      <w:r>
        <w:rPr>
          <w:rFonts w:hint="eastAsia"/>
        </w:rPr>
        <w:t xml:space="preserve">9.1 </w:t>
      </w:r>
      <w:r>
        <w:rPr>
          <w:rFonts w:hint="eastAsia" w:ascii="宋体" w:hAnsi="宋体" w:cs="Arial"/>
          <w:kern w:val="0"/>
          <w:szCs w:val="24"/>
        </w:rPr>
        <w:t>供应商</w:t>
      </w:r>
      <w:r>
        <w:rPr>
          <w:rFonts w:hint="eastAsia"/>
        </w:rPr>
        <w:t>应按照采购文件规定的内容、责任范围以及技术要求条件进行报价。并按报价部分规定的格式报出分项价格和总价。</w:t>
      </w:r>
    </w:p>
    <w:p>
      <w:pPr>
        <w:ind w:firstLine="480"/>
      </w:pPr>
      <w:r>
        <w:rPr>
          <w:rFonts w:hint="eastAsia"/>
        </w:rPr>
        <w:t xml:space="preserve">9.2 </w:t>
      </w:r>
      <w:r>
        <w:rPr>
          <w:rFonts w:hint="eastAsia" w:ascii="宋体" w:hAnsi="宋体" w:cs="Arial"/>
          <w:kern w:val="0"/>
          <w:szCs w:val="24"/>
        </w:rPr>
        <w:t>供应商</w:t>
      </w:r>
      <w:r>
        <w:rPr>
          <w:rFonts w:hint="eastAsia"/>
        </w:rPr>
        <w:t>报价应包括</w:t>
      </w:r>
      <w:r>
        <w:rPr>
          <w:rFonts w:hint="eastAsia" w:ascii="宋体" w:hAnsi="宋体" w:cs="Arial"/>
          <w:kern w:val="0"/>
          <w:szCs w:val="24"/>
        </w:rPr>
        <w:t>供应商</w:t>
      </w:r>
      <w:r>
        <w:rPr>
          <w:rFonts w:hint="eastAsia"/>
        </w:rPr>
        <w:t>成交后为完成采购项目规定的全部工作需支付的一切费用和拟获得的利润，并考虑了应承担的风险。</w:t>
      </w:r>
    </w:p>
    <w:p>
      <w:pPr>
        <w:ind w:firstLine="480"/>
      </w:pPr>
      <w:r>
        <w:rPr>
          <w:rFonts w:hint="eastAsia"/>
        </w:rPr>
        <w:t xml:space="preserve">9.3 </w:t>
      </w:r>
      <w:r>
        <w:rPr>
          <w:rFonts w:hint="eastAsia" w:ascii="宋体" w:hAnsi="宋体" w:cs="Arial"/>
          <w:kern w:val="0"/>
          <w:szCs w:val="24"/>
        </w:rPr>
        <w:t>供应商</w:t>
      </w:r>
      <w:r>
        <w:rPr>
          <w:rFonts w:hint="eastAsia"/>
        </w:rPr>
        <w:t>必须根据采购文件报价格式进行报价，若</w:t>
      </w:r>
      <w:r>
        <w:rPr>
          <w:rFonts w:hint="eastAsia" w:ascii="宋体" w:hAnsi="宋体" w:cs="Arial"/>
          <w:kern w:val="0"/>
          <w:szCs w:val="24"/>
        </w:rPr>
        <w:t>供应商</w:t>
      </w:r>
      <w:r>
        <w:rPr>
          <w:rFonts w:hint="eastAsia"/>
        </w:rPr>
        <w:t>提供免费服务，应在响应文件中说明或在报价表中填“免费”，否则视为已包含在总报价中。</w:t>
      </w:r>
    </w:p>
    <w:p>
      <w:pPr>
        <w:ind w:firstLine="480"/>
      </w:pPr>
      <w:r>
        <w:rPr>
          <w:rFonts w:hint="eastAsia"/>
        </w:rPr>
        <w:t>9.4 供应商不得以低于成本报价。</w:t>
      </w:r>
    </w:p>
    <w:p>
      <w:pPr>
        <w:ind w:firstLine="480"/>
      </w:pPr>
      <w:r>
        <w:rPr>
          <w:rFonts w:hint="eastAsia"/>
        </w:rPr>
        <w:t>9.5 响应文件中标明的最终报价在合同执行过程中是固定不变的，不得以任何理由予以变更。</w:t>
      </w:r>
    </w:p>
    <w:p>
      <w:pPr>
        <w:ind w:firstLine="480"/>
      </w:pPr>
      <w:r>
        <w:rPr>
          <w:rFonts w:hint="eastAsia"/>
        </w:rPr>
        <w:t>9.6 采购人设有最高限价的，供应商的报价不得超过最高限价，如超过最高限价，将予以否决，最高限价在供应商须知前附表中载明。</w:t>
      </w:r>
    </w:p>
    <w:p>
      <w:pPr>
        <w:ind w:firstLine="480"/>
      </w:pPr>
      <w:r>
        <w:rPr>
          <w:rFonts w:hint="eastAsia"/>
        </w:rPr>
        <w:t>9.7 采购代理服务费按照供应商须知前附表规定收取的，采购代理服务费由供应商计入报价，但不单独列项，成交人须一次性向采购代理机构支付采购代理服务费。</w:t>
      </w:r>
    </w:p>
    <w:p>
      <w:pPr>
        <w:pStyle w:val="3"/>
        <w:spacing w:before="120"/>
      </w:pPr>
      <w:bookmarkStart w:id="70" w:name="_Toc1032370"/>
      <w:r>
        <w:rPr>
          <w:rFonts w:hint="eastAsia"/>
        </w:rPr>
        <w:t>10.</w:t>
      </w:r>
      <w:r>
        <w:t xml:space="preserve"> </w:t>
      </w:r>
      <w:r>
        <w:rPr>
          <w:rFonts w:hint="eastAsia"/>
        </w:rPr>
        <w:t>报价货币</w:t>
      </w:r>
      <w:bookmarkEnd w:id="70"/>
    </w:p>
    <w:p>
      <w:pPr>
        <w:ind w:firstLine="480"/>
      </w:pPr>
      <w:r>
        <w:rPr>
          <w:rFonts w:hint="eastAsia"/>
        </w:rPr>
        <w:t>采用人民币报价，供应商须知前附表有明确规定的除外。</w:t>
      </w:r>
    </w:p>
    <w:p>
      <w:pPr>
        <w:pStyle w:val="3"/>
        <w:spacing w:before="120"/>
      </w:pPr>
      <w:bookmarkStart w:id="71" w:name="_Toc1032371"/>
      <w:r>
        <w:rPr>
          <w:rFonts w:hint="eastAsia"/>
        </w:rPr>
        <w:t>11.</w:t>
      </w:r>
      <w:r>
        <w:t xml:space="preserve"> </w:t>
      </w:r>
      <w:r>
        <w:rPr>
          <w:rFonts w:hint="eastAsia"/>
        </w:rPr>
        <w:t>响应保证金</w:t>
      </w:r>
      <w:bookmarkEnd w:id="71"/>
    </w:p>
    <w:p>
      <w:pPr>
        <w:ind w:firstLine="480"/>
      </w:pPr>
      <w:r>
        <w:rPr>
          <w:rFonts w:hint="eastAsia"/>
        </w:rPr>
        <w:t>11.1应提交</w:t>
      </w:r>
      <w:r>
        <w:rPr>
          <w:rFonts w:hint="eastAsia" w:ascii="宋体" w:hAnsi="宋体" w:cs="Arial"/>
          <w:kern w:val="0"/>
          <w:szCs w:val="24"/>
        </w:rPr>
        <w:t>供应商</w:t>
      </w:r>
      <w:r>
        <w:rPr>
          <w:rFonts w:hint="eastAsia"/>
        </w:rPr>
        <w:t>须知前附表中规定数额和形式的响应保证金，作为其响应文件的一部分，响应保证金的有效期应满足采购有效期的要求。</w:t>
      </w:r>
    </w:p>
    <w:p>
      <w:pPr>
        <w:ind w:firstLine="480"/>
      </w:pPr>
      <w:r>
        <w:rPr>
          <w:rFonts w:hint="eastAsia"/>
        </w:rPr>
        <w:t>11.2</w:t>
      </w:r>
      <w:r>
        <w:t xml:space="preserve"> </w:t>
      </w:r>
      <w:r>
        <w:rPr>
          <w:rFonts w:hint="eastAsia"/>
        </w:rPr>
        <w:t>任何未按第11.1款规定提交响应保证金的，将被视为非实质性响应采购文件而予以拒绝。</w:t>
      </w:r>
    </w:p>
    <w:p>
      <w:pPr>
        <w:ind w:firstLine="480"/>
      </w:pPr>
      <w:r>
        <w:rPr>
          <w:rFonts w:hint="eastAsia"/>
        </w:rPr>
        <w:t>11.3 发生下列情况之一，响应保证金可不予退还：</w:t>
      </w:r>
    </w:p>
    <w:p>
      <w:pPr>
        <w:ind w:firstLine="480"/>
      </w:pPr>
      <w:r>
        <w:rPr>
          <w:rFonts w:hint="eastAsia"/>
        </w:rPr>
        <w:t>（1）</w:t>
      </w:r>
      <w:r>
        <w:rPr>
          <w:rFonts w:hint="eastAsia" w:ascii="宋体" w:hAnsi="宋体" w:cs="Arial"/>
          <w:kern w:val="0"/>
          <w:szCs w:val="24"/>
        </w:rPr>
        <w:t>供应商</w:t>
      </w:r>
      <w:r>
        <w:rPr>
          <w:rFonts w:hint="eastAsia"/>
        </w:rPr>
        <w:t>在采购有效期内撤回其响应文件；</w:t>
      </w:r>
    </w:p>
    <w:p>
      <w:pPr>
        <w:ind w:firstLine="480"/>
      </w:pPr>
      <w:r>
        <w:rPr>
          <w:rFonts w:hint="eastAsia"/>
        </w:rPr>
        <w:t>（2）</w:t>
      </w:r>
      <w:r>
        <w:rPr>
          <w:rFonts w:hint="eastAsia" w:ascii="宋体" w:hAnsi="宋体" w:cs="Arial"/>
          <w:kern w:val="0"/>
          <w:szCs w:val="24"/>
        </w:rPr>
        <w:t>供应商</w:t>
      </w:r>
      <w:r>
        <w:rPr>
          <w:rFonts w:hint="eastAsia"/>
        </w:rPr>
        <w:t>被通知成交后，拒绝签订合同（即不按成交时规定的技术服务方案、价格等签订合同）或没有按照要求提交履约担保。</w:t>
      </w:r>
    </w:p>
    <w:p>
      <w:pPr>
        <w:ind w:firstLine="480"/>
      </w:pPr>
      <w:r>
        <w:rPr>
          <w:rFonts w:hint="eastAsia"/>
        </w:rPr>
        <w:t>11.4</w:t>
      </w:r>
      <w:r>
        <w:t xml:space="preserve"> </w:t>
      </w:r>
      <w:r>
        <w:rPr>
          <w:rFonts w:hint="eastAsia"/>
        </w:rPr>
        <w:t>响应保证金的退还</w:t>
      </w:r>
    </w:p>
    <w:p>
      <w:pPr>
        <w:ind w:firstLine="480"/>
      </w:pPr>
      <w:r>
        <w:rPr>
          <w:rFonts w:hint="eastAsia"/>
        </w:rPr>
        <w:t>成交人与采购人签订合同后5日内，采购人/采购代理单位向成交人退还扣除代理服务费后的剩余保证金，同时退还未成交供应商响应保证金。</w:t>
      </w:r>
    </w:p>
    <w:p>
      <w:pPr>
        <w:pStyle w:val="3"/>
        <w:spacing w:before="120"/>
      </w:pPr>
      <w:bookmarkStart w:id="72" w:name="_Toc1032372"/>
      <w:r>
        <w:rPr>
          <w:rFonts w:hint="eastAsia"/>
        </w:rPr>
        <w:t>12.</w:t>
      </w:r>
      <w:r>
        <w:t xml:space="preserve"> </w:t>
      </w:r>
      <w:r>
        <w:rPr>
          <w:rFonts w:hint="eastAsia"/>
        </w:rPr>
        <w:t>采购有效期</w:t>
      </w:r>
      <w:bookmarkEnd w:id="72"/>
    </w:p>
    <w:p>
      <w:pPr>
        <w:ind w:firstLine="480"/>
      </w:pPr>
      <w:r>
        <w:rPr>
          <w:rFonts w:hint="eastAsia"/>
        </w:rPr>
        <w:t>12.1 采购有效期自本采购文件规定的响应文件递交截止时间起生效，并在供应商须知前附表中规定采购有效期内保持有效。竞争性谈判有效期短于这个规定期限的响应文件将被视为非实质性响应而予以拒绝。</w:t>
      </w:r>
    </w:p>
    <w:p>
      <w:pPr>
        <w:ind w:firstLine="480"/>
      </w:pPr>
      <w:r>
        <w:rPr>
          <w:rFonts w:hint="eastAsia"/>
        </w:rPr>
        <w:t>12.2</w:t>
      </w:r>
      <w:r>
        <w:t xml:space="preserve"> </w:t>
      </w:r>
      <w:r>
        <w:rPr>
          <w:rFonts w:hint="eastAsia"/>
        </w:rPr>
        <w:t>采购人可于采购有效期截止之前要求供应商同意延长有效期。供应商应在规定的时间内以书面答复表示同意，并相应延长响应保证金有效期，此时供应商不能对响应文件进行任何修改；供应商若不同意延长采购有效期，则应在规定的时间内以书面形式给予明确答复，此时供应商被视为自动退出竞争性谈判，响应保证金予以全额退还。在这种情况下，本须知中有关退还和不予退还响应保证金的规定将在延长后的采购有效期内继续有效。</w:t>
      </w:r>
    </w:p>
    <w:p>
      <w:pPr>
        <w:pStyle w:val="3"/>
        <w:spacing w:before="120"/>
      </w:pPr>
      <w:bookmarkStart w:id="73" w:name="_Toc1032373"/>
      <w:r>
        <w:rPr>
          <w:rFonts w:hint="eastAsia"/>
        </w:rPr>
        <w:t>13.</w:t>
      </w:r>
      <w:r>
        <w:t xml:space="preserve"> </w:t>
      </w:r>
      <w:r>
        <w:rPr>
          <w:rFonts w:hint="eastAsia"/>
        </w:rPr>
        <w:t>响应文件递交截止时间及地点</w:t>
      </w:r>
      <w:bookmarkEnd w:id="73"/>
    </w:p>
    <w:p>
      <w:pPr>
        <w:ind w:firstLine="480"/>
      </w:pPr>
      <w:r>
        <w:rPr>
          <w:rFonts w:hint="eastAsia"/>
        </w:rPr>
        <w:t>13.1供应商应在不迟于供应商须知前附表中规定的响应文件递交截止时间前将响应文件递交至电子商务平台。</w:t>
      </w:r>
    </w:p>
    <w:p>
      <w:pPr>
        <w:ind w:firstLine="480"/>
      </w:pPr>
      <w:r>
        <w:rPr>
          <w:rFonts w:hint="eastAsia"/>
        </w:rPr>
        <w:t>13.2 采购人将拒绝接受供应商须知前附表规定的响应文件递交截止时间后收到的任何响应文件。</w:t>
      </w:r>
    </w:p>
    <w:p>
      <w:pPr>
        <w:pStyle w:val="3"/>
        <w:spacing w:before="120"/>
      </w:pPr>
      <w:bookmarkStart w:id="74" w:name="_Toc1032374"/>
      <w:r>
        <w:rPr>
          <w:rFonts w:hint="eastAsia"/>
        </w:rPr>
        <w:t>14.</w:t>
      </w:r>
      <w:r>
        <w:t xml:space="preserve"> </w:t>
      </w:r>
      <w:r>
        <w:rPr>
          <w:rFonts w:hint="eastAsia"/>
        </w:rPr>
        <w:t>响应文件的修改和撤销</w:t>
      </w:r>
      <w:bookmarkEnd w:id="74"/>
    </w:p>
    <w:p>
      <w:pPr>
        <w:ind w:firstLine="480"/>
        <w:rPr>
          <w:kern w:val="0"/>
        </w:rPr>
      </w:pPr>
      <w:r>
        <w:rPr>
          <w:rFonts w:hint="eastAsia"/>
          <w:kern w:val="0"/>
        </w:rPr>
        <w:t xml:space="preserve">14.1 </w:t>
      </w:r>
      <w:r>
        <w:rPr>
          <w:rFonts w:hint="eastAsia"/>
        </w:rPr>
        <w:t>供应商在递交响应文件后，可以在规定的响应文件递交截止时间之前修改或撤回其响应文件</w:t>
      </w:r>
      <w:r>
        <w:rPr>
          <w:rFonts w:hint="eastAsia"/>
          <w:kern w:val="0"/>
        </w:rPr>
        <w:t>。</w:t>
      </w:r>
    </w:p>
    <w:p>
      <w:pPr>
        <w:ind w:firstLine="480"/>
        <w:rPr>
          <w:kern w:val="0"/>
        </w:rPr>
      </w:pPr>
      <w:r>
        <w:rPr>
          <w:rFonts w:hint="eastAsia"/>
          <w:kern w:val="0"/>
        </w:rPr>
        <w:t>14.2</w:t>
      </w:r>
      <w:r>
        <w:rPr>
          <w:kern w:val="0"/>
        </w:rPr>
        <w:t xml:space="preserve"> </w:t>
      </w:r>
      <w:r>
        <w:rPr>
          <w:rFonts w:hint="eastAsia"/>
        </w:rPr>
        <w:t>供应商不得在采购有效期内撤销响应文件</w:t>
      </w:r>
      <w:r>
        <w:rPr>
          <w:rFonts w:hint="eastAsia"/>
          <w:kern w:val="0"/>
        </w:rPr>
        <w:t>。</w:t>
      </w:r>
    </w:p>
    <w:p>
      <w:pPr>
        <w:pStyle w:val="3"/>
        <w:spacing w:before="120"/>
      </w:pPr>
      <w:bookmarkStart w:id="75" w:name="_Toc1032375"/>
      <w:r>
        <w:rPr>
          <w:rFonts w:hint="eastAsia"/>
        </w:rPr>
        <w:t>15. 询价小组</w:t>
      </w:r>
      <w:bookmarkEnd w:id="75"/>
    </w:p>
    <w:p>
      <w:pPr>
        <w:ind w:firstLine="480"/>
      </w:pPr>
      <w:r>
        <w:rPr>
          <w:rFonts w:hint="eastAsia" w:cs="Arial"/>
        </w:rPr>
        <w:t xml:space="preserve">15.1 </w:t>
      </w:r>
      <w:r>
        <w:rPr>
          <w:rFonts w:hint="eastAsia"/>
        </w:rPr>
        <w:t>采购人将按照《中国华能集团有限公司非招标采购管理办法》及有关法律、法规的规定组建询价小组。</w:t>
      </w:r>
    </w:p>
    <w:p>
      <w:pPr>
        <w:ind w:firstLine="480"/>
      </w:pPr>
      <w:r>
        <w:rPr>
          <w:rFonts w:hint="eastAsia"/>
        </w:rPr>
        <w:t>15.2 询价小组负责评审工作，根据采购文件的要求对响应文件进行审查、质疑、评估和比较，出具评审报告，推荐成交供应商。</w:t>
      </w:r>
    </w:p>
    <w:p>
      <w:pPr>
        <w:pStyle w:val="3"/>
        <w:spacing w:before="120"/>
      </w:pPr>
      <w:bookmarkStart w:id="76" w:name="_Toc1032376"/>
      <w:r>
        <w:rPr>
          <w:rFonts w:hint="eastAsia"/>
        </w:rPr>
        <w:t>16.</w:t>
      </w:r>
      <w:r>
        <w:t xml:space="preserve"> </w:t>
      </w:r>
      <w:r>
        <w:rPr>
          <w:rFonts w:hint="eastAsia"/>
        </w:rPr>
        <w:t>开启响应文件</w:t>
      </w:r>
      <w:bookmarkEnd w:id="76"/>
    </w:p>
    <w:p>
      <w:pPr>
        <w:ind w:firstLine="480"/>
      </w:pPr>
      <w:r>
        <w:rPr>
          <w:rFonts w:hint="eastAsia"/>
        </w:rPr>
        <w:t>16.1 在供应商须知前附表规定的时间开启响应文件。</w:t>
      </w:r>
    </w:p>
    <w:p>
      <w:pPr>
        <w:ind w:firstLine="480"/>
      </w:pPr>
      <w:r>
        <w:rPr>
          <w:rFonts w:hint="eastAsia"/>
        </w:rPr>
        <w:t>16.2</w:t>
      </w:r>
      <w:r>
        <w:t xml:space="preserve"> </w:t>
      </w:r>
      <w:r>
        <w:rPr>
          <w:rFonts w:hint="eastAsia"/>
        </w:rPr>
        <w:t>供应商须根据供应商须知前附表规定的谈判时间及地点参加谈判。</w:t>
      </w:r>
    </w:p>
    <w:p>
      <w:pPr>
        <w:pStyle w:val="3"/>
        <w:spacing w:before="120"/>
      </w:pPr>
      <w:bookmarkStart w:id="77" w:name="_Toc1032377"/>
      <w:r>
        <w:rPr>
          <w:rFonts w:hint="eastAsia"/>
        </w:rPr>
        <w:t>17.</w:t>
      </w:r>
      <w:r>
        <w:t xml:space="preserve"> </w:t>
      </w:r>
      <w:r>
        <w:rPr>
          <w:rFonts w:hint="eastAsia"/>
        </w:rPr>
        <w:t>评审方法</w:t>
      </w:r>
      <w:bookmarkEnd w:id="77"/>
    </w:p>
    <w:p>
      <w:pPr>
        <w:ind w:firstLine="480"/>
      </w:pPr>
      <w:r>
        <w:rPr>
          <w:rFonts w:hint="eastAsia"/>
        </w:rPr>
        <w:t>评审将严格按照采购文件第三章规定的评审标准和办法及国家有关法律、法规的要求进行。</w:t>
      </w:r>
    </w:p>
    <w:p>
      <w:pPr>
        <w:pStyle w:val="3"/>
        <w:spacing w:before="120"/>
      </w:pPr>
      <w:bookmarkStart w:id="78" w:name="_Toc1032378"/>
      <w:r>
        <w:rPr>
          <w:rFonts w:hint="eastAsia"/>
        </w:rPr>
        <w:t>18.</w:t>
      </w:r>
      <w:r>
        <w:t xml:space="preserve"> </w:t>
      </w:r>
      <w:r>
        <w:rPr>
          <w:rFonts w:hint="eastAsia"/>
        </w:rPr>
        <w:t>确定成交供应商</w:t>
      </w:r>
      <w:bookmarkEnd w:id="78"/>
    </w:p>
    <w:p>
      <w:pPr>
        <w:ind w:firstLine="480"/>
      </w:pPr>
      <w:r>
        <w:rPr>
          <w:rFonts w:hint="eastAsia"/>
        </w:rPr>
        <w:t>采购人按询价小组推荐的成交供应商名单确定成交供应商。</w:t>
      </w:r>
    </w:p>
    <w:p>
      <w:pPr>
        <w:pStyle w:val="3"/>
        <w:spacing w:before="120"/>
      </w:pPr>
      <w:bookmarkStart w:id="79" w:name="_Toc1032379"/>
      <w:r>
        <w:rPr>
          <w:rFonts w:hint="eastAsia"/>
        </w:rPr>
        <w:t>19.</w:t>
      </w:r>
      <w:r>
        <w:t xml:space="preserve"> </w:t>
      </w:r>
      <w:r>
        <w:rPr>
          <w:rFonts w:hint="eastAsia"/>
        </w:rPr>
        <w:t>采购结果公告</w:t>
      </w:r>
      <w:bookmarkEnd w:id="79"/>
    </w:p>
    <w:p>
      <w:pPr>
        <w:ind w:firstLine="480"/>
      </w:pPr>
      <w:r>
        <w:rPr>
          <w:rFonts w:hint="eastAsia"/>
        </w:rPr>
        <w:t>采购人确定成交供应商，询价采购结果在电子商务平台进行公告。</w:t>
      </w:r>
    </w:p>
    <w:p>
      <w:pPr>
        <w:pStyle w:val="3"/>
        <w:spacing w:before="120"/>
      </w:pPr>
      <w:bookmarkStart w:id="80" w:name="_Toc1032380"/>
      <w:r>
        <w:rPr>
          <w:rFonts w:hint="eastAsia"/>
        </w:rPr>
        <w:t>20. 成交通知</w:t>
      </w:r>
      <w:bookmarkEnd w:id="80"/>
    </w:p>
    <w:p>
      <w:pPr>
        <w:ind w:firstLine="480"/>
      </w:pPr>
      <w:r>
        <w:rPr>
          <w:rFonts w:hint="eastAsia"/>
        </w:rPr>
        <w:t>20.1 采购人向成交人发出《成交通知书》，同时通知所有未成交的供应商。</w:t>
      </w:r>
    </w:p>
    <w:p>
      <w:pPr>
        <w:ind w:firstLine="480"/>
      </w:pPr>
      <w:r>
        <w:rPr>
          <w:rFonts w:hint="eastAsia"/>
        </w:rPr>
        <w:t xml:space="preserve">20.2 《成交通知书》将构成合同的组成部分。                </w:t>
      </w:r>
    </w:p>
    <w:p>
      <w:pPr>
        <w:pStyle w:val="3"/>
        <w:spacing w:before="120"/>
      </w:pPr>
      <w:bookmarkStart w:id="81" w:name="_Toc1032381"/>
      <w:r>
        <w:rPr>
          <w:rFonts w:hint="eastAsia"/>
        </w:rPr>
        <w:t>21. 签订合同</w:t>
      </w:r>
      <w:bookmarkEnd w:id="81"/>
    </w:p>
    <w:p>
      <w:pPr>
        <w:ind w:firstLine="480"/>
      </w:pPr>
      <w:r>
        <w:rPr>
          <w:rFonts w:hint="eastAsia"/>
        </w:rPr>
        <w:t>21.1 成交供应商在接到《成交通知书》后，必须在规定的时间内派法定代表人或其授权人到指定地点按谈判双方最终确认的合同条款与采购人签订合同。</w:t>
      </w:r>
    </w:p>
    <w:p>
      <w:pPr>
        <w:ind w:firstLine="480"/>
      </w:pPr>
      <w:r>
        <w:rPr>
          <w:rFonts w:hint="eastAsia"/>
        </w:rPr>
        <w:t>21.2 采购文件、成交供应商的响应文件及评审过程中的有关澄清文件均为签订合同的依据。</w:t>
      </w:r>
    </w:p>
    <w:p>
      <w:pPr>
        <w:ind w:firstLine="480"/>
      </w:pPr>
      <w:r>
        <w:rPr>
          <w:rFonts w:hint="eastAsia"/>
        </w:rPr>
        <w:t>21.3 采购文件中要求成交人提交履约担保的，成交供应商应在合同规定的时间前根据供应商须知前附表的要求向采购人提交履约担保。</w:t>
      </w:r>
    </w:p>
    <w:p>
      <w:pPr>
        <w:pStyle w:val="3"/>
        <w:spacing w:before="120"/>
      </w:pPr>
      <w:bookmarkStart w:id="82" w:name="_Toc1032382"/>
      <w:r>
        <w:rPr>
          <w:rFonts w:hint="eastAsia"/>
        </w:rPr>
        <w:t>22. 其他需要补充的内容</w:t>
      </w:r>
      <w:bookmarkEnd w:id="82"/>
    </w:p>
    <w:p>
      <w:pPr>
        <w:ind w:firstLine="480"/>
        <w:rPr>
          <w:rFonts w:ascii="宋体" w:hAnsi="宋体" w:cs="Arial"/>
          <w:kern w:val="0"/>
          <w:szCs w:val="24"/>
        </w:rPr>
      </w:pPr>
      <w:bookmarkStart w:id="83" w:name="_Toc527445394"/>
    </w:p>
    <w:p>
      <w:pPr>
        <w:pStyle w:val="41"/>
        <w:spacing w:before="120"/>
        <w:sectPr>
          <w:headerReference r:id="rId11" w:type="first"/>
          <w:headerReference r:id="rId9" w:type="default"/>
          <w:footerReference r:id="rId12" w:type="default"/>
          <w:headerReference r:id="rId10" w:type="even"/>
          <w:pgSz w:w="11907" w:h="16839"/>
          <w:pgMar w:top="1797" w:right="1440" w:bottom="1797" w:left="1440" w:header="1135" w:footer="992" w:gutter="0"/>
          <w:pgBorders>
            <w:top w:val="none" w:sz="0" w:space="0"/>
            <w:left w:val="none" w:sz="0" w:space="0"/>
            <w:bottom w:val="none" w:sz="0" w:space="0"/>
            <w:right w:val="none" w:sz="0" w:space="0"/>
          </w:pgBorders>
          <w:cols w:space="720" w:num="1"/>
          <w:docGrid w:linePitch="326" w:charSpace="0"/>
        </w:sectPr>
      </w:pPr>
      <w:bookmarkStart w:id="84" w:name="_Toc1032383"/>
    </w:p>
    <w:p>
      <w:pPr>
        <w:pStyle w:val="41"/>
        <w:spacing w:before="120"/>
        <w:rPr>
          <w:b/>
          <w:bCs/>
        </w:rPr>
      </w:pPr>
      <w:r>
        <w:rPr>
          <w:rFonts w:hint="eastAsia"/>
          <w:b/>
          <w:bCs/>
        </w:rPr>
        <w:t>第三章 评审办法</w:t>
      </w:r>
      <w:bookmarkEnd w:id="83"/>
      <w:bookmarkEnd w:id="84"/>
    </w:p>
    <w:p>
      <w:pPr>
        <w:pStyle w:val="3"/>
        <w:spacing w:before="120"/>
      </w:pPr>
      <w:bookmarkStart w:id="85" w:name="_Toc1032384"/>
      <w:r>
        <w:rPr>
          <w:rFonts w:hint="eastAsia"/>
        </w:rPr>
        <w:t>一、总则</w:t>
      </w:r>
      <w:bookmarkEnd w:id="85"/>
    </w:p>
    <w:p>
      <w:pPr>
        <w:ind w:firstLine="480"/>
      </w:pPr>
      <w:r>
        <w:rPr>
          <w:rFonts w:hint="eastAsia"/>
        </w:rPr>
        <w:t>1.评审依据</w:t>
      </w:r>
    </w:p>
    <w:p>
      <w:pPr>
        <w:ind w:firstLine="480"/>
      </w:pPr>
      <w:r>
        <w:rPr>
          <w:rFonts w:hint="eastAsia"/>
        </w:rPr>
        <w:t>1.1</w:t>
      </w:r>
      <w:r>
        <w:rPr>
          <w:rFonts w:hint="eastAsia"/>
          <w:kern w:val="0"/>
        </w:rPr>
        <w:t>《中国华能集团有限公司非招标采购管理办法》</w:t>
      </w:r>
      <w:r>
        <w:rPr>
          <w:rFonts w:hint="eastAsia"/>
        </w:rPr>
        <w:t>及相关法律法规；</w:t>
      </w:r>
    </w:p>
    <w:p>
      <w:pPr>
        <w:ind w:firstLine="480"/>
      </w:pPr>
      <w:r>
        <w:rPr>
          <w:rFonts w:hint="eastAsia"/>
        </w:rPr>
        <w:t>1.2采购文件及其有效的补充文件。</w:t>
      </w:r>
    </w:p>
    <w:p>
      <w:pPr>
        <w:ind w:firstLine="480"/>
      </w:pPr>
      <w:r>
        <w:rPr>
          <w:rFonts w:hint="eastAsia"/>
        </w:rPr>
        <w:t>2.评审原则</w:t>
      </w:r>
    </w:p>
    <w:p>
      <w:pPr>
        <w:ind w:firstLine="480"/>
      </w:pPr>
      <w:r>
        <w:rPr>
          <w:rFonts w:hint="eastAsia"/>
        </w:rPr>
        <w:t>评审活动遵循“公平、公正、科学、择优”的原则。</w:t>
      </w:r>
    </w:p>
    <w:p>
      <w:pPr>
        <w:pStyle w:val="3"/>
        <w:spacing w:before="120"/>
      </w:pPr>
      <w:bookmarkStart w:id="86" w:name="_Toc1032385"/>
      <w:r>
        <w:rPr>
          <w:rFonts w:hint="eastAsia"/>
        </w:rPr>
        <w:t>二、评审方法</w:t>
      </w:r>
      <w:bookmarkEnd w:id="86"/>
    </w:p>
    <w:p>
      <w:pPr>
        <w:ind w:firstLine="480"/>
      </w:pPr>
      <w:r>
        <w:rPr>
          <w:rFonts w:hint="eastAsia"/>
        </w:rPr>
        <w:t>本项目采用经评审的最低价法。</w:t>
      </w:r>
    </w:p>
    <w:p>
      <w:pPr>
        <w:pStyle w:val="3"/>
        <w:spacing w:before="120"/>
      </w:pPr>
      <w:bookmarkStart w:id="87" w:name="_Toc1032386"/>
      <w:bookmarkStart w:id="88" w:name="_Toc49019224"/>
      <w:bookmarkStart w:id="89" w:name="_Toc47415931"/>
      <w:bookmarkStart w:id="90" w:name="_Toc47416185"/>
      <w:r>
        <w:rPr>
          <w:rFonts w:hint="eastAsia"/>
        </w:rPr>
        <w:t>三、评审程序</w:t>
      </w:r>
      <w:bookmarkEnd w:id="87"/>
    </w:p>
    <w:p>
      <w:pPr>
        <w:ind w:firstLine="480"/>
      </w:pPr>
      <w:r>
        <w:rPr>
          <w:rFonts w:hint="eastAsia"/>
        </w:rPr>
        <w:t>询价小组评审包括初步评审和详细评审两部分。</w:t>
      </w:r>
    </w:p>
    <w:p>
      <w:pPr>
        <w:ind w:firstLine="480"/>
      </w:pPr>
      <w:r>
        <w:rPr>
          <w:rFonts w:hint="eastAsia"/>
        </w:rPr>
        <w:t>1.</w:t>
      </w:r>
      <w:r>
        <w:t xml:space="preserve"> </w:t>
      </w:r>
      <w:r>
        <w:rPr>
          <w:rFonts w:hint="eastAsia"/>
        </w:rPr>
        <w:t>初步评审</w:t>
      </w:r>
    </w:p>
    <w:p>
      <w:pPr>
        <w:ind w:firstLine="480"/>
      </w:pPr>
      <w:r>
        <w:rPr>
          <w:rFonts w:hint="eastAsia"/>
        </w:rPr>
        <w:t>询价小组对响应文件进行初步评审，评审内容如下：</w:t>
      </w:r>
    </w:p>
    <w:p>
      <w:pPr>
        <w:ind w:firstLine="480"/>
      </w:pPr>
      <w:r>
        <w:rPr>
          <w:rFonts w:hint="eastAsia"/>
        </w:rPr>
        <w:t>1</w:t>
      </w:r>
      <w:r>
        <w:t xml:space="preserve">.1 </w:t>
      </w:r>
      <w:r>
        <w:rPr>
          <w:rFonts w:hint="eastAsia"/>
        </w:rPr>
        <w:t xml:space="preserve">供应商资格条件不满足采购文件要求； </w:t>
      </w:r>
    </w:p>
    <w:p>
      <w:pPr>
        <w:ind w:firstLine="480"/>
      </w:pPr>
      <w:r>
        <w:rPr>
          <w:rFonts w:hint="eastAsia"/>
        </w:rPr>
        <w:t>1</w:t>
      </w:r>
      <w:r>
        <w:t xml:space="preserve">.2 </w:t>
      </w:r>
      <w:r>
        <w:rPr>
          <w:rFonts w:hint="eastAsia"/>
        </w:rPr>
        <w:t xml:space="preserve">供应商未按采购文件要求提交响应保证金或金额不足（如有）； </w:t>
      </w:r>
    </w:p>
    <w:p>
      <w:pPr>
        <w:ind w:firstLine="480"/>
      </w:pPr>
      <w:r>
        <w:rPr>
          <w:rFonts w:hint="eastAsia"/>
        </w:rPr>
        <w:t>1</w:t>
      </w:r>
      <w:r>
        <w:t xml:space="preserve">.3 </w:t>
      </w:r>
      <w:r>
        <w:rPr>
          <w:rFonts w:hint="eastAsia"/>
        </w:rPr>
        <w:t>响应文件附有采购人不能接受的条件；</w:t>
      </w:r>
    </w:p>
    <w:p>
      <w:pPr>
        <w:ind w:firstLine="480"/>
      </w:pPr>
      <w:r>
        <w:rPr>
          <w:rFonts w:hint="eastAsia"/>
        </w:rPr>
        <w:t>1</w:t>
      </w:r>
      <w:r>
        <w:t xml:space="preserve">.4 </w:t>
      </w:r>
      <w:r>
        <w:rPr>
          <w:rFonts w:hint="eastAsia"/>
        </w:rPr>
        <w:t>供应商报价超出最高限价（如有）；</w:t>
      </w:r>
    </w:p>
    <w:p>
      <w:pPr>
        <w:ind w:firstLine="480"/>
      </w:pPr>
      <w:r>
        <w:rPr>
          <w:rFonts w:hint="eastAsia"/>
        </w:rPr>
        <w:t>1</w:t>
      </w:r>
      <w:r>
        <w:t xml:space="preserve">.5 </w:t>
      </w:r>
      <w:r>
        <w:rPr>
          <w:rFonts w:hint="eastAsia"/>
        </w:rPr>
        <w:t>国家相关法规规定的其它否决条款。</w:t>
      </w:r>
    </w:p>
    <w:p>
      <w:pPr>
        <w:ind w:firstLine="480"/>
      </w:pPr>
      <w:r>
        <w:rPr>
          <w:rFonts w:hint="eastAsia"/>
        </w:rPr>
        <w:t>如发生上述条款中的任何一项，初步审查将视为不合格，供应商只有通过初步评审，才能进入详细评审。</w:t>
      </w:r>
    </w:p>
    <w:p>
      <w:pPr>
        <w:ind w:firstLine="480"/>
      </w:pPr>
      <w:r>
        <w:rPr>
          <w:rFonts w:hint="eastAsia"/>
        </w:rPr>
        <w:t>2.</w:t>
      </w:r>
      <w:r>
        <w:t xml:space="preserve"> </w:t>
      </w:r>
      <w:r>
        <w:rPr>
          <w:rFonts w:hint="eastAsia"/>
        </w:rPr>
        <w:t>详细评审：详细评审包括商务、技术和价格评审。</w:t>
      </w:r>
    </w:p>
    <w:p>
      <w:pPr>
        <w:ind w:firstLine="480"/>
      </w:pPr>
      <w:r>
        <w:rPr>
          <w:rFonts w:hint="eastAsia"/>
        </w:rPr>
        <w:t>2.1</w:t>
      </w:r>
      <w:r>
        <w:t xml:space="preserve"> </w:t>
      </w:r>
      <w:r>
        <w:rPr>
          <w:rFonts w:hint="eastAsia"/>
        </w:rPr>
        <w:t>商务评审，是否实质上响应了采购文件的要求，主要包括资格条件、交货时间、付款条件等。</w:t>
      </w:r>
    </w:p>
    <w:p>
      <w:pPr>
        <w:ind w:firstLine="480"/>
      </w:pPr>
      <w:r>
        <w:rPr>
          <w:rFonts w:hint="eastAsia"/>
        </w:rPr>
        <w:t>2.2</w:t>
      </w:r>
      <w:r>
        <w:t xml:space="preserve"> </w:t>
      </w:r>
      <w:r>
        <w:rPr>
          <w:rFonts w:hint="eastAsia"/>
        </w:rPr>
        <w:t>技术评审，是否实质上响应了采购文件的要求；主要包括采购需求是否符合要求。</w:t>
      </w:r>
    </w:p>
    <w:p>
      <w:pPr>
        <w:ind w:firstLine="480"/>
      </w:pPr>
      <w:r>
        <w:rPr>
          <w:rFonts w:hint="eastAsia"/>
        </w:rPr>
        <w:t>2.3</w:t>
      </w:r>
      <w:r>
        <w:t xml:space="preserve"> </w:t>
      </w:r>
      <w:r>
        <w:rPr>
          <w:rFonts w:hint="eastAsia"/>
        </w:rPr>
        <w:t>报价评审，询价小组对供应商的报价文件进行比较。询价小组不得同某一供应商就其报价进行谈判。</w:t>
      </w:r>
    </w:p>
    <w:p>
      <w:pPr>
        <w:ind w:firstLine="480"/>
      </w:pPr>
      <w:r>
        <w:rPr>
          <w:rFonts w:hint="eastAsia"/>
        </w:rPr>
        <w:t>如详细评审阶段，商务和技术评审中有一项不通过，将视为否决供应商投标。不再进入后续评审。</w:t>
      </w:r>
    </w:p>
    <w:p>
      <w:pPr>
        <w:ind w:firstLine="480"/>
      </w:pPr>
      <w:r>
        <w:t xml:space="preserve">3. </w:t>
      </w:r>
      <w:r>
        <w:rPr>
          <w:rFonts w:hint="eastAsia"/>
        </w:rPr>
        <w:t>评审</w:t>
      </w:r>
      <w:r>
        <w:t>报告</w:t>
      </w:r>
    </w:p>
    <w:p>
      <w:pPr>
        <w:ind w:firstLine="480"/>
        <w:rPr>
          <w:rFonts w:ascii="宋体" w:hAnsi="宋体"/>
          <w:szCs w:val="24"/>
        </w:rPr>
      </w:pPr>
      <w:r>
        <w:rPr>
          <w:rFonts w:ascii="宋体" w:hAnsi="宋体"/>
          <w:szCs w:val="24"/>
        </w:rPr>
        <w:t>3</w:t>
      </w:r>
      <w:r>
        <w:rPr>
          <w:rFonts w:hint="eastAsia" w:ascii="宋体" w:hAnsi="宋体"/>
          <w:szCs w:val="24"/>
        </w:rPr>
        <w:t>.1</w:t>
      </w:r>
      <w:r>
        <w:rPr>
          <w:rFonts w:ascii="宋体" w:hAnsi="宋体"/>
          <w:szCs w:val="24"/>
        </w:rPr>
        <w:t xml:space="preserve"> </w:t>
      </w:r>
      <w:r>
        <w:rPr>
          <w:rFonts w:hint="eastAsia" w:ascii="宋体" w:hAnsi="宋体"/>
          <w:szCs w:val="24"/>
        </w:rPr>
        <w:t>在评审各阶段的结论，如评委有不同意见，按少数服从多数的原则得出最终评审结论。</w:t>
      </w:r>
    </w:p>
    <w:p>
      <w:pPr>
        <w:ind w:firstLine="480"/>
      </w:pPr>
      <w:r>
        <w:rPr>
          <w:rFonts w:ascii="宋体" w:hAnsi="宋体"/>
          <w:szCs w:val="24"/>
        </w:rPr>
        <w:t>3</w:t>
      </w:r>
      <w:r>
        <w:rPr>
          <w:rFonts w:hint="eastAsia" w:ascii="宋体" w:hAnsi="宋体"/>
          <w:szCs w:val="24"/>
        </w:rPr>
        <w:t>.2</w:t>
      </w:r>
      <w:r>
        <w:rPr>
          <w:rFonts w:ascii="宋体" w:hAnsi="宋体"/>
          <w:szCs w:val="24"/>
        </w:rPr>
        <w:t xml:space="preserve"> </w:t>
      </w:r>
      <w:r>
        <w:rPr>
          <w:rFonts w:hint="eastAsia" w:ascii="宋体" w:hAnsi="宋体"/>
          <w:szCs w:val="24"/>
        </w:rPr>
        <w:t>询价小组</w:t>
      </w:r>
      <w:r>
        <w:rPr>
          <w:rFonts w:ascii="宋体" w:hAnsi="宋体"/>
          <w:szCs w:val="24"/>
        </w:rPr>
        <w:t>完成</w:t>
      </w:r>
      <w:r>
        <w:rPr>
          <w:rFonts w:hint="eastAsia" w:ascii="宋体" w:hAnsi="宋体"/>
          <w:szCs w:val="24"/>
        </w:rPr>
        <w:t>评审</w:t>
      </w:r>
      <w:r>
        <w:rPr>
          <w:rFonts w:ascii="宋体" w:hAnsi="宋体"/>
          <w:szCs w:val="24"/>
        </w:rPr>
        <w:t>工作后，向</w:t>
      </w:r>
      <w:r>
        <w:rPr>
          <w:rFonts w:hint="eastAsia" w:ascii="宋体" w:hAnsi="宋体"/>
          <w:szCs w:val="24"/>
        </w:rPr>
        <w:t>采购人</w:t>
      </w:r>
      <w:r>
        <w:rPr>
          <w:rFonts w:ascii="宋体" w:hAnsi="宋体"/>
          <w:szCs w:val="24"/>
        </w:rPr>
        <w:t>提出书面</w:t>
      </w:r>
      <w:r>
        <w:rPr>
          <w:rFonts w:hint="eastAsia" w:ascii="宋体" w:hAnsi="宋体"/>
          <w:szCs w:val="24"/>
        </w:rPr>
        <w:t>评审</w:t>
      </w:r>
      <w:r>
        <w:rPr>
          <w:rFonts w:ascii="宋体" w:hAnsi="宋体"/>
          <w:szCs w:val="24"/>
        </w:rPr>
        <w:t>报告。如果</w:t>
      </w:r>
      <w:r>
        <w:rPr>
          <w:rFonts w:hint="eastAsia" w:ascii="宋体" w:hAnsi="宋体"/>
          <w:szCs w:val="24"/>
        </w:rPr>
        <w:t>询价小组</w:t>
      </w:r>
      <w:r>
        <w:rPr>
          <w:rFonts w:ascii="宋体" w:hAnsi="宋体"/>
          <w:szCs w:val="24"/>
        </w:rPr>
        <w:t>成员对</w:t>
      </w:r>
      <w:r>
        <w:rPr>
          <w:rFonts w:hint="eastAsia" w:ascii="宋体" w:hAnsi="宋体"/>
          <w:szCs w:val="24"/>
        </w:rPr>
        <w:t>评审</w:t>
      </w:r>
      <w:r>
        <w:rPr>
          <w:rFonts w:ascii="宋体" w:hAnsi="宋体"/>
          <w:szCs w:val="24"/>
        </w:rPr>
        <w:t>报告有异议，可以书面方式阐述其不同意见和理由。</w:t>
      </w:r>
      <w:r>
        <w:rPr>
          <w:rFonts w:hint="eastAsia" w:ascii="宋体" w:hAnsi="宋体"/>
          <w:szCs w:val="24"/>
        </w:rPr>
        <w:t>询价小组</w:t>
      </w:r>
      <w:r>
        <w:rPr>
          <w:rFonts w:ascii="宋体" w:hAnsi="宋体"/>
          <w:szCs w:val="24"/>
        </w:rPr>
        <w:t>成员拒绝在</w:t>
      </w:r>
      <w:r>
        <w:rPr>
          <w:rFonts w:hint="eastAsia" w:ascii="宋体" w:hAnsi="宋体"/>
          <w:szCs w:val="24"/>
        </w:rPr>
        <w:t>评审</w:t>
      </w:r>
      <w:r>
        <w:rPr>
          <w:rFonts w:ascii="宋体" w:hAnsi="宋体"/>
          <w:szCs w:val="24"/>
        </w:rPr>
        <w:t>报告上签字且不陈述其不同意见和理由的，视为同意</w:t>
      </w:r>
      <w:r>
        <w:rPr>
          <w:rFonts w:hint="eastAsia" w:ascii="宋体" w:hAnsi="宋体"/>
          <w:szCs w:val="24"/>
        </w:rPr>
        <w:t>评审</w:t>
      </w:r>
      <w:r>
        <w:rPr>
          <w:rFonts w:ascii="宋体" w:hAnsi="宋体"/>
          <w:szCs w:val="24"/>
        </w:rPr>
        <w:t>报告，评标委员会应当对此做出书面说明，并记录在案。</w:t>
      </w:r>
    </w:p>
    <w:p>
      <w:pPr>
        <w:pStyle w:val="3"/>
        <w:spacing w:before="120"/>
      </w:pPr>
      <w:bookmarkStart w:id="91" w:name="_Toc1032387"/>
      <w:r>
        <w:rPr>
          <w:rFonts w:hint="eastAsia"/>
        </w:rPr>
        <w:t>四、推荐成交供应商</w:t>
      </w:r>
      <w:bookmarkEnd w:id="91"/>
    </w:p>
    <w:p>
      <w:pPr>
        <w:ind w:firstLine="480"/>
      </w:pPr>
      <w:r>
        <w:rPr>
          <w:rFonts w:hint="eastAsia"/>
        </w:rPr>
        <w:t xml:space="preserve">询价小组对经评审的响应文件按质量和服务满足采购文件要求且报价最低的原则，推荐成交供应商。若经评审的响应文件报价相同，按供应商业绩个数从多到少排序；若业绩仍相同，按供应商注册资本金从多到少排序。 </w:t>
      </w:r>
    </w:p>
    <w:p>
      <w:pPr>
        <w:ind w:firstLine="480"/>
      </w:pPr>
    </w:p>
    <w:bookmarkEnd w:id="88"/>
    <w:bookmarkEnd w:id="89"/>
    <w:bookmarkEnd w:id="90"/>
    <w:p>
      <w:pPr>
        <w:ind w:firstLine="640"/>
        <w:rPr>
          <w:rFonts w:ascii="宋体" w:hAnsi="宋体"/>
          <w:sz w:val="32"/>
          <w:szCs w:val="32"/>
        </w:rPr>
      </w:pPr>
      <w:bookmarkStart w:id="92" w:name="_Toc525134808"/>
    </w:p>
    <w:p>
      <w:pPr>
        <w:pStyle w:val="41"/>
        <w:spacing w:before="120"/>
        <w:rPr>
          <w:rFonts w:hint="eastAsia"/>
          <w:b/>
          <w:bCs/>
        </w:rPr>
      </w:pPr>
      <w:bookmarkStart w:id="93" w:name="_Toc1032388"/>
      <w:r>
        <w:rPr>
          <w:rFonts w:hint="eastAsia"/>
          <w:b/>
          <w:bCs/>
        </w:rPr>
        <w:t>第四章 合同</w:t>
      </w:r>
      <w:bookmarkEnd w:id="92"/>
      <w:r>
        <w:rPr>
          <w:rFonts w:hint="eastAsia"/>
          <w:b/>
          <w:bCs/>
        </w:rPr>
        <w:t>条款及格式</w:t>
      </w:r>
      <w:bookmarkEnd w:id="93"/>
    </w:p>
    <w:p>
      <w:pPr>
        <w:adjustRightInd/>
        <w:snapToGrid/>
        <w:spacing w:line="240" w:lineRule="auto"/>
        <w:ind w:left="-204" w:leftChars="-85" w:firstLine="120" w:firstLineChars="50"/>
        <w:jc w:val="center"/>
        <w:rPr>
          <w:rFonts w:ascii="宋体"/>
          <w:b/>
          <w:sz w:val="30"/>
          <w:szCs w:val="30"/>
        </w:rPr>
      </w:pPr>
      <w:r>
        <w:rPr>
          <w:rFonts w:hint="eastAsia"/>
          <w:szCs w:val="24"/>
          <w:highlight w:val="yellow"/>
        </w:rPr>
        <w:t xml:space="preserve"> </w:t>
      </w:r>
      <w:r>
        <w:rPr>
          <w:rFonts w:hint="eastAsia" w:ascii="宋体" w:hAnsi="宋体"/>
          <w:b/>
          <w:sz w:val="30"/>
          <w:szCs w:val="30"/>
        </w:rPr>
        <w:t>“</w:t>
      </w:r>
      <w:r>
        <w:rPr>
          <w:rFonts w:hint="eastAsia" w:ascii="宋体" w:hAnsi="宋体"/>
          <w:b/>
          <w:sz w:val="30"/>
          <w:szCs w:val="30"/>
          <w:u w:val="single"/>
        </w:rPr>
        <w:t xml:space="preserve">             </w:t>
      </w:r>
      <w:r>
        <w:rPr>
          <w:rFonts w:hint="eastAsia" w:ascii="宋体" w:hAnsi="宋体"/>
          <w:b/>
          <w:sz w:val="30"/>
          <w:szCs w:val="30"/>
        </w:rPr>
        <w:t>”采购合同</w:t>
      </w:r>
    </w:p>
    <w:p>
      <w:pPr>
        <w:adjustRightInd/>
        <w:snapToGrid/>
        <w:spacing w:line="240" w:lineRule="auto"/>
        <w:ind w:left="-204" w:leftChars="-85" w:firstLine="120" w:firstLineChars="50"/>
        <w:jc w:val="left"/>
        <w:rPr>
          <w:rFonts w:ascii="宋体"/>
          <w:b/>
          <w:szCs w:val="24"/>
        </w:rPr>
      </w:pPr>
    </w:p>
    <w:p>
      <w:pPr>
        <w:adjustRightInd/>
        <w:snapToGrid/>
        <w:spacing w:line="240" w:lineRule="auto"/>
        <w:ind w:left="-204" w:leftChars="-85" w:firstLine="120" w:firstLineChars="50"/>
        <w:jc w:val="left"/>
        <w:rPr>
          <w:rFonts w:ascii="楷体_GB2312" w:eastAsia="楷体_GB2312"/>
          <w:b/>
          <w:bCs/>
          <w:szCs w:val="24"/>
          <w:highlight w:val="yellow"/>
        </w:rPr>
      </w:pPr>
      <w:r>
        <w:rPr>
          <w:rFonts w:hint="eastAsia" w:ascii="宋体" w:hAnsi="宋体"/>
          <w:b/>
          <w:szCs w:val="24"/>
          <w:highlight w:val="yellow"/>
        </w:rPr>
        <w:t>甲方：</w:t>
      </w:r>
      <w:r>
        <w:rPr>
          <w:rFonts w:ascii="宋体" w:hAnsi="宋体"/>
          <w:b/>
          <w:szCs w:val="24"/>
          <w:highlight w:val="yellow"/>
          <w:u w:val="single"/>
        </w:rPr>
        <w:t xml:space="preserve">  </w:t>
      </w:r>
      <w:r>
        <w:rPr>
          <w:rFonts w:hint="eastAsia" w:ascii="宋体" w:hAnsi="宋体"/>
          <w:b/>
          <w:szCs w:val="24"/>
          <w:highlight w:val="yellow"/>
          <w:u w:val="single"/>
        </w:rPr>
        <w:t xml:space="preserve">西安热工研究院有限公司  </w:t>
      </w:r>
      <w:r>
        <w:rPr>
          <w:rFonts w:hint="eastAsia" w:ascii="宋体" w:hAnsi="宋体"/>
          <w:szCs w:val="24"/>
          <w:highlight w:val="yellow"/>
        </w:rPr>
        <w:t>主合同编号：</w:t>
      </w:r>
    </w:p>
    <w:p>
      <w:pPr>
        <w:adjustRightInd/>
        <w:snapToGrid/>
        <w:spacing w:line="240" w:lineRule="auto"/>
        <w:ind w:left="-202" w:leftChars="-84" w:firstLine="120" w:firstLineChars="50"/>
        <w:jc w:val="left"/>
        <w:rPr>
          <w:rFonts w:ascii="宋体"/>
          <w:szCs w:val="24"/>
        </w:rPr>
      </w:pPr>
      <w:r>
        <w:rPr>
          <w:rFonts w:hint="eastAsia" w:ascii="宋体" w:hAnsi="宋体"/>
          <w:b/>
          <w:szCs w:val="24"/>
          <w:highlight w:val="yellow"/>
        </w:rPr>
        <w:t>乙方：</w:t>
      </w:r>
      <w:r>
        <w:rPr>
          <w:rFonts w:ascii="宋体" w:hAnsi="宋体"/>
          <w:b/>
          <w:szCs w:val="24"/>
          <w:u w:val="single"/>
        </w:rPr>
        <w:t xml:space="preserve">  </w:t>
      </w:r>
      <w:r>
        <w:rPr>
          <w:rFonts w:hint="eastAsia" w:ascii="宋体" w:hAnsi="宋体"/>
          <w:szCs w:val="24"/>
          <w:u w:val="single"/>
        </w:rPr>
        <w:t xml:space="preserve">                      </w:t>
      </w:r>
      <w:r>
        <w:rPr>
          <w:rFonts w:ascii="宋体" w:hAnsi="宋体"/>
          <w:szCs w:val="24"/>
          <w:u w:val="single"/>
        </w:rPr>
        <w:t xml:space="preserve">  </w:t>
      </w:r>
      <w:r>
        <w:rPr>
          <w:rFonts w:hint="eastAsia" w:ascii="宋体" w:hAnsi="宋体"/>
          <w:szCs w:val="24"/>
        </w:rPr>
        <w:t>签订地点：西安</w:t>
      </w:r>
    </w:p>
    <w:p>
      <w:pPr>
        <w:adjustRightInd/>
        <w:snapToGrid/>
        <w:spacing w:line="240" w:lineRule="auto"/>
        <w:ind w:left="-204" w:leftChars="-85" w:firstLine="480"/>
        <w:jc w:val="left"/>
        <w:rPr>
          <w:rFonts w:ascii="宋体"/>
          <w:color w:val="000000"/>
          <w:szCs w:val="24"/>
        </w:rPr>
      </w:pPr>
    </w:p>
    <w:p>
      <w:pPr>
        <w:adjustRightInd/>
        <w:snapToGrid/>
        <w:spacing w:line="400" w:lineRule="exact"/>
        <w:ind w:firstLine="480"/>
        <w:jc w:val="left"/>
        <w:rPr>
          <w:szCs w:val="22"/>
        </w:rPr>
      </w:pPr>
      <w:r>
        <w:rPr>
          <w:rFonts w:hint="eastAsia"/>
          <w:szCs w:val="22"/>
        </w:rPr>
        <w:t>依照《中华人民共和国合同法》及其他相关法律、法规，并结合项目具体情况，遵循平等、自愿、公平和诚实信用的原则，合同双方就有关事宜达成协议，并同意按如下条款签订本合同。</w:t>
      </w:r>
    </w:p>
    <w:p>
      <w:pPr>
        <w:adjustRightInd/>
        <w:snapToGrid/>
        <w:spacing w:line="400" w:lineRule="exact"/>
        <w:ind w:firstLine="0" w:firstLineChars="0"/>
        <w:jc w:val="left"/>
        <w:outlineLvl w:val="0"/>
        <w:rPr>
          <w:b/>
          <w:szCs w:val="22"/>
        </w:rPr>
      </w:pPr>
      <w:r>
        <w:rPr>
          <w:rFonts w:hint="eastAsia"/>
          <w:b/>
          <w:szCs w:val="22"/>
        </w:rPr>
        <w:t>一、合同标的</w:t>
      </w:r>
    </w:p>
    <w:p>
      <w:pPr>
        <w:adjustRightInd/>
        <w:snapToGrid/>
        <w:spacing w:line="400" w:lineRule="exact"/>
        <w:ind w:left="420" w:firstLine="0" w:firstLineChars="0"/>
        <w:jc w:val="left"/>
        <w:rPr>
          <w:rFonts w:hint="eastAsia" w:ascii="宋体" w:hAnsi="宋体"/>
          <w:szCs w:val="22"/>
        </w:rPr>
      </w:pPr>
      <w:r>
        <w:rPr>
          <w:rFonts w:hint="eastAsia"/>
          <w:szCs w:val="22"/>
        </w:rPr>
        <w:t>乙方按照甲方要求，向甲方提供保质保量保工期的合同标的。（可以回车增填写行）</w:t>
      </w:r>
    </w:p>
    <w:p>
      <w:pPr>
        <w:tabs>
          <w:tab w:val="left" w:pos="567"/>
        </w:tabs>
        <w:spacing w:before="120" w:beforeLines="50" w:line="400" w:lineRule="exact"/>
        <w:ind w:firstLine="0" w:firstLineChars="0"/>
        <w:jc w:val="left"/>
        <w:rPr>
          <w:szCs w:val="22"/>
        </w:rPr>
      </w:pPr>
      <w:r>
        <w:rPr>
          <w:rFonts w:hint="eastAsia" w:ascii="宋体" w:hAnsi="宋体"/>
          <w:szCs w:val="22"/>
        </w:rPr>
        <w:t>（</w:t>
      </w:r>
      <w:r>
        <w:rPr>
          <w:rFonts w:ascii="宋体" w:hAnsi="宋体"/>
          <w:szCs w:val="22"/>
        </w:rPr>
        <w:t>1</w:t>
      </w:r>
      <w:r>
        <w:rPr>
          <w:rFonts w:hint="eastAsia" w:ascii="宋体" w:hAnsi="宋体"/>
          <w:szCs w:val="22"/>
        </w:rPr>
        <w:t>）</w:t>
      </w:r>
      <w:r>
        <w:rPr>
          <w:rFonts w:hint="eastAsia"/>
          <w:szCs w:val="22"/>
        </w:rPr>
        <w:t>本合同价格包括合同设备（含备品备件、专用工具等）、技术资料、技术服务（含现场服务）等费用，还包括合同设备的运杂费、运保费、税费等本合同中乙方应承担的所有义务和所有工作的费用。</w:t>
      </w:r>
    </w:p>
    <w:p>
      <w:pPr>
        <w:widowControl/>
        <w:tabs>
          <w:tab w:val="left" w:pos="480"/>
        </w:tabs>
        <w:spacing w:line="400" w:lineRule="exact"/>
        <w:ind w:firstLine="0" w:firstLineChars="0"/>
        <w:jc w:val="left"/>
        <w:rPr>
          <w:rFonts w:ascii="宋体" w:hAnsi="宋体"/>
          <w:b/>
          <w:kern w:val="0"/>
          <w:szCs w:val="22"/>
        </w:rPr>
      </w:pPr>
      <w:r>
        <w:rPr>
          <w:rFonts w:hint="eastAsia" w:ascii="宋体" w:hAnsi="宋体"/>
          <w:kern w:val="0"/>
          <w:szCs w:val="22"/>
        </w:rPr>
        <w:t>（</w:t>
      </w:r>
      <w:r>
        <w:rPr>
          <w:rFonts w:ascii="宋体" w:hAnsi="宋体"/>
          <w:kern w:val="0"/>
          <w:szCs w:val="22"/>
        </w:rPr>
        <w:t>2</w:t>
      </w:r>
      <w:r>
        <w:rPr>
          <w:rFonts w:hint="eastAsia" w:ascii="宋体" w:hAnsi="宋体"/>
          <w:kern w:val="0"/>
          <w:szCs w:val="22"/>
        </w:rPr>
        <w:t>）</w:t>
      </w:r>
      <w:r>
        <w:rPr>
          <w:rFonts w:hint="eastAsia" w:ascii="宋体" w:hAnsi="宋体"/>
          <w:b/>
          <w:kern w:val="0"/>
          <w:szCs w:val="22"/>
        </w:rPr>
        <w:t>质量技术标准：</w:t>
      </w:r>
      <w:r>
        <w:rPr>
          <w:rFonts w:hint="eastAsia" w:ascii="宋体" w:hAnsi="宋体"/>
          <w:kern w:val="0"/>
          <w:szCs w:val="22"/>
        </w:rPr>
        <w:t>本合同所供货物，应符合本合同技术协议和合同其他条款的规定。</w:t>
      </w:r>
    </w:p>
    <w:p>
      <w:pPr>
        <w:adjustRightInd/>
        <w:snapToGrid/>
        <w:spacing w:line="400" w:lineRule="exact"/>
        <w:ind w:firstLine="0" w:firstLineChars="0"/>
        <w:jc w:val="left"/>
        <w:rPr>
          <w:szCs w:val="22"/>
        </w:rPr>
      </w:pPr>
      <w:r>
        <w:rPr>
          <w:rFonts w:hint="eastAsia" w:ascii="宋体" w:hAnsi="宋体"/>
          <w:kern w:val="0"/>
          <w:szCs w:val="22"/>
        </w:rPr>
        <w:t>（</w:t>
      </w:r>
      <w:r>
        <w:rPr>
          <w:rFonts w:ascii="宋体" w:hAnsi="宋体"/>
          <w:kern w:val="0"/>
          <w:szCs w:val="22"/>
        </w:rPr>
        <w:t>3</w:t>
      </w:r>
      <w:r>
        <w:rPr>
          <w:rFonts w:hint="eastAsia" w:ascii="宋体" w:hAnsi="宋体"/>
          <w:kern w:val="0"/>
          <w:szCs w:val="22"/>
        </w:rPr>
        <w:t>）</w:t>
      </w:r>
      <w:r>
        <w:rPr>
          <w:rFonts w:hint="eastAsia"/>
          <w:szCs w:val="22"/>
        </w:rPr>
        <w:t>乙方所供货物的随货资料，应包括（但不限于）发货清单、设备运行和维护说明书（如有）、合格证、材料材质证明书（如有）及其他质量证明文件一正一副（材料材质证明书必须加盖供货单位公章），否则将不予验收或视产品不合格处理。</w:t>
      </w:r>
    </w:p>
    <w:p>
      <w:pPr>
        <w:adjustRightInd/>
        <w:snapToGrid/>
        <w:spacing w:line="400" w:lineRule="exact"/>
        <w:ind w:firstLine="0" w:firstLineChars="0"/>
        <w:jc w:val="left"/>
        <w:rPr>
          <w:szCs w:val="22"/>
        </w:rPr>
      </w:pPr>
      <w:r>
        <w:rPr>
          <w:rFonts w:hint="eastAsia" w:ascii="宋体" w:hAnsi="宋体"/>
          <w:kern w:val="0"/>
          <w:szCs w:val="22"/>
        </w:rPr>
        <w:t>（</w:t>
      </w:r>
      <w:r>
        <w:rPr>
          <w:rFonts w:ascii="宋体" w:hAnsi="宋体"/>
          <w:kern w:val="0"/>
          <w:szCs w:val="22"/>
        </w:rPr>
        <w:t>4</w:t>
      </w:r>
      <w:r>
        <w:rPr>
          <w:rFonts w:hint="eastAsia" w:ascii="宋体" w:hAnsi="宋体"/>
          <w:kern w:val="0"/>
          <w:szCs w:val="22"/>
        </w:rPr>
        <w:t>）</w:t>
      </w:r>
      <w:r>
        <w:rPr>
          <w:rFonts w:hint="eastAsia"/>
          <w:szCs w:val="22"/>
        </w:rPr>
        <w:t>在合同执行过程中如发现有任何漏项和短缺，在供货清单中未列出而且确实是乙方供货范围中应该有的，并且是满足合同设备的保证要求所必须的，均应由乙方将其补上，且不发生费用问题。本合同总价在合同有效期内为固定不变价。</w:t>
      </w:r>
    </w:p>
    <w:p>
      <w:pPr>
        <w:adjustRightInd/>
        <w:snapToGrid/>
        <w:spacing w:line="400" w:lineRule="exact"/>
        <w:ind w:firstLine="0" w:firstLineChars="0"/>
        <w:rPr>
          <w:szCs w:val="22"/>
        </w:rPr>
      </w:pPr>
      <w:r>
        <w:rPr>
          <w:rFonts w:hint="eastAsia"/>
          <w:szCs w:val="22"/>
        </w:rPr>
        <w:t>（</w:t>
      </w:r>
      <w:r>
        <w:rPr>
          <w:szCs w:val="22"/>
        </w:rPr>
        <w:t>5</w:t>
      </w:r>
      <w:r>
        <w:rPr>
          <w:rFonts w:hint="eastAsia"/>
          <w:szCs w:val="22"/>
        </w:rPr>
        <w:t>）</w:t>
      </w:r>
      <w:r>
        <w:rPr>
          <w:rFonts w:hint="eastAsia"/>
          <w:b/>
          <w:szCs w:val="22"/>
        </w:rPr>
        <w:t>质保期</w:t>
      </w:r>
      <w:r>
        <w:rPr>
          <w:rFonts w:hint="eastAsia"/>
          <w:szCs w:val="22"/>
        </w:rPr>
        <w:t>：</w:t>
      </w:r>
      <w:bookmarkStart w:id="94" w:name="OLE_LINK5"/>
      <w:r>
        <w:rPr>
          <w:rFonts w:hint="eastAsia"/>
          <w:szCs w:val="22"/>
        </w:rPr>
        <w:t>指项目</w:t>
      </w:r>
      <w:bookmarkStart w:id="95" w:name="OLE_LINK21"/>
      <w:r>
        <w:rPr>
          <w:rFonts w:hint="eastAsia"/>
          <w:szCs w:val="22"/>
        </w:rPr>
        <w:t>业主签发</w:t>
      </w:r>
      <w:r>
        <w:rPr>
          <w:rFonts w:hint="eastAsia" w:ascii="宋体" w:hAnsi="宋体" w:cs="TT64E9BFA0tCID-WinCharSetFFFF-H"/>
          <w:szCs w:val="24"/>
        </w:rPr>
        <w:t>临时验收证书</w:t>
      </w:r>
      <w:r>
        <w:rPr>
          <w:rFonts w:hint="eastAsia"/>
          <w:szCs w:val="22"/>
        </w:rPr>
        <w:t>之日</w:t>
      </w:r>
      <w:bookmarkEnd w:id="95"/>
      <w:r>
        <w:rPr>
          <w:rFonts w:hint="eastAsia"/>
          <w:szCs w:val="22"/>
        </w:rPr>
        <w:t>起至业主签发</w:t>
      </w:r>
      <w:r>
        <w:rPr>
          <w:rFonts w:hint="eastAsia" w:ascii="宋体" w:hAnsi="宋体" w:cs="TT64E9BFA0tCID-WinCharSetFFFF-H"/>
          <w:szCs w:val="24"/>
        </w:rPr>
        <w:t>最终验收证书</w:t>
      </w:r>
      <w:r>
        <w:rPr>
          <w:rFonts w:hint="eastAsia"/>
          <w:szCs w:val="22"/>
        </w:rPr>
        <w:t>之日止。</w:t>
      </w:r>
      <w:bookmarkEnd w:id="94"/>
      <w:r>
        <w:rPr>
          <w:rFonts w:hint="eastAsia"/>
          <w:szCs w:val="22"/>
        </w:rPr>
        <w:t>【或设备安装调试合格正常运行后</w:t>
      </w:r>
      <w:r>
        <w:rPr>
          <w:szCs w:val="22"/>
        </w:rPr>
        <w:t>12</w:t>
      </w:r>
      <w:r>
        <w:rPr>
          <w:rFonts w:hint="eastAsia"/>
          <w:szCs w:val="22"/>
        </w:rPr>
        <w:t>个月或到货后</w:t>
      </w:r>
      <w:r>
        <w:rPr>
          <w:szCs w:val="22"/>
        </w:rPr>
        <w:t>18</w:t>
      </w:r>
      <w:r>
        <w:rPr>
          <w:rFonts w:hint="eastAsia"/>
          <w:szCs w:val="22"/>
        </w:rPr>
        <w:t>个月。</w:t>
      </w:r>
      <w:r>
        <w:rPr>
          <w:szCs w:val="22"/>
        </w:rPr>
        <w:t>(</w:t>
      </w:r>
      <w:r>
        <w:rPr>
          <w:rFonts w:hint="eastAsia"/>
          <w:szCs w:val="22"/>
        </w:rPr>
        <w:t>以先到为准</w:t>
      </w:r>
      <w:r>
        <w:rPr>
          <w:szCs w:val="22"/>
        </w:rPr>
        <w:t>)</w:t>
      </w:r>
      <w:r>
        <w:rPr>
          <w:rFonts w:hint="eastAsia"/>
          <w:szCs w:val="22"/>
        </w:rPr>
        <w:t>】</w:t>
      </w:r>
    </w:p>
    <w:p>
      <w:pPr>
        <w:adjustRightInd/>
        <w:snapToGrid/>
        <w:spacing w:line="400" w:lineRule="exact"/>
        <w:ind w:firstLine="0" w:firstLineChars="0"/>
        <w:jc w:val="left"/>
        <w:outlineLvl w:val="0"/>
        <w:rPr>
          <w:b/>
          <w:szCs w:val="22"/>
        </w:rPr>
      </w:pPr>
      <w:r>
        <w:rPr>
          <w:rFonts w:hint="eastAsia"/>
          <w:b/>
          <w:szCs w:val="22"/>
        </w:rPr>
        <w:t>二、货物交运验收</w:t>
      </w:r>
    </w:p>
    <w:p>
      <w:pPr>
        <w:adjustRightInd/>
        <w:snapToGrid/>
        <w:spacing w:line="400" w:lineRule="exact"/>
        <w:ind w:firstLine="0" w:firstLineChars="0"/>
        <w:rPr>
          <w:szCs w:val="22"/>
        </w:rPr>
      </w:pPr>
      <w:r>
        <w:rPr>
          <w:rFonts w:hint="eastAsia" w:ascii="宋体" w:hAnsi="宋体"/>
          <w:kern w:val="0"/>
          <w:szCs w:val="22"/>
        </w:rPr>
        <w:t>（</w:t>
      </w:r>
      <w:r>
        <w:rPr>
          <w:rFonts w:ascii="宋体" w:hAnsi="宋体"/>
          <w:kern w:val="0"/>
          <w:szCs w:val="22"/>
        </w:rPr>
        <w:t>1</w:t>
      </w:r>
      <w:r>
        <w:rPr>
          <w:rFonts w:hint="eastAsia" w:ascii="宋体" w:hAnsi="宋体"/>
          <w:kern w:val="0"/>
          <w:szCs w:val="22"/>
        </w:rPr>
        <w:t>）</w:t>
      </w:r>
      <w:r>
        <w:rPr>
          <w:rFonts w:hint="eastAsia"/>
          <w:b/>
          <w:szCs w:val="22"/>
        </w:rPr>
        <w:t>运输</w:t>
      </w:r>
      <w:r>
        <w:rPr>
          <w:rFonts w:hint="eastAsia"/>
          <w:szCs w:val="22"/>
        </w:rPr>
        <w:t>：乙方负责包装和运输，费用均由乙方承担。</w:t>
      </w:r>
    </w:p>
    <w:p>
      <w:pPr>
        <w:adjustRightInd/>
        <w:snapToGrid/>
        <w:spacing w:line="400" w:lineRule="exact"/>
        <w:ind w:firstLine="0" w:firstLineChars="0"/>
        <w:rPr>
          <w:szCs w:val="22"/>
        </w:rPr>
      </w:pPr>
      <w:r>
        <w:rPr>
          <w:rFonts w:hint="eastAsia" w:ascii="宋体" w:hAnsi="宋体"/>
          <w:kern w:val="0"/>
          <w:szCs w:val="22"/>
        </w:rPr>
        <w:t>（</w:t>
      </w:r>
      <w:r>
        <w:rPr>
          <w:rFonts w:ascii="宋体" w:hAnsi="宋体"/>
          <w:kern w:val="0"/>
          <w:szCs w:val="22"/>
        </w:rPr>
        <w:t>2</w:t>
      </w:r>
      <w:r>
        <w:rPr>
          <w:rFonts w:hint="eastAsia" w:ascii="宋体" w:hAnsi="宋体"/>
          <w:kern w:val="0"/>
          <w:szCs w:val="22"/>
        </w:rPr>
        <w:t>）</w:t>
      </w:r>
      <w:r>
        <w:rPr>
          <w:rFonts w:hint="eastAsia"/>
          <w:b/>
          <w:szCs w:val="22"/>
        </w:rPr>
        <w:t>交货时间：</w:t>
      </w:r>
      <w:r>
        <w:rPr>
          <w:rFonts w:hint="eastAsia"/>
          <w:szCs w:val="22"/>
          <w:u w:val="single"/>
        </w:rPr>
        <w:t>合同签订后30日</w:t>
      </w:r>
      <w:r>
        <w:rPr>
          <w:rFonts w:hint="eastAsia"/>
          <w:b/>
          <w:szCs w:val="22"/>
          <w:u w:val="single"/>
        </w:rPr>
        <w:t>（交货时间如有调整，甲方提前</w:t>
      </w:r>
      <w:r>
        <w:rPr>
          <w:b/>
          <w:szCs w:val="22"/>
          <w:u w:val="single"/>
        </w:rPr>
        <w:t>2</w:t>
      </w:r>
      <w:r>
        <w:rPr>
          <w:rFonts w:hint="eastAsia"/>
          <w:b/>
          <w:szCs w:val="22"/>
          <w:u w:val="single"/>
        </w:rPr>
        <w:t>周通知）</w:t>
      </w:r>
    </w:p>
    <w:p>
      <w:pPr>
        <w:adjustRightInd/>
        <w:snapToGrid/>
        <w:spacing w:line="400" w:lineRule="exact"/>
        <w:ind w:firstLine="0" w:firstLineChars="0"/>
        <w:rPr>
          <w:b/>
          <w:szCs w:val="22"/>
          <w:u w:val="single"/>
        </w:rPr>
      </w:pPr>
      <w:r>
        <w:rPr>
          <w:rFonts w:hint="eastAsia" w:ascii="宋体" w:hAnsi="宋体"/>
          <w:kern w:val="0"/>
          <w:szCs w:val="22"/>
        </w:rPr>
        <w:t>（</w:t>
      </w:r>
      <w:r>
        <w:rPr>
          <w:rFonts w:ascii="宋体" w:hAnsi="宋体"/>
          <w:kern w:val="0"/>
          <w:szCs w:val="22"/>
        </w:rPr>
        <w:t>3</w:t>
      </w:r>
      <w:r>
        <w:rPr>
          <w:rFonts w:hint="eastAsia" w:ascii="宋体" w:hAnsi="宋体"/>
          <w:kern w:val="0"/>
          <w:szCs w:val="22"/>
        </w:rPr>
        <w:t>）</w:t>
      </w:r>
      <w:r>
        <w:rPr>
          <w:rFonts w:hint="eastAsia"/>
          <w:b/>
          <w:szCs w:val="22"/>
        </w:rPr>
        <w:t>交货地点</w:t>
      </w:r>
      <w:r>
        <w:rPr>
          <w:rFonts w:hint="eastAsia"/>
          <w:szCs w:val="22"/>
        </w:rPr>
        <w:t>：</w:t>
      </w:r>
      <w:r>
        <w:rPr>
          <w:rFonts w:hint="eastAsia"/>
          <w:szCs w:val="22"/>
          <w:u w:val="single"/>
        </w:rPr>
        <w:t xml:space="preserve"> 甲方指定地点 </w:t>
      </w:r>
    </w:p>
    <w:p>
      <w:pPr>
        <w:shd w:val="clear" w:color="auto" w:fill="auto"/>
        <w:adjustRightInd/>
        <w:snapToGrid/>
        <w:spacing w:line="400" w:lineRule="exact"/>
        <w:ind w:firstLine="0" w:firstLineChars="0"/>
        <w:jc w:val="left"/>
        <w:outlineLvl w:val="0"/>
        <w:rPr>
          <w:rFonts w:hAnsi="宋体"/>
          <w:color w:val="FF0000"/>
          <w:szCs w:val="22"/>
          <w:highlight w:val="yellow"/>
        </w:rPr>
      </w:pPr>
      <w:r>
        <w:rPr>
          <w:rFonts w:hint="eastAsia"/>
          <w:b/>
          <w:szCs w:val="22"/>
          <w:highlight w:val="yellow"/>
        </w:rPr>
        <w:t>三、付款方式</w:t>
      </w:r>
    </w:p>
    <w:p>
      <w:pPr>
        <w:shd w:val="clear" w:color="auto" w:fill="auto"/>
        <w:adjustRightInd/>
        <w:spacing w:line="400" w:lineRule="exact"/>
        <w:ind w:firstLine="480"/>
        <w:jc w:val="left"/>
        <w:rPr>
          <w:rFonts w:hint="eastAsia" w:ascii="宋体" w:hAnsi="宋体" w:cs="TT64E9BFA0tCID-WinCharSetFFFF-H"/>
          <w:b w:val="0"/>
          <w:bCs/>
          <w:szCs w:val="22"/>
        </w:rPr>
      </w:pPr>
      <w:bookmarkStart w:id="96" w:name="OLE_LINK31"/>
      <w:bookmarkStart w:id="97" w:name="OLE_LINK2"/>
      <w:bookmarkStart w:id="98" w:name="OLE_LINK1"/>
      <w:r>
        <w:rPr>
          <w:rFonts w:hint="eastAsia" w:ascii="宋体" w:hAnsi="宋体" w:cs="TT64E9BFA0tCID-WinCharSetFFFF-H"/>
          <w:b w:val="0"/>
          <w:bCs/>
          <w:szCs w:val="22"/>
        </w:rPr>
        <w:t>1）到货验收款：合同标的运抵甲方指定地点验收合格（随货需提供所供电缆的合格证、材质检验单等资质文件），乙方提供所到合同标的总价100%的增值税专用发票(税率13%)，甲方审核无误后付95%到货款。</w:t>
      </w:r>
    </w:p>
    <w:p>
      <w:pPr>
        <w:shd w:val="clear" w:color="auto" w:fill="auto"/>
        <w:adjustRightInd/>
        <w:spacing w:line="400" w:lineRule="exact"/>
        <w:ind w:firstLine="480"/>
        <w:jc w:val="left"/>
        <w:rPr>
          <w:rFonts w:ascii="宋体" w:cs="TT64E9BFA0tCID-WinCharSetFFFF-H"/>
          <w:szCs w:val="22"/>
        </w:rPr>
      </w:pPr>
      <w:r>
        <w:rPr>
          <w:rFonts w:hint="eastAsia" w:ascii="宋体" w:cs="TT64E9BFA0tCID-WinCharSetFFFF-H"/>
          <w:szCs w:val="22"/>
        </w:rPr>
        <w:t>2）质保金：质保期满无质量缺陷，向乙方支付5%质保金。</w:t>
      </w:r>
    </w:p>
    <w:bookmarkEnd w:id="96"/>
    <w:bookmarkEnd w:id="97"/>
    <w:bookmarkEnd w:id="98"/>
    <w:p>
      <w:pPr>
        <w:shd w:val="clear" w:color="auto" w:fill="auto"/>
        <w:adjustRightInd/>
        <w:snapToGrid/>
        <w:spacing w:line="400" w:lineRule="exact"/>
        <w:ind w:firstLine="0" w:firstLineChars="0"/>
        <w:outlineLvl w:val="0"/>
        <w:rPr>
          <w:szCs w:val="24"/>
        </w:rPr>
      </w:pPr>
      <w:r>
        <w:rPr>
          <w:rFonts w:hint="eastAsia"/>
          <w:b/>
          <w:color w:val="000000"/>
          <w:szCs w:val="24"/>
        </w:rPr>
        <w:t>四、违约责任</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1</w:t>
      </w:r>
      <w:r>
        <w:rPr>
          <w:rFonts w:hint="eastAsia" w:ascii="宋体" w:hAnsi="宋体" w:cs="TT64E9BFA0tCID-WinCharSetFFFF-H"/>
          <w:szCs w:val="24"/>
        </w:rPr>
        <w:t>乙方保证其供应的本合同设备的质量是优良的、全新的和可靠的。符合工艺、安全运行和长期操作使用的要求，并符合本合同技术协议和合同其他条款的规定。</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2</w:t>
      </w:r>
      <w:r>
        <w:rPr>
          <w:rFonts w:hint="eastAsia" w:ascii="宋体" w:hAnsi="宋体" w:cs="TT64E9BFA0tCID-WinCharSetFFFF-H"/>
          <w:szCs w:val="24"/>
        </w:rPr>
        <w:t>乙方保证竣工图纸和技术文件是完整、清晰和正确的。</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3</w:t>
      </w:r>
      <w:r>
        <w:rPr>
          <w:rFonts w:hint="eastAsia" w:ascii="宋体" w:hAnsi="宋体" w:cs="TT64E9BFA0tCID-WinCharSetFFFF-H"/>
          <w:szCs w:val="24"/>
        </w:rPr>
        <w:t>在保证期内，如果发现乙方所供设备有缺陷或不符合合同规定时，甲方有权向乙方提出索赔。</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4</w:t>
      </w:r>
      <w:r>
        <w:rPr>
          <w:rFonts w:hint="eastAsia" w:ascii="宋体" w:hAnsi="宋体" w:cs="TT64E9BFA0tCID-WinCharSetFFFF-H"/>
          <w:szCs w:val="24"/>
        </w:rPr>
        <w:t>乙方接到甲方索赔函后，应立即修理或无偿换货，并负担由此产生的到安装现场的风险和运费。如乙方对索赔有异议，应在接到甲方索赔函后二个星期内提出商议，双方应另行协商。如果乙方在上述期间内没有答复，索赔将被认为接受。</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5</w:t>
      </w:r>
      <w:r>
        <w:rPr>
          <w:rFonts w:hint="eastAsia" w:ascii="宋体" w:hAnsi="宋体" w:cs="TT64E9BFA0tCID-WinCharSetFFFF-H"/>
          <w:szCs w:val="24"/>
        </w:rPr>
        <w:t>如果不是由于甲方原因或甲方没有要求推迟交货而乙方未能按本合同规定的交货期交货时</w:t>
      </w:r>
      <w:r>
        <w:rPr>
          <w:rFonts w:ascii="宋体" w:hAnsi="宋体" w:cs="TT64E9BFA0tCID-WinCharSetFFFF-H"/>
          <w:szCs w:val="24"/>
        </w:rPr>
        <w:t>(</w:t>
      </w:r>
      <w:r>
        <w:rPr>
          <w:rFonts w:hint="eastAsia" w:ascii="宋体" w:hAnsi="宋体" w:cs="TT64E9BFA0tCID-WinCharSetFFFF-H"/>
          <w:szCs w:val="24"/>
        </w:rPr>
        <w:t>不可抗力除外</w:t>
      </w:r>
      <w:r>
        <w:rPr>
          <w:rFonts w:ascii="宋体" w:hAnsi="宋体" w:cs="TT64E9BFA0tCID-WinCharSetFFFF-H"/>
          <w:szCs w:val="24"/>
        </w:rPr>
        <w:t>)</w:t>
      </w:r>
      <w:r>
        <w:rPr>
          <w:rFonts w:hint="eastAsia" w:ascii="宋体" w:hAnsi="宋体" w:cs="TT64E9BFA0tCID-WinCharSetFFFF-H"/>
          <w:szCs w:val="24"/>
        </w:rPr>
        <w:t>，实际交货日期按合同设备运达甲方指定地点计算，每迟交一天须向甲方支付合同总价的</w:t>
      </w:r>
      <w:r>
        <w:rPr>
          <w:rFonts w:ascii="宋体" w:hAnsi="宋体" w:cs="TT64E9BFA0tCID-WinCharSetFFFF-H"/>
          <w:szCs w:val="24"/>
        </w:rPr>
        <w:t>0.5</w:t>
      </w:r>
      <w:r>
        <w:rPr>
          <w:rFonts w:hint="eastAsia" w:ascii="宋体" w:hAnsi="宋体" w:cs="TT64E9BFA0tCID-WinCharSetFFFF-H"/>
          <w:szCs w:val="24"/>
        </w:rPr>
        <w:t>％的违约金。如果乙方未能按本合同的约定使本合同项下的标的物达到验收标准，每延误一天须向甲方支付合同总价的</w:t>
      </w:r>
      <w:r>
        <w:rPr>
          <w:rFonts w:ascii="宋体" w:hAnsi="宋体" w:cs="TT64E9BFA0tCID-WinCharSetFFFF-H"/>
          <w:szCs w:val="24"/>
        </w:rPr>
        <w:t>0.5</w:t>
      </w:r>
      <w:r>
        <w:rPr>
          <w:rFonts w:hint="eastAsia" w:ascii="宋体" w:hAnsi="宋体" w:cs="TT64E9BFA0tCID-WinCharSetFFFF-H"/>
          <w:szCs w:val="24"/>
        </w:rPr>
        <w:t>％的违约金。如果因乙方延误给甲方造成的损失（包括工期损失）大于上述违约金，甲方有权就超出部分继续向乙方追索。</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6</w:t>
      </w:r>
      <w:r>
        <w:rPr>
          <w:rFonts w:hint="eastAsia" w:ascii="宋体" w:hAnsi="宋体" w:cs="TT64E9BFA0tCID-WinCharSetFFFF-H"/>
          <w:szCs w:val="24"/>
        </w:rPr>
        <w:t>乙方支付迟交货违约金并不免除其继续交货的义务。乙方逾期交货，超过（</w:t>
      </w:r>
      <w:r>
        <w:rPr>
          <w:rFonts w:ascii="宋体" w:hAnsi="宋体" w:cs="TT64E9BFA0tCID-WinCharSetFFFF-H"/>
          <w:szCs w:val="24"/>
        </w:rPr>
        <w:t>15</w:t>
      </w:r>
      <w:r>
        <w:rPr>
          <w:rFonts w:hint="eastAsia" w:ascii="宋体" w:hAnsi="宋体" w:cs="TT64E9BFA0tCID-WinCharSetFFFF-H"/>
          <w:szCs w:val="24"/>
        </w:rPr>
        <w:t>天）的，甲方有权解除合同。甲方解除合同的，乙方应当向甲方支付违约金。违约金按合同总价款（</w:t>
      </w:r>
      <w:r>
        <w:rPr>
          <w:rFonts w:ascii="宋体" w:hAnsi="宋体" w:cs="TT64E9BFA0tCID-WinCharSetFFFF-H"/>
          <w:szCs w:val="24"/>
        </w:rPr>
        <w:t>30%</w:t>
      </w:r>
      <w:r>
        <w:rPr>
          <w:rFonts w:hint="eastAsia" w:ascii="宋体" w:hAnsi="宋体" w:cs="TT64E9BFA0tCID-WinCharSetFFFF-H"/>
          <w:szCs w:val="24"/>
        </w:rPr>
        <w:t>）计算。当违约金不足以弥补甲方损失的，乙方应当赔偿甲方的全部损失，其损失包括直接损失和间接损失。</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7</w:t>
      </w:r>
      <w:r>
        <w:rPr>
          <w:rFonts w:hint="eastAsia" w:ascii="宋体" w:hAnsi="宋体" w:cs="TT64E9BFA0tCID-WinCharSetFFFF-H"/>
          <w:szCs w:val="24"/>
        </w:rPr>
        <w:t>如果乙方提交的标的物不符合约定，乙方应在接到甲方通知后</w:t>
      </w:r>
      <w:r>
        <w:rPr>
          <w:rFonts w:ascii="宋体" w:hAnsi="宋体" w:cs="TT64E9BFA0tCID-WinCharSetFFFF-H"/>
          <w:szCs w:val="24"/>
        </w:rPr>
        <w:t>24</w:t>
      </w:r>
      <w:r>
        <w:rPr>
          <w:rFonts w:hint="eastAsia" w:ascii="宋体" w:hAnsi="宋体" w:cs="TT64E9BFA0tCID-WinCharSetFFFF-H"/>
          <w:szCs w:val="24"/>
        </w:rPr>
        <w:t>小时内进行修理、更换；如果乙方未派人到现场免费维修和</w:t>
      </w:r>
      <w:r>
        <w:rPr>
          <w:rFonts w:ascii="宋体" w:hAnsi="宋体" w:cs="TT64E9BFA0tCID-WinCharSetFFFF-H"/>
          <w:szCs w:val="24"/>
        </w:rPr>
        <w:t>/</w:t>
      </w:r>
      <w:r>
        <w:rPr>
          <w:rFonts w:hint="eastAsia" w:ascii="宋体" w:hAnsi="宋体" w:cs="TT64E9BFA0tCID-WinCharSetFFFF-H"/>
          <w:szCs w:val="24"/>
        </w:rPr>
        <w:t>或免费更换，在问题存续期间，乙方需每天向甲方支付合同总价的</w:t>
      </w:r>
      <w:r>
        <w:rPr>
          <w:rFonts w:ascii="宋体" w:hAnsi="宋体" w:cs="TT64E9BFA0tCID-WinCharSetFFFF-H"/>
          <w:szCs w:val="24"/>
        </w:rPr>
        <w:t>0.5</w:t>
      </w:r>
      <w:r>
        <w:rPr>
          <w:rFonts w:hint="eastAsia" w:ascii="宋体" w:hAnsi="宋体" w:cs="TT64E9BFA0tCID-WinCharSetFFFF-H"/>
          <w:szCs w:val="24"/>
        </w:rPr>
        <w:t>％的违约金。甲方也可选择以退货、降价、解除合同等方式解决和</w:t>
      </w:r>
      <w:r>
        <w:rPr>
          <w:rFonts w:ascii="宋体" w:hAnsi="宋体" w:cs="TT64E9BFA0tCID-WinCharSetFFFF-H"/>
          <w:szCs w:val="24"/>
        </w:rPr>
        <w:t>/</w:t>
      </w:r>
      <w:r>
        <w:rPr>
          <w:rFonts w:hint="eastAsia" w:ascii="宋体" w:hAnsi="宋体" w:cs="TT64E9BFA0tCID-WinCharSetFFFF-H"/>
          <w:szCs w:val="24"/>
        </w:rPr>
        <w:t>或要求乙方赔偿损失。</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8</w:t>
      </w:r>
      <w:r>
        <w:rPr>
          <w:rFonts w:hint="eastAsia" w:ascii="宋体" w:hAnsi="宋体" w:cs="TT64E9BFA0tCID-WinCharSetFFFF-H"/>
          <w:szCs w:val="24"/>
        </w:rPr>
        <w:t>如果乙方应向甲方承担违约金或赔偿责任，甲方有权从任何一笔付款中扣除。乙方向甲方支付违约金的行为并不免除乙方在本合同下应履行的义务。</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9</w:t>
      </w:r>
      <w:r>
        <w:rPr>
          <w:rFonts w:hint="eastAsia" w:ascii="宋体" w:hAnsi="宋体" w:cs="TT64E9BFA0tCID-WinCharSetFFFF-H"/>
          <w:szCs w:val="24"/>
        </w:rPr>
        <w:t>本合同执行期间，如果乙方提供的货物有缺陷和资料有错误，或者由于乙方技术人员指导错误和疏忽，造成工程返工、报废，乙方应立即无偿更换和修理。如需更换，乙方应负担由此产生的到安装现场更换的一切费用，更换或修理期限应不迟于证实属乙方责任之日起的</w:t>
      </w:r>
      <w:r>
        <w:rPr>
          <w:rFonts w:ascii="宋体" w:hAnsi="宋体" w:cs="TT64E9BFA0tCID-WinCharSetFFFF-H"/>
          <w:szCs w:val="24"/>
        </w:rPr>
        <w:t>10</w:t>
      </w:r>
      <w:r>
        <w:rPr>
          <w:rFonts w:hint="eastAsia" w:ascii="宋体" w:hAnsi="宋体" w:cs="TT64E9BFA0tCID-WinCharSetFFFF-H"/>
          <w:szCs w:val="24"/>
        </w:rPr>
        <w:t>天内，否则，每延误一天须向甲方支付合同总价的</w:t>
      </w:r>
      <w:r>
        <w:rPr>
          <w:rFonts w:ascii="宋体" w:hAnsi="宋体" w:cs="TT64E9BFA0tCID-WinCharSetFFFF-H"/>
          <w:szCs w:val="24"/>
        </w:rPr>
        <w:t>0.5</w:t>
      </w:r>
      <w:r>
        <w:rPr>
          <w:rFonts w:hint="eastAsia" w:ascii="宋体" w:hAnsi="宋体" w:cs="TT64E9BFA0tCID-WinCharSetFFFF-H"/>
          <w:szCs w:val="24"/>
        </w:rPr>
        <w:t>％的违约金。</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10</w:t>
      </w:r>
      <w:r>
        <w:rPr>
          <w:rFonts w:hint="eastAsia" w:ascii="宋体" w:hAnsi="宋体" w:cs="TT64E9BFA0tCID-WinCharSetFFFF-H"/>
          <w:szCs w:val="24"/>
        </w:rPr>
        <w:t>质保期内，如发现乙方提供的设备有缺陷或损坏，甲方有权向乙方提出要求修理或更换，如有异议，乙方应在收到甲方索赔要求后的两个星期内提出协商意见，由双方商定。如属乙方责任，或在必要的情况下甲方可凭中国商品检验局等具有检测检验资格的检验机构出具的检验证书向乙方提出索赔。乙方在收到甲方索赔证书后，应立即无偿修理、换货或请求甲方安排大型修理或向甲方赔款（由双方商定），包括由此产生的到安装现场的换货费用、运费、保险费。</w:t>
      </w:r>
    </w:p>
    <w:p>
      <w:pPr>
        <w:shd w:val="clear" w:color="auto" w:fill="auto"/>
        <w:adjustRightInd/>
        <w:spacing w:line="400" w:lineRule="exact"/>
        <w:ind w:firstLine="480"/>
        <w:jc w:val="left"/>
        <w:rPr>
          <w:rFonts w:ascii="宋体" w:hAnsi="宋体" w:cs="TT64E9BFA0tCID-WinCharSetFFFF-H"/>
          <w:szCs w:val="24"/>
        </w:rPr>
      </w:pPr>
      <w:r>
        <w:rPr>
          <w:rFonts w:ascii="宋体" w:hAnsi="宋体" w:cs="TT64E9BFA0tCID-WinCharSetFFFF-H"/>
          <w:szCs w:val="24"/>
        </w:rPr>
        <w:t>11</w:t>
      </w:r>
      <w:r>
        <w:rPr>
          <w:rFonts w:hint="eastAsia" w:ascii="宋体" w:hAnsi="宋体" w:cs="TT64E9BFA0tCID-WinCharSetFFFF-H"/>
          <w:szCs w:val="24"/>
        </w:rPr>
        <w:t>质保期内</w:t>
      </w:r>
      <w:r>
        <w:rPr>
          <w:rFonts w:ascii="宋体" w:cs="TT64E9BFA0tCID-WinCharSetFFFF-H"/>
          <w:szCs w:val="24"/>
        </w:rPr>
        <w:t>,</w:t>
      </w:r>
      <w:r>
        <w:rPr>
          <w:rFonts w:hint="eastAsia" w:ascii="宋体" w:hAnsi="宋体" w:cs="TT64E9BFA0tCID-WinCharSetFFFF-H"/>
          <w:szCs w:val="24"/>
        </w:rPr>
        <w:t>因设备质量问题而造成事故，乙方除承担赔偿责任外，还应按每出现一次事故扣合同款</w:t>
      </w:r>
      <w:r>
        <w:rPr>
          <w:rFonts w:ascii="宋体" w:hAnsi="宋体" w:cs="TT64E9BFA0tCID-WinCharSetFFFF-H"/>
          <w:szCs w:val="24"/>
        </w:rPr>
        <w:t>0.5%</w:t>
      </w:r>
      <w:r>
        <w:rPr>
          <w:rFonts w:hint="eastAsia" w:ascii="宋体" w:hAnsi="宋体" w:cs="TT64E9BFA0tCID-WinCharSetFFFF-H"/>
          <w:szCs w:val="24"/>
        </w:rPr>
        <w:t>的标准承担违约责任。</w:t>
      </w:r>
      <w:r>
        <w:rPr>
          <w:rFonts w:ascii="宋体" w:hAnsi="宋体" w:cs="TT64E9BFA0tCID-WinCharSetFFFF-H"/>
          <w:szCs w:val="24"/>
        </w:rPr>
        <w:t>(</w:t>
      </w:r>
      <w:r>
        <w:rPr>
          <w:rFonts w:hint="eastAsia" w:ascii="宋体" w:hAnsi="宋体" w:cs="TT64E9BFA0tCID-WinCharSetFFFF-H"/>
          <w:szCs w:val="24"/>
        </w:rPr>
        <w:t>如有较严重的质量问题而厂家不能按要求配合，视为一次事故</w:t>
      </w:r>
      <w:r>
        <w:rPr>
          <w:rFonts w:ascii="宋体" w:hAnsi="宋体" w:cs="TT64E9BFA0tCID-WinCharSetFFFF-H"/>
          <w:szCs w:val="24"/>
        </w:rPr>
        <w:t>)</w:t>
      </w:r>
      <w:r>
        <w:rPr>
          <w:rFonts w:hint="eastAsia" w:ascii="宋体" w:hAnsi="宋体" w:cs="TT64E9BFA0tCID-WinCharSetFFFF-H"/>
          <w:szCs w:val="24"/>
        </w:rPr>
        <w:t>。</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12</w:t>
      </w:r>
      <w:r>
        <w:rPr>
          <w:rFonts w:hint="eastAsia" w:ascii="宋体" w:hAnsi="宋体" w:cs="TT64E9BFA0tCID-WinCharSetFFFF-H"/>
          <w:szCs w:val="24"/>
        </w:rPr>
        <w:t>乙方支付迟交违约金并不解除按合同所规定的相应义务。</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13</w:t>
      </w:r>
      <w:r>
        <w:rPr>
          <w:rFonts w:hint="eastAsia" w:ascii="宋体" w:hAnsi="宋体" w:cs="TT64E9BFA0tCID-WinCharSetFFFF-H"/>
          <w:szCs w:val="24"/>
        </w:rPr>
        <w:t>知识产权及免责。乙方应保证，其所售予甲方的设备，均已合法地获得并有效适用于甲方所在国家和地区的所有有关知识产权的规定，若甲方因购买和使用乙方所售予甲方的设备而遭受任何第三方的追索、诉讼或仲裁，或受到甲乙双方所在国的国家政府部门、行政机关、司法机关的处罚、判决、执行，乙方应承担甲方因此而遭受的一切损失。</w:t>
      </w:r>
    </w:p>
    <w:p>
      <w:pPr>
        <w:shd w:val="clear" w:color="auto" w:fill="auto"/>
        <w:adjustRightInd/>
        <w:spacing w:line="400" w:lineRule="exact"/>
        <w:ind w:firstLine="480"/>
        <w:jc w:val="left"/>
        <w:rPr>
          <w:rFonts w:ascii="宋体" w:cs="TT64E9BFA0tCID-WinCharSetFFFF-H"/>
          <w:szCs w:val="24"/>
        </w:rPr>
      </w:pPr>
      <w:r>
        <w:rPr>
          <w:rFonts w:ascii="宋体" w:hAnsi="宋体" w:cs="TT64E9BFA0tCID-WinCharSetFFFF-H"/>
          <w:szCs w:val="24"/>
        </w:rPr>
        <w:t>14</w:t>
      </w:r>
      <w:r>
        <w:rPr>
          <w:rFonts w:hint="eastAsia" w:ascii="宋体" w:hAnsi="宋体" w:cs="TT64E9BFA0tCID-WinCharSetFFFF-H"/>
          <w:szCs w:val="24"/>
        </w:rPr>
        <w:t>如果乙方所供应的设备在技术上、质量上不能满足本合同及附件技术协议的要求，无法适用于本工程，则视为乙方构成根本违约，甲方在该等情形发生后有权选择下列处理方式：</w:t>
      </w:r>
    </w:p>
    <w:p>
      <w:pPr>
        <w:shd w:val="clear" w:color="auto" w:fill="auto"/>
        <w:adjustRightInd/>
        <w:spacing w:line="400" w:lineRule="exact"/>
        <w:ind w:firstLine="480"/>
        <w:jc w:val="left"/>
        <w:rPr>
          <w:rFonts w:ascii="宋体" w:cs="TT64E9BFA0tCID-WinCharSetFFFF-H"/>
          <w:szCs w:val="24"/>
        </w:rPr>
      </w:pPr>
      <w:r>
        <w:rPr>
          <w:rFonts w:hint="eastAsia" w:ascii="宋体" w:hAnsi="宋体" w:cs="TT64E9BFA0tCID-WinCharSetFFFF-H"/>
          <w:szCs w:val="24"/>
        </w:rPr>
        <w:t>（</w:t>
      </w:r>
      <w:r>
        <w:rPr>
          <w:rFonts w:ascii="宋体" w:hAnsi="宋体" w:cs="TT64E9BFA0tCID-WinCharSetFFFF-H"/>
          <w:szCs w:val="24"/>
        </w:rPr>
        <w:t>1</w:t>
      </w:r>
      <w:r>
        <w:rPr>
          <w:rFonts w:hint="eastAsia" w:ascii="宋体" w:hAnsi="宋体" w:cs="TT64E9BFA0tCID-WinCharSetFFFF-H"/>
          <w:szCs w:val="24"/>
        </w:rPr>
        <w:t>）随时有权书面通知乙方终止本合同，由此给甲方造成的损失（包括但不限于甲方已付货款、业主对于甲方的处罚、甲方根据其与业主所签合同正常履行后所获得的预期利益）均由乙方无条件承担，同时，乙方还应向甲方承担本合同金额</w:t>
      </w:r>
      <w:r>
        <w:rPr>
          <w:rFonts w:ascii="宋体" w:hAnsi="宋体" w:cs="TT64E9BFA0tCID-WinCharSetFFFF-H"/>
          <w:szCs w:val="24"/>
        </w:rPr>
        <w:t>30%</w:t>
      </w:r>
      <w:r>
        <w:rPr>
          <w:rFonts w:hint="eastAsia" w:ascii="宋体" w:hAnsi="宋体" w:cs="TT64E9BFA0tCID-WinCharSetFFFF-H"/>
          <w:szCs w:val="24"/>
        </w:rPr>
        <w:t>的损失。如果上述措施仍无法弥补甲方损失的，乙方承诺将无条件的继续予以补偿。本合同其他条款约定的乙方的违约责任并不包括于本款，应当各自独立适用，不能相互替代。</w:t>
      </w:r>
    </w:p>
    <w:p>
      <w:pPr>
        <w:shd w:val="clear" w:color="auto" w:fill="auto"/>
        <w:adjustRightInd/>
        <w:spacing w:line="400" w:lineRule="exact"/>
        <w:ind w:firstLine="480"/>
        <w:jc w:val="left"/>
        <w:rPr>
          <w:rFonts w:ascii="宋体" w:cs="TT64E9BFA0tCID-WinCharSetFFFF-H"/>
          <w:szCs w:val="24"/>
        </w:rPr>
      </w:pPr>
      <w:r>
        <w:rPr>
          <w:rFonts w:hint="eastAsia" w:ascii="宋体" w:hAnsi="宋体" w:cs="TT64E9BFA0tCID-WinCharSetFFFF-H"/>
          <w:szCs w:val="24"/>
        </w:rPr>
        <w:t>（</w:t>
      </w:r>
      <w:r>
        <w:rPr>
          <w:rFonts w:ascii="宋体" w:hAnsi="宋体" w:cs="TT64E9BFA0tCID-WinCharSetFFFF-H"/>
          <w:szCs w:val="24"/>
        </w:rPr>
        <w:t>2</w:t>
      </w:r>
      <w:r>
        <w:rPr>
          <w:rFonts w:hint="eastAsia" w:ascii="宋体" w:hAnsi="宋体" w:cs="TT64E9BFA0tCID-WinCharSetFFFF-H"/>
          <w:szCs w:val="24"/>
        </w:rPr>
        <w:t>）甲方要求乙方继续履行的，则乙方应积极配合对其所供应设备进行修理，以满足技术协议，并承担在此阶段给甲方所造成的实际损失。如果乙方的维修工作无法满足甲方或业主的要求，则甲方随时有权终止本合同，并按照（</w:t>
      </w:r>
      <w:r>
        <w:rPr>
          <w:rFonts w:ascii="宋体" w:hAnsi="宋体" w:cs="TT64E9BFA0tCID-WinCharSetFFFF-H"/>
          <w:szCs w:val="24"/>
        </w:rPr>
        <w:t>1</w:t>
      </w:r>
      <w:r>
        <w:rPr>
          <w:rFonts w:hint="eastAsia" w:ascii="宋体" w:hAnsi="宋体" w:cs="TT64E9BFA0tCID-WinCharSetFFFF-H"/>
          <w:szCs w:val="24"/>
        </w:rPr>
        <w:t>）款的约定要求乙方承担损失赔偿及违约责任。</w:t>
      </w:r>
    </w:p>
    <w:p>
      <w:pPr>
        <w:adjustRightInd/>
        <w:snapToGrid/>
        <w:spacing w:line="400" w:lineRule="exact"/>
        <w:ind w:firstLine="0" w:firstLineChars="0"/>
        <w:rPr>
          <w:b/>
          <w:color w:val="000000"/>
          <w:szCs w:val="24"/>
        </w:rPr>
      </w:pPr>
      <w:r>
        <w:rPr>
          <w:rFonts w:hint="eastAsia"/>
          <w:b/>
          <w:color w:val="000000"/>
          <w:szCs w:val="24"/>
        </w:rPr>
        <w:t>五其他事项</w:t>
      </w:r>
    </w:p>
    <w:p>
      <w:pPr>
        <w:numPr>
          <w:ilvl w:val="0"/>
          <w:numId w:val="3"/>
        </w:numPr>
        <w:adjustRightInd/>
        <w:snapToGrid/>
        <w:spacing w:line="400" w:lineRule="exact"/>
        <w:ind w:firstLineChars="0"/>
        <w:jc w:val="left"/>
        <w:rPr>
          <w:b/>
          <w:color w:val="000000"/>
          <w:sz w:val="22"/>
          <w:szCs w:val="22"/>
        </w:rPr>
      </w:pPr>
      <w:r>
        <w:rPr>
          <w:rFonts w:hint="eastAsia"/>
          <w:b/>
          <w:color w:val="000000"/>
          <w:sz w:val="22"/>
          <w:szCs w:val="22"/>
        </w:rPr>
        <w:t>合同纠纷解决</w:t>
      </w:r>
      <w:r>
        <w:rPr>
          <w:rFonts w:hint="eastAsia"/>
          <w:color w:val="000000"/>
          <w:sz w:val="22"/>
          <w:szCs w:val="22"/>
        </w:rPr>
        <w:t>：</w:t>
      </w:r>
    </w:p>
    <w:p>
      <w:pPr>
        <w:adjustRightInd/>
        <w:snapToGrid/>
        <w:spacing w:line="400" w:lineRule="exact"/>
        <w:ind w:firstLine="840" w:firstLineChars="350"/>
        <w:rPr>
          <w:b/>
          <w:color w:val="000000"/>
          <w:sz w:val="22"/>
          <w:szCs w:val="22"/>
        </w:rPr>
      </w:pPr>
      <w:r>
        <w:rPr>
          <w:szCs w:val="22"/>
        </w:rPr>
        <w:t>1</w:t>
      </w:r>
      <w:r>
        <w:rPr>
          <w:rFonts w:hint="eastAsia"/>
          <w:szCs w:val="22"/>
        </w:rPr>
        <w:t>）双方友好协商；</w:t>
      </w:r>
    </w:p>
    <w:p>
      <w:pPr>
        <w:adjustRightInd/>
        <w:snapToGrid/>
        <w:spacing w:line="400" w:lineRule="exact"/>
        <w:ind w:firstLine="840" w:firstLineChars="350"/>
        <w:jc w:val="left"/>
        <w:rPr>
          <w:color w:val="000000"/>
          <w:szCs w:val="24"/>
        </w:rPr>
      </w:pPr>
      <w:r>
        <w:rPr>
          <w:szCs w:val="22"/>
        </w:rPr>
        <w:t>2</w:t>
      </w:r>
      <w:r>
        <w:rPr>
          <w:rFonts w:hint="eastAsia"/>
          <w:szCs w:val="22"/>
        </w:rPr>
        <w:t>）</w:t>
      </w:r>
      <w:r>
        <w:rPr>
          <w:rFonts w:hint="eastAsia"/>
          <w:color w:val="000000"/>
          <w:szCs w:val="24"/>
        </w:rPr>
        <w:t>经协商后仍不能达成协议时，依法向甲方所在地人民法院提出诉讼。</w:t>
      </w:r>
    </w:p>
    <w:p>
      <w:pPr>
        <w:numPr>
          <w:ilvl w:val="0"/>
          <w:numId w:val="3"/>
        </w:numPr>
        <w:adjustRightInd/>
        <w:snapToGrid/>
        <w:spacing w:line="400" w:lineRule="exact"/>
        <w:ind w:firstLineChars="0"/>
        <w:jc w:val="left"/>
        <w:rPr>
          <w:szCs w:val="22"/>
        </w:rPr>
      </w:pPr>
      <w:r>
        <w:rPr>
          <w:rFonts w:hint="eastAsia"/>
          <w:b/>
          <w:szCs w:val="22"/>
        </w:rPr>
        <w:t>合同份数</w:t>
      </w:r>
      <w:r>
        <w:rPr>
          <w:rFonts w:hint="eastAsia"/>
          <w:szCs w:val="22"/>
        </w:rPr>
        <w:t>：本合同壹式五份，甲方执四份，乙方执一份，具同等法律效力。</w:t>
      </w:r>
    </w:p>
    <w:p>
      <w:pPr>
        <w:numPr>
          <w:ilvl w:val="0"/>
          <w:numId w:val="3"/>
        </w:numPr>
        <w:adjustRightInd/>
        <w:snapToGrid/>
        <w:spacing w:line="400" w:lineRule="exact"/>
        <w:ind w:firstLineChars="0"/>
        <w:jc w:val="left"/>
        <w:rPr>
          <w:rFonts w:hint="eastAsia"/>
          <w:szCs w:val="22"/>
        </w:rPr>
      </w:pPr>
      <w:r>
        <w:rPr>
          <w:rFonts w:hint="eastAsia"/>
          <w:b/>
          <w:szCs w:val="22"/>
        </w:rPr>
        <w:t>未尽事宜：</w:t>
      </w:r>
      <w:r>
        <w:rPr>
          <w:rFonts w:hint="eastAsia"/>
          <w:szCs w:val="22"/>
        </w:rPr>
        <w:t>甲乙双方经协商一致，可订立补充条款和附件，补充条款和附件是本合同不可分割的一部分。本合同附件为：</w:t>
      </w:r>
    </w:p>
    <w:p>
      <w:pPr>
        <w:adjustRightInd/>
        <w:snapToGrid/>
        <w:spacing w:line="400" w:lineRule="exact"/>
        <w:ind w:left="420" w:firstLine="0" w:firstLineChars="0"/>
        <w:jc w:val="left"/>
        <w:rPr>
          <w:szCs w:val="22"/>
        </w:rPr>
      </w:pPr>
    </w:p>
    <w:tbl>
      <w:tblPr>
        <w:tblStyle w:val="44"/>
        <w:tblW w:w="9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70"/>
        <w:gridCol w:w="4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5070" w:type="dxa"/>
            <w:noWrap w:val="0"/>
            <w:vAlign w:val="center"/>
          </w:tcPr>
          <w:p>
            <w:pPr>
              <w:adjustRightInd/>
              <w:snapToGrid/>
              <w:spacing w:line="400" w:lineRule="exact"/>
              <w:ind w:firstLine="0" w:firstLineChars="0"/>
              <w:jc w:val="left"/>
              <w:rPr>
                <w:bCs/>
                <w:color w:val="000000"/>
                <w:szCs w:val="21"/>
              </w:rPr>
            </w:pPr>
            <w:r>
              <w:rPr>
                <w:szCs w:val="21"/>
              </w:rPr>
              <w:t>甲方：西安热工研究院有限公司</w:t>
            </w:r>
          </w:p>
        </w:tc>
        <w:tc>
          <w:tcPr>
            <w:tcW w:w="4273" w:type="dxa"/>
            <w:noWrap w:val="0"/>
            <w:vAlign w:val="center"/>
          </w:tcPr>
          <w:p>
            <w:pPr>
              <w:adjustRightInd/>
              <w:snapToGrid/>
              <w:spacing w:line="400" w:lineRule="exact"/>
              <w:ind w:firstLine="0" w:firstLineChars="0"/>
              <w:jc w:val="left"/>
              <w:rPr>
                <w:bCs/>
                <w:color w:val="000000"/>
                <w:szCs w:val="21"/>
              </w:rPr>
            </w:pPr>
            <w:r>
              <w:rPr>
                <w:szCs w:val="21"/>
              </w:rPr>
              <w:t>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noWrap w:val="0"/>
            <w:vAlign w:val="top"/>
          </w:tcPr>
          <w:p>
            <w:pPr>
              <w:adjustRightInd/>
              <w:snapToGrid/>
              <w:spacing w:line="400" w:lineRule="exact"/>
              <w:ind w:firstLine="0" w:firstLineChars="0"/>
              <w:jc w:val="left"/>
              <w:rPr>
                <w:bCs/>
                <w:color w:val="000000"/>
                <w:szCs w:val="21"/>
              </w:rPr>
            </w:pPr>
            <w:r>
              <w:rPr>
                <w:szCs w:val="21"/>
              </w:rPr>
              <w:t>地址：西安市雁塔区雁翔路99号博源科技广场A座</w:t>
            </w:r>
          </w:p>
        </w:tc>
        <w:tc>
          <w:tcPr>
            <w:tcW w:w="4273" w:type="dxa"/>
            <w:noWrap w:val="0"/>
            <w:vAlign w:val="top"/>
          </w:tcPr>
          <w:p>
            <w:pPr>
              <w:adjustRightInd/>
              <w:snapToGrid/>
              <w:spacing w:line="400" w:lineRule="exact"/>
              <w:ind w:firstLine="0" w:firstLineChars="0"/>
              <w:jc w:val="left"/>
              <w:rPr>
                <w:szCs w:val="21"/>
              </w:rPr>
            </w:pPr>
            <w:r>
              <w:rPr>
                <w:szCs w:val="21"/>
              </w:rPr>
              <w:t>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noWrap w:val="0"/>
            <w:vAlign w:val="top"/>
          </w:tcPr>
          <w:p>
            <w:pPr>
              <w:adjustRightInd/>
              <w:snapToGrid/>
              <w:spacing w:line="400" w:lineRule="exact"/>
              <w:ind w:firstLine="0" w:firstLineChars="0"/>
              <w:jc w:val="left"/>
              <w:rPr>
                <w:bCs/>
                <w:color w:val="000000"/>
                <w:szCs w:val="21"/>
              </w:rPr>
            </w:pPr>
            <w:r>
              <w:rPr>
                <w:szCs w:val="21"/>
              </w:rPr>
              <w:t>开户行：中国银行西安金花北路支行</w:t>
            </w:r>
          </w:p>
        </w:tc>
        <w:tc>
          <w:tcPr>
            <w:tcW w:w="4273" w:type="dxa"/>
            <w:noWrap w:val="0"/>
            <w:vAlign w:val="top"/>
          </w:tcPr>
          <w:p>
            <w:pPr>
              <w:adjustRightInd/>
              <w:snapToGrid/>
              <w:spacing w:line="400" w:lineRule="exact"/>
              <w:ind w:firstLine="0" w:firstLineChars="0"/>
              <w:jc w:val="left"/>
              <w:rPr>
                <w:szCs w:val="21"/>
              </w:rPr>
            </w:pPr>
            <w:r>
              <w:rPr>
                <w:szCs w:val="21"/>
              </w:rPr>
              <w:t>开户行：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noWrap w:val="0"/>
            <w:vAlign w:val="top"/>
          </w:tcPr>
          <w:p>
            <w:pPr>
              <w:adjustRightInd/>
              <w:snapToGrid/>
              <w:spacing w:line="400" w:lineRule="exact"/>
              <w:ind w:firstLine="0" w:firstLineChars="0"/>
              <w:jc w:val="left"/>
              <w:rPr>
                <w:szCs w:val="21"/>
              </w:rPr>
            </w:pPr>
            <w:r>
              <w:rPr>
                <w:szCs w:val="21"/>
              </w:rPr>
              <w:t>账户名称：西安热工研究院有限公司</w:t>
            </w:r>
          </w:p>
        </w:tc>
        <w:tc>
          <w:tcPr>
            <w:tcW w:w="4273" w:type="dxa"/>
            <w:noWrap w:val="0"/>
            <w:vAlign w:val="top"/>
          </w:tcPr>
          <w:p>
            <w:pPr>
              <w:adjustRightInd/>
              <w:snapToGrid/>
              <w:spacing w:line="400" w:lineRule="exact"/>
              <w:ind w:firstLine="0" w:firstLineChars="0"/>
              <w:jc w:val="left"/>
              <w:rPr>
                <w:szCs w:val="21"/>
              </w:rPr>
            </w:pPr>
            <w:r>
              <w:rPr>
                <w:szCs w:val="21"/>
              </w:rPr>
              <w:t>账户名称：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noWrap w:val="0"/>
            <w:vAlign w:val="top"/>
          </w:tcPr>
          <w:p>
            <w:pPr>
              <w:adjustRightInd/>
              <w:snapToGrid/>
              <w:spacing w:line="400" w:lineRule="exact"/>
              <w:ind w:firstLine="0" w:firstLineChars="0"/>
              <w:jc w:val="left"/>
              <w:rPr>
                <w:bCs/>
                <w:color w:val="000000"/>
                <w:szCs w:val="21"/>
              </w:rPr>
            </w:pPr>
            <w:r>
              <w:rPr>
                <w:rFonts w:hAnsi="宋体"/>
                <w:bCs/>
                <w:color w:val="000000"/>
                <w:szCs w:val="21"/>
              </w:rPr>
              <w:t>帐号：</w:t>
            </w:r>
            <w:r>
              <w:rPr>
                <w:szCs w:val="21"/>
              </w:rPr>
              <w:t>1024 0021 2677</w:t>
            </w:r>
          </w:p>
        </w:tc>
        <w:tc>
          <w:tcPr>
            <w:tcW w:w="4273" w:type="dxa"/>
            <w:noWrap w:val="0"/>
            <w:vAlign w:val="top"/>
          </w:tcPr>
          <w:p>
            <w:pPr>
              <w:adjustRightInd/>
              <w:snapToGrid/>
              <w:spacing w:line="400" w:lineRule="exact"/>
              <w:ind w:firstLine="0" w:firstLineChars="0"/>
              <w:jc w:val="left"/>
              <w:rPr>
                <w:bCs/>
                <w:color w:val="000000"/>
                <w:szCs w:val="21"/>
              </w:rPr>
            </w:pPr>
            <w:r>
              <w:rPr>
                <w:rFonts w:hAnsi="宋体"/>
                <w:bCs/>
                <w:color w:val="000000"/>
                <w:szCs w:val="21"/>
              </w:rPr>
              <w:t>帐号：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noWrap w:val="0"/>
            <w:vAlign w:val="top"/>
          </w:tcPr>
          <w:p>
            <w:pPr>
              <w:adjustRightInd/>
              <w:snapToGrid/>
              <w:spacing w:line="400" w:lineRule="exact"/>
              <w:ind w:firstLine="0" w:firstLineChars="0"/>
              <w:jc w:val="left"/>
              <w:rPr>
                <w:bCs/>
                <w:color w:val="000000"/>
                <w:szCs w:val="21"/>
              </w:rPr>
            </w:pPr>
            <w:r>
              <w:rPr>
                <w:rFonts w:hAnsi="宋体"/>
                <w:bCs/>
                <w:color w:val="000000"/>
                <w:szCs w:val="21"/>
              </w:rPr>
              <w:t>联系人：谢天</w:t>
            </w:r>
          </w:p>
        </w:tc>
        <w:tc>
          <w:tcPr>
            <w:tcW w:w="4273" w:type="dxa"/>
            <w:noWrap w:val="0"/>
            <w:vAlign w:val="top"/>
          </w:tcPr>
          <w:p>
            <w:pPr>
              <w:adjustRightInd/>
              <w:snapToGrid/>
              <w:spacing w:line="400" w:lineRule="exact"/>
              <w:ind w:firstLine="0" w:firstLineChars="0"/>
              <w:jc w:val="left"/>
              <w:rPr>
                <w:bCs/>
                <w:color w:val="000000"/>
                <w:szCs w:val="21"/>
              </w:rPr>
            </w:pPr>
            <w:r>
              <w:rPr>
                <w:rFonts w:hAnsi="宋体"/>
                <w:bCs/>
                <w:color w:val="000000"/>
                <w:szCs w:val="21"/>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070" w:type="dxa"/>
            <w:noWrap w:val="0"/>
            <w:vAlign w:val="top"/>
          </w:tcPr>
          <w:p>
            <w:pPr>
              <w:adjustRightInd/>
              <w:snapToGrid/>
              <w:spacing w:line="400" w:lineRule="exact"/>
              <w:ind w:firstLine="0" w:firstLineChars="0"/>
              <w:jc w:val="left"/>
              <w:rPr>
                <w:bCs/>
                <w:color w:val="000000"/>
                <w:szCs w:val="21"/>
              </w:rPr>
            </w:pPr>
            <w:r>
              <w:rPr>
                <w:rFonts w:hAnsi="宋体"/>
                <w:bCs/>
                <w:color w:val="000000"/>
                <w:szCs w:val="21"/>
              </w:rPr>
              <w:t>电话：</w:t>
            </w:r>
            <w:r>
              <w:rPr>
                <w:bCs/>
                <w:color w:val="000000"/>
                <w:szCs w:val="21"/>
              </w:rPr>
              <w:t>029-82001395</w:t>
            </w:r>
          </w:p>
        </w:tc>
        <w:tc>
          <w:tcPr>
            <w:tcW w:w="4273" w:type="dxa"/>
            <w:noWrap w:val="0"/>
            <w:vAlign w:val="top"/>
          </w:tcPr>
          <w:p>
            <w:pPr>
              <w:adjustRightInd/>
              <w:snapToGrid/>
              <w:spacing w:line="400" w:lineRule="exact"/>
              <w:ind w:firstLine="0" w:firstLineChars="0"/>
              <w:jc w:val="left"/>
              <w:rPr>
                <w:bCs/>
                <w:color w:val="000000"/>
                <w:szCs w:val="21"/>
              </w:rPr>
            </w:pPr>
            <w:r>
              <w:rPr>
                <w:rFonts w:hAnsi="宋体"/>
                <w:bCs/>
                <w:color w:val="000000"/>
                <w:szCs w:val="21"/>
              </w:rPr>
              <w:t>电话：</w:t>
            </w:r>
          </w:p>
        </w:tc>
      </w:tr>
    </w:tbl>
    <w:p>
      <w:pPr>
        <w:adjustRightInd/>
        <w:snapToGrid/>
        <w:spacing w:line="400" w:lineRule="exact"/>
        <w:ind w:firstLine="0" w:firstLineChars="0"/>
        <w:jc w:val="left"/>
        <w:rPr>
          <w:szCs w:val="22"/>
        </w:rPr>
      </w:pPr>
    </w:p>
    <w:p>
      <w:pPr>
        <w:pStyle w:val="41"/>
        <w:spacing w:before="120"/>
        <w:rPr>
          <w:b/>
          <w:bCs/>
          <w:szCs w:val="24"/>
          <w:highlight w:val="yellow"/>
        </w:rPr>
      </w:pPr>
      <w:bookmarkStart w:id="99" w:name="_Toc525134814"/>
      <w:bookmarkStart w:id="100" w:name="_Toc1032389"/>
      <w:bookmarkStart w:id="101" w:name="_Toc246997081"/>
      <w:bookmarkStart w:id="102" w:name="_Toc246996338"/>
      <w:bookmarkStart w:id="103" w:name="_Toc179632787"/>
      <w:bookmarkStart w:id="104" w:name="_Toc247085853"/>
      <w:r>
        <w:rPr>
          <w:rFonts w:hint="eastAsia"/>
          <w:b/>
          <w:bCs/>
        </w:rPr>
        <w:t>第五章 采购需求</w:t>
      </w:r>
      <w:bookmarkEnd w:id="99"/>
      <w:bookmarkEnd w:id="100"/>
      <w:bookmarkEnd w:id="101"/>
      <w:bookmarkEnd w:id="102"/>
      <w:bookmarkEnd w:id="103"/>
      <w:bookmarkEnd w:id="104"/>
    </w:p>
    <w:p>
      <w:pPr>
        <w:pStyle w:val="3"/>
        <w:spacing w:before="120"/>
      </w:pPr>
      <w:r>
        <w:rPr>
          <w:rFonts w:hint="eastAsia"/>
        </w:rPr>
        <w:t>1</w:t>
      </w:r>
      <w:r>
        <w:t>总则</w:t>
      </w:r>
    </w:p>
    <w:p>
      <w:pPr>
        <w:spacing w:line="360" w:lineRule="auto"/>
        <w:ind w:firstLine="480"/>
        <w:outlineLvl w:val="2"/>
        <w:rPr>
          <w:rFonts w:ascii="仿宋" w:hAnsi="仿宋" w:eastAsia="仿宋"/>
          <w:b/>
          <w:szCs w:val="21"/>
        </w:rPr>
      </w:pPr>
      <w:r>
        <w:rPr>
          <w:rFonts w:hint="eastAsia" w:ascii="仿宋" w:hAnsi="仿宋" w:eastAsia="仿宋"/>
          <w:b/>
          <w:szCs w:val="21"/>
        </w:rPr>
        <w:t xml:space="preserve">1.1 </w:t>
      </w:r>
      <w:r>
        <w:rPr>
          <w:rFonts w:ascii="仿宋" w:hAnsi="仿宋" w:eastAsia="仿宋"/>
          <w:b/>
          <w:szCs w:val="21"/>
        </w:rPr>
        <w:t>一般规定</w:t>
      </w:r>
    </w:p>
    <w:p>
      <w:pPr>
        <w:numPr>
          <w:ilvl w:val="0"/>
          <w:numId w:val="4"/>
        </w:numPr>
        <w:adjustRightInd/>
        <w:snapToGrid/>
        <w:spacing w:line="360" w:lineRule="auto"/>
        <w:ind w:left="0" w:firstLine="480"/>
      </w:pPr>
      <w:r>
        <w:rPr>
          <w:rFonts w:hint="eastAsia"/>
        </w:rPr>
        <w:t>卖方必须有权威机关颁发的ISO-9000系列的认证书或等同的质量保证体系认证证书。卖方（包括分包商）应已设计、制造和提供过同类电缆</w:t>
      </w:r>
      <w:r>
        <w:rPr>
          <w:rFonts w:hint="eastAsia" w:cs="宋体"/>
        </w:rPr>
        <w:t>且使用条件应与本工程相类</w:t>
      </w:r>
      <w:r>
        <w:rPr>
          <w:rFonts w:hint="eastAsia"/>
        </w:rPr>
        <w:t>似</w:t>
      </w:r>
      <w:r>
        <w:rPr>
          <w:rFonts w:hint="eastAsia" w:cs="宋体"/>
        </w:rPr>
        <w:t>或较规定的条件更严格</w:t>
      </w:r>
      <w:r>
        <w:rPr>
          <w:rFonts w:hint="eastAsia"/>
        </w:rPr>
        <w:t>。</w:t>
      </w:r>
    </w:p>
    <w:p>
      <w:pPr>
        <w:numPr>
          <w:ilvl w:val="0"/>
          <w:numId w:val="4"/>
        </w:numPr>
        <w:adjustRightInd/>
        <w:snapToGrid/>
        <w:spacing w:line="360" w:lineRule="auto"/>
        <w:ind w:left="0" w:firstLine="480"/>
      </w:pPr>
      <w:r>
        <w:rPr>
          <w:rFonts w:hint="eastAsia"/>
        </w:rPr>
        <w:t>如果卖方没有以书面形式对本技术规范书的条文提出异议</w:t>
      </w:r>
      <w:r>
        <w:rPr>
          <w:rFonts w:hint="eastAsia" w:cs="宋体"/>
        </w:rPr>
        <w:t>则意味着卖方提供的产品完</w:t>
      </w:r>
      <w:r>
        <w:rPr>
          <w:rFonts w:hint="eastAsia"/>
        </w:rPr>
        <w:t>全符合本技术规范书的要求。如有偏差</w:t>
      </w:r>
      <w:r>
        <w:rPr>
          <w:rFonts w:hint="eastAsia" w:cs="宋体"/>
        </w:rPr>
        <w:t>应在技术文件中以技术专用部分附录的格式进行描述。</w:t>
      </w:r>
    </w:p>
    <w:p>
      <w:pPr>
        <w:numPr>
          <w:ilvl w:val="0"/>
          <w:numId w:val="4"/>
        </w:numPr>
        <w:adjustRightInd/>
        <w:snapToGrid/>
        <w:spacing w:line="360" w:lineRule="auto"/>
        <w:ind w:left="0" w:firstLine="480"/>
      </w:pPr>
      <w:r>
        <w:rPr>
          <w:rFonts w:hint="eastAsia"/>
        </w:rPr>
        <w:t>本技术规范书所使用的标准如与卖方所执行的标准不一致时</w:t>
      </w:r>
      <w:r>
        <w:rPr>
          <w:rFonts w:hint="eastAsia" w:cs="宋体"/>
        </w:rPr>
        <w:t>按较高标准执行。</w:t>
      </w:r>
    </w:p>
    <w:p>
      <w:pPr>
        <w:numPr>
          <w:ilvl w:val="0"/>
          <w:numId w:val="4"/>
        </w:numPr>
        <w:adjustRightInd/>
        <w:snapToGrid/>
        <w:spacing w:line="360" w:lineRule="auto"/>
        <w:ind w:left="0" w:firstLine="480"/>
      </w:pPr>
      <w:r>
        <w:rPr>
          <w:rFonts w:hint="eastAsia"/>
        </w:rPr>
        <w:t>本技术规范书提出的是最低限度的技术要求并未对一切技术细节做出规定也未充分引述有关标准和规范的条文，卖方应提供符合GB和IEC最新版本的标准和本技术规范书的优质产品。</w:t>
      </w:r>
    </w:p>
    <w:p>
      <w:pPr>
        <w:numPr>
          <w:ilvl w:val="0"/>
          <w:numId w:val="4"/>
        </w:numPr>
        <w:adjustRightInd/>
        <w:snapToGrid/>
        <w:spacing w:line="360" w:lineRule="auto"/>
        <w:ind w:left="0" w:firstLine="480"/>
      </w:pPr>
      <w:r>
        <w:rPr>
          <w:rFonts w:hint="eastAsia"/>
        </w:rPr>
        <w:t>本技术规范书经买卖双方确认后</w:t>
      </w:r>
      <w:r>
        <w:rPr>
          <w:rFonts w:hint="eastAsia" w:cs="宋体"/>
        </w:rPr>
        <w:t>作为合同的附件与合同正文具有同等的法律效力。</w:t>
      </w:r>
    </w:p>
    <w:p>
      <w:pPr>
        <w:numPr>
          <w:ilvl w:val="0"/>
          <w:numId w:val="4"/>
        </w:numPr>
        <w:adjustRightInd/>
        <w:snapToGrid/>
        <w:spacing w:line="360" w:lineRule="auto"/>
        <w:ind w:left="0" w:firstLine="480"/>
      </w:pPr>
      <w:r>
        <w:rPr>
          <w:rFonts w:hint="eastAsia"/>
        </w:rPr>
        <w:t>本技术规范书未尽事宜</w:t>
      </w:r>
      <w:r>
        <w:rPr>
          <w:rFonts w:hint="eastAsia" w:cs="宋体"/>
        </w:rPr>
        <w:t>由双方在合同技术</w:t>
      </w:r>
      <w:r>
        <w:rPr>
          <w:rFonts w:hint="eastAsia"/>
        </w:rPr>
        <w:t>谈判时协商确定。</w:t>
      </w:r>
    </w:p>
    <w:p>
      <w:pPr>
        <w:numPr>
          <w:ilvl w:val="0"/>
          <w:numId w:val="4"/>
        </w:numPr>
        <w:adjustRightInd/>
        <w:snapToGrid/>
        <w:spacing w:line="360" w:lineRule="auto"/>
        <w:ind w:left="0" w:firstLine="480"/>
        <w:rPr>
          <w:color w:val="000000"/>
        </w:rPr>
      </w:pPr>
      <w:r>
        <w:t>卖方</w:t>
      </w:r>
      <w:r>
        <w:rPr>
          <w:color w:val="000000"/>
        </w:rPr>
        <w:t>所提供的产品必须符合中国人民共和国相关规范标准，包括相应的国际准则</w:t>
      </w:r>
      <w:r>
        <w:rPr>
          <w:rFonts w:hint="eastAsia"/>
          <w:color w:val="000000"/>
        </w:rPr>
        <w:t>，</w:t>
      </w:r>
      <w:r>
        <w:rPr>
          <w:color w:val="000000"/>
        </w:rPr>
        <w:t>所提供产品</w:t>
      </w:r>
      <w:r>
        <w:rPr>
          <w:rFonts w:hint="eastAsia"/>
          <w:color w:val="000000"/>
        </w:rPr>
        <w:t>如在</w:t>
      </w:r>
      <w:r>
        <w:rPr>
          <w:color w:val="000000"/>
        </w:rPr>
        <w:t>中华人民共和国国家强制性认证（即</w:t>
      </w:r>
      <w:r>
        <w:rPr>
          <w:rFonts w:hint="eastAsia"/>
          <w:color w:val="000000"/>
        </w:rPr>
        <w:t>“</w:t>
      </w:r>
      <w:r>
        <w:rPr>
          <w:color w:val="000000"/>
        </w:rPr>
        <w:t>3C</w:t>
      </w:r>
      <w:r>
        <w:rPr>
          <w:rFonts w:hint="eastAsia"/>
          <w:color w:val="000000"/>
        </w:rPr>
        <w:t>”</w:t>
      </w:r>
      <w:r>
        <w:rPr>
          <w:color w:val="000000"/>
        </w:rPr>
        <w:t>认证）</w:t>
      </w:r>
      <w:r>
        <w:rPr>
          <w:rFonts w:hint="eastAsia"/>
          <w:color w:val="000000"/>
        </w:rPr>
        <w:t>产品目录中，则必须通过相关审核程序</w:t>
      </w:r>
      <w:r>
        <w:rPr>
          <w:color w:val="000000"/>
        </w:rPr>
        <w:t>。</w:t>
      </w:r>
    </w:p>
    <w:p>
      <w:pPr>
        <w:numPr>
          <w:ilvl w:val="0"/>
          <w:numId w:val="4"/>
        </w:numPr>
        <w:adjustRightInd/>
        <w:snapToGrid/>
        <w:spacing w:line="360" w:lineRule="auto"/>
        <w:ind w:left="0" w:firstLine="480"/>
      </w:pPr>
      <w:r>
        <w:t>本</w:t>
      </w:r>
      <w:r>
        <w:rPr>
          <w:rFonts w:hint="eastAsia"/>
        </w:rPr>
        <w:t>技术规范书</w:t>
      </w:r>
      <w:r>
        <w:t>规定了卖方遵循的标准、电缆的技术要求、试验、包装及储运等。卖方提供的电缆应为质量可靠的优质产品，且均通过型式试验和鉴定，并经长期实践运行证明产品质量优良、安全可靠。</w:t>
      </w:r>
    </w:p>
    <w:p>
      <w:pPr>
        <w:numPr>
          <w:ilvl w:val="0"/>
          <w:numId w:val="4"/>
        </w:numPr>
        <w:adjustRightInd/>
        <w:snapToGrid/>
        <w:spacing w:line="360" w:lineRule="auto"/>
        <w:ind w:left="0" w:firstLine="480"/>
      </w:pPr>
      <w:r>
        <w:t>卖方供货的电缆，包括控制电缆、计算机电缆、动力电缆等，应具有较好的电气性能，机械物理性能以及不延燃性，应能满足有关国际、国家规范和标准。</w:t>
      </w:r>
    </w:p>
    <w:p>
      <w:pPr>
        <w:spacing w:line="360" w:lineRule="auto"/>
        <w:ind w:firstLine="480"/>
        <w:outlineLvl w:val="2"/>
        <w:rPr>
          <w:rFonts w:ascii="仿宋" w:hAnsi="仿宋" w:eastAsia="仿宋"/>
          <w:b/>
          <w:szCs w:val="21"/>
        </w:rPr>
      </w:pPr>
      <w:r>
        <w:rPr>
          <w:rFonts w:hint="eastAsia" w:ascii="仿宋" w:hAnsi="仿宋" w:eastAsia="仿宋"/>
          <w:b/>
          <w:szCs w:val="21"/>
        </w:rPr>
        <w:t xml:space="preserve">1.2 </w:t>
      </w:r>
      <w:r>
        <w:rPr>
          <w:rFonts w:ascii="仿宋" w:hAnsi="仿宋" w:eastAsia="仿宋"/>
          <w:b/>
          <w:szCs w:val="21"/>
        </w:rPr>
        <w:t>卖方应提供的资格文件</w:t>
      </w:r>
    </w:p>
    <w:p>
      <w:pPr>
        <w:numPr>
          <w:ilvl w:val="0"/>
          <w:numId w:val="5"/>
        </w:numPr>
        <w:adjustRightInd/>
        <w:snapToGrid/>
        <w:spacing w:line="360" w:lineRule="auto"/>
        <w:ind w:left="0" w:firstLine="480"/>
      </w:pPr>
      <w:r>
        <w:t>拥有权威机构颁发的 ISO-9000 系列的认证证书或等同的质量保证体系认证证书。</w:t>
      </w:r>
    </w:p>
    <w:p>
      <w:pPr>
        <w:numPr>
          <w:ilvl w:val="0"/>
          <w:numId w:val="5"/>
        </w:numPr>
        <w:adjustRightInd/>
        <w:snapToGrid/>
        <w:spacing w:line="360" w:lineRule="auto"/>
        <w:ind w:left="0" w:firstLine="480"/>
      </w:pPr>
      <w:r>
        <w:t>具有履行合同所需的生产技术和生产能力的文件资料。</w:t>
      </w:r>
    </w:p>
    <w:p>
      <w:pPr>
        <w:numPr>
          <w:ilvl w:val="0"/>
          <w:numId w:val="5"/>
        </w:numPr>
        <w:adjustRightInd/>
        <w:snapToGrid/>
        <w:spacing w:line="360" w:lineRule="auto"/>
        <w:ind w:left="0" w:firstLine="480"/>
      </w:pPr>
      <w:r>
        <w:t>有能力履行合同设备维护保养、修理及其他服务义务的文件。</w:t>
      </w:r>
    </w:p>
    <w:p>
      <w:pPr>
        <w:numPr>
          <w:ilvl w:val="0"/>
          <w:numId w:val="5"/>
        </w:numPr>
        <w:adjustRightInd/>
        <w:snapToGrid/>
        <w:spacing w:line="360" w:lineRule="auto"/>
        <w:ind w:left="0" w:firstLine="480"/>
      </w:pPr>
      <w:r>
        <w:t>应提供专业检测机构出具的不超过五年的与本协议型号相同/相近的电力电缆型式试验报告，型式试验报告中电缆的截面不得小于本协议电缆的截面，报告应由具有资质的第三方权威检测机构出具。</w:t>
      </w:r>
    </w:p>
    <w:p>
      <w:pPr>
        <w:numPr>
          <w:ilvl w:val="0"/>
          <w:numId w:val="5"/>
        </w:numPr>
        <w:adjustRightInd/>
        <w:snapToGrid/>
        <w:spacing w:line="360" w:lineRule="auto"/>
        <w:ind w:left="0" w:firstLine="480"/>
      </w:pPr>
      <w:r>
        <w:t>所提供的组部件和主要材料如需向外协单位外购时，应列出外协单位清单，并就其质量做出承诺。同时提供外协单位相应的例行检验报告、进厂验收证明、外协单位的相应资质证明材料和长期供货合同。</w:t>
      </w:r>
    </w:p>
    <w:p>
      <w:pPr>
        <w:spacing w:line="360" w:lineRule="auto"/>
        <w:ind w:firstLine="480"/>
        <w:outlineLvl w:val="2"/>
        <w:rPr>
          <w:rFonts w:ascii="仿宋" w:hAnsi="仿宋" w:eastAsia="仿宋"/>
          <w:b/>
          <w:szCs w:val="21"/>
        </w:rPr>
      </w:pPr>
      <w:r>
        <w:rPr>
          <w:rFonts w:hint="eastAsia" w:ascii="仿宋" w:hAnsi="仿宋" w:eastAsia="仿宋"/>
          <w:b/>
          <w:szCs w:val="21"/>
        </w:rPr>
        <w:t>1.3 对设计图纸、说明书和试验报告的要求</w:t>
      </w:r>
    </w:p>
    <w:p>
      <w:pPr>
        <w:numPr>
          <w:ilvl w:val="0"/>
          <w:numId w:val="6"/>
        </w:numPr>
        <w:adjustRightInd/>
        <w:snapToGrid/>
        <w:spacing w:line="360" w:lineRule="auto"/>
        <w:ind w:left="0" w:firstLine="482" w:firstLineChars="0"/>
      </w:pPr>
      <w:r>
        <w:rPr>
          <w:rFonts w:hint="eastAsia"/>
        </w:rPr>
        <w:t>技术资料和图纸的要求</w:t>
      </w:r>
    </w:p>
    <w:p>
      <w:pPr>
        <w:numPr>
          <w:ilvl w:val="0"/>
          <w:numId w:val="7"/>
        </w:numPr>
        <w:adjustRightInd/>
        <w:snapToGrid/>
        <w:spacing w:line="360" w:lineRule="auto"/>
        <w:ind w:left="0" w:firstLine="480"/>
      </w:pPr>
      <w:r>
        <w:rPr>
          <w:rFonts w:hint="eastAsia"/>
        </w:rPr>
        <w:t>如有必要，工作开始之前，卖方应提供图纸、设计资料和文件经买方批准。对于买方为满足技术规范书的要求直接做出的修改，卖方应重新提供修改的文件。</w:t>
      </w:r>
    </w:p>
    <w:p>
      <w:pPr>
        <w:numPr>
          <w:ilvl w:val="0"/>
          <w:numId w:val="7"/>
        </w:numPr>
        <w:adjustRightInd/>
        <w:snapToGrid/>
        <w:spacing w:line="360" w:lineRule="auto"/>
        <w:ind w:left="0" w:firstLine="480"/>
      </w:pPr>
      <w:r>
        <w:rPr>
          <w:rFonts w:hint="eastAsia"/>
        </w:rPr>
        <w:t>卖方应在生产前1个月（特殊情况除外）将生产计划通知买方，如果卖方在没有得到批准文件的情况下着手进行工作，卖方应对必要修改发生的费用承担全部的责任，文件的批准应不会降低产品的质量，并且不因此减轻卖方为提供合格产品而承担的责任。</w:t>
      </w:r>
    </w:p>
    <w:p>
      <w:pPr>
        <w:numPr>
          <w:ilvl w:val="0"/>
          <w:numId w:val="7"/>
        </w:numPr>
        <w:adjustRightInd/>
        <w:snapToGrid/>
        <w:spacing w:line="360" w:lineRule="auto"/>
        <w:ind w:left="0" w:firstLine="480"/>
      </w:pPr>
      <w:r>
        <w:rPr>
          <w:rFonts w:hint="eastAsia"/>
        </w:rPr>
        <w:t>应在试验开始前1个月提交详细试验安排表。</w:t>
      </w:r>
    </w:p>
    <w:p>
      <w:pPr>
        <w:numPr>
          <w:ilvl w:val="0"/>
          <w:numId w:val="7"/>
        </w:numPr>
        <w:adjustRightInd/>
        <w:snapToGrid/>
        <w:spacing w:line="360" w:lineRule="auto"/>
        <w:ind w:left="0" w:firstLine="480"/>
      </w:pPr>
      <w:r>
        <w:rPr>
          <w:rFonts w:hint="eastAsia"/>
        </w:rPr>
        <w:t>所有经批准的文件都应有对修改内容加标注的专栏，经修改的文件应用红色箭头或其他清楚的形式指出修改的地方，应该在文件的适当地方写上买方的名称、标题、卖方的专责工程师的签名、准备日期和相应的文件编号。图纸和文件的尺寸一般应为 210mm×297mm（A4纸型），同时应将修改的图纸和文件提交给买方。</w:t>
      </w:r>
    </w:p>
    <w:p>
      <w:pPr>
        <w:numPr>
          <w:ilvl w:val="0"/>
          <w:numId w:val="6"/>
        </w:numPr>
        <w:adjustRightInd/>
        <w:snapToGrid/>
        <w:spacing w:line="360" w:lineRule="auto"/>
        <w:ind w:left="0" w:firstLine="482" w:firstLineChars="0"/>
      </w:pPr>
      <w:r>
        <w:rPr>
          <w:rFonts w:hint="eastAsia"/>
        </w:rPr>
        <w:t>产品说明书</w:t>
      </w:r>
    </w:p>
    <w:p>
      <w:pPr>
        <w:numPr>
          <w:ilvl w:val="0"/>
          <w:numId w:val="8"/>
        </w:numPr>
        <w:adjustRightInd/>
        <w:snapToGrid/>
        <w:spacing w:line="360" w:lineRule="auto"/>
        <w:ind w:left="0" w:firstLine="480"/>
      </w:pPr>
      <w:r>
        <w:rPr>
          <w:rFonts w:hint="eastAsia"/>
        </w:rPr>
        <w:t>提供电缆的结构型式的简要概述及照片。</w:t>
      </w:r>
    </w:p>
    <w:p>
      <w:pPr>
        <w:numPr>
          <w:ilvl w:val="0"/>
          <w:numId w:val="8"/>
        </w:numPr>
        <w:adjustRightInd/>
        <w:snapToGrid/>
        <w:spacing w:line="360" w:lineRule="auto"/>
        <w:ind w:left="0" w:firstLine="480"/>
      </w:pPr>
      <w:r>
        <w:rPr>
          <w:rFonts w:hint="eastAsia"/>
        </w:rPr>
        <w:t>说明书应包括下列各项：型号、结构尺寸（附结构图）、技术参数、适用范围、使用环境、安装、维护、运输、保管及其他需注意的事项等。</w:t>
      </w:r>
    </w:p>
    <w:p>
      <w:pPr>
        <w:numPr>
          <w:ilvl w:val="0"/>
          <w:numId w:val="6"/>
        </w:numPr>
        <w:adjustRightInd/>
        <w:snapToGrid/>
        <w:spacing w:line="360" w:lineRule="auto"/>
        <w:ind w:left="0" w:firstLine="482" w:firstLineChars="0"/>
      </w:pPr>
      <w:r>
        <w:rPr>
          <w:rFonts w:hint="eastAsia"/>
        </w:rPr>
        <w:t>试验报告</w:t>
      </w:r>
    </w:p>
    <w:p>
      <w:pPr>
        <w:numPr>
          <w:ilvl w:val="0"/>
          <w:numId w:val="9"/>
        </w:numPr>
        <w:adjustRightInd/>
        <w:snapToGrid/>
        <w:spacing w:line="360" w:lineRule="auto"/>
        <w:ind w:left="0" w:firstLine="480"/>
      </w:pPr>
      <w:r>
        <w:rPr>
          <w:rFonts w:hint="eastAsia"/>
        </w:rPr>
        <w:t>提供电缆的出厂试验报告。</w:t>
      </w:r>
    </w:p>
    <w:p>
      <w:pPr>
        <w:numPr>
          <w:ilvl w:val="0"/>
          <w:numId w:val="9"/>
        </w:numPr>
        <w:adjustRightInd/>
        <w:snapToGrid/>
        <w:spacing w:line="360" w:lineRule="auto"/>
        <w:ind w:left="0" w:firstLine="480"/>
      </w:pPr>
      <w:r>
        <w:rPr>
          <w:rFonts w:hint="eastAsia"/>
        </w:rPr>
        <w:t>提供与所技术型号相同/相近的电力电缆的型式试验报告。</w:t>
      </w:r>
    </w:p>
    <w:p>
      <w:pPr>
        <w:numPr>
          <w:ilvl w:val="0"/>
          <w:numId w:val="9"/>
        </w:numPr>
        <w:adjustRightInd/>
        <w:snapToGrid/>
        <w:spacing w:line="360" w:lineRule="auto"/>
        <w:ind w:left="0" w:firstLine="480"/>
      </w:pPr>
      <w:r>
        <w:rPr>
          <w:rFonts w:hint="eastAsia"/>
        </w:rPr>
        <w:t>需要时提供特殊试验报告，如阻燃试验、防白蚁试验等。</w:t>
      </w:r>
    </w:p>
    <w:p>
      <w:pPr>
        <w:pStyle w:val="3"/>
        <w:spacing w:before="120"/>
      </w:pPr>
      <w:r>
        <w:rPr>
          <w:rFonts w:hint="eastAsia"/>
        </w:rPr>
        <w:t>2标准和规范</w:t>
      </w:r>
    </w:p>
    <w:p>
      <w:pPr>
        <w:spacing w:line="360" w:lineRule="auto"/>
        <w:ind w:firstLine="480"/>
      </w:pPr>
      <w:r>
        <w:rPr>
          <w:rFonts w:hint="eastAsia"/>
        </w:rPr>
        <w:t>合同设备包括卖方向其他厂商购买的所有附件和设备。所有设备都应符合相应的标准、规范或法规的最新版本的要求</w:t>
      </w:r>
      <w:r>
        <w:rPr>
          <w:rFonts w:hint="eastAsia" w:cs="宋体"/>
        </w:rPr>
        <w:t>，除非另有特别外，交货期内有效的任何修正和补充都</w:t>
      </w:r>
      <w:r>
        <w:rPr>
          <w:rFonts w:hint="eastAsia"/>
        </w:rPr>
        <w:t>应包括在内。除非合同另有规定</w:t>
      </w:r>
      <w:r>
        <w:rPr>
          <w:rFonts w:hint="eastAsia" w:cs="宋体"/>
        </w:rPr>
        <w:t>，均须遵守最新的国家标准</w:t>
      </w:r>
      <w:r>
        <w:rPr>
          <w:rFonts w:hint="eastAsia"/>
        </w:rPr>
        <w:t>（GB）和国际电工委员会（IEC）标准以及国际单位制（SI）标准。如采用合资或合作产品</w:t>
      </w:r>
      <w:r>
        <w:rPr>
          <w:rFonts w:hint="eastAsia" w:cs="宋体"/>
        </w:rPr>
        <w:t>，还应遵守合作方国家标准，当上述标准</w:t>
      </w:r>
      <w:r>
        <w:rPr>
          <w:rFonts w:hint="eastAsia"/>
        </w:rPr>
        <w:t>不一致时按高标准执行。</w:t>
      </w:r>
    </w:p>
    <w:p>
      <w:pPr>
        <w:spacing w:line="360" w:lineRule="auto"/>
        <w:ind w:firstLine="0" w:firstLineChars="0"/>
      </w:pPr>
      <w:r>
        <w:rPr>
          <w:rFonts w:hint="eastAsia"/>
        </w:rPr>
        <w:t>卖方提供的设备和配套件要符合以下标准但不局限于以下标准：</w:t>
      </w:r>
    </w:p>
    <w:tbl>
      <w:tblPr>
        <w:tblStyle w:val="44"/>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7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50217</w:t>
            </w:r>
          </w:p>
        </w:tc>
        <w:tc>
          <w:tcPr>
            <w:tcW w:w="3895" w:type="pct"/>
            <w:noWrap w:val="0"/>
            <w:vAlign w:val="center"/>
          </w:tcPr>
          <w:p>
            <w:pPr>
              <w:ind w:firstLine="0" w:firstLineChars="0"/>
            </w:pPr>
            <w:r>
              <w:t>电力工程电缆设计规范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12706</w:t>
            </w:r>
            <w:r>
              <w:rPr>
                <w:rFonts w:hint="eastAsia"/>
              </w:rPr>
              <w:t>.1</w:t>
            </w:r>
          </w:p>
        </w:tc>
        <w:tc>
          <w:tcPr>
            <w:tcW w:w="3895" w:type="pct"/>
            <w:noWrap w:val="0"/>
            <w:vAlign w:val="center"/>
          </w:tcPr>
          <w:p>
            <w:pPr>
              <w:ind w:firstLine="0" w:firstLineChars="0"/>
            </w:pPr>
            <w:r>
              <w:t>额定电压0.6/1kV（Um=1.2kV）到3kV（Um=3.6kV）挤包绝缘电力电缆及附件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3048</w:t>
            </w:r>
          </w:p>
        </w:tc>
        <w:tc>
          <w:tcPr>
            <w:tcW w:w="3895" w:type="pct"/>
            <w:noWrap w:val="0"/>
            <w:vAlign w:val="center"/>
          </w:tcPr>
          <w:p>
            <w:pPr>
              <w:ind w:firstLine="0" w:firstLineChars="0"/>
            </w:pPr>
            <w:r>
              <w:t>电线电缆电性能试验方法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2951</w:t>
            </w:r>
          </w:p>
        </w:tc>
        <w:tc>
          <w:tcPr>
            <w:tcW w:w="3895" w:type="pct"/>
            <w:noWrap w:val="0"/>
            <w:vAlign w:val="center"/>
          </w:tcPr>
          <w:p>
            <w:pPr>
              <w:ind w:firstLine="0" w:firstLineChars="0"/>
            </w:pPr>
            <w:r>
              <w:t>电缆和光缆绝缘和护套材料通用试验方法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2952</w:t>
            </w:r>
          </w:p>
        </w:tc>
        <w:tc>
          <w:tcPr>
            <w:tcW w:w="3895" w:type="pct"/>
            <w:noWrap w:val="0"/>
            <w:vAlign w:val="center"/>
          </w:tcPr>
          <w:p>
            <w:pPr>
              <w:ind w:firstLine="0" w:firstLineChars="0"/>
            </w:pPr>
            <w:r>
              <w:t>电缆外护层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3956</w:t>
            </w:r>
          </w:p>
        </w:tc>
        <w:tc>
          <w:tcPr>
            <w:tcW w:w="3895" w:type="pct"/>
            <w:noWrap w:val="0"/>
            <w:vAlign w:val="center"/>
          </w:tcPr>
          <w:p>
            <w:pPr>
              <w:ind w:firstLine="0" w:firstLineChars="0"/>
            </w:pPr>
            <w:r>
              <w:t>电缆的导体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6995</w:t>
            </w:r>
          </w:p>
        </w:tc>
        <w:tc>
          <w:tcPr>
            <w:tcW w:w="3895" w:type="pct"/>
            <w:noWrap w:val="0"/>
            <w:vAlign w:val="center"/>
          </w:tcPr>
          <w:p>
            <w:pPr>
              <w:ind w:firstLine="0" w:firstLineChars="0"/>
            </w:pPr>
            <w:r>
              <w:t>电线电缆识别标志方法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19666</w:t>
            </w:r>
          </w:p>
        </w:tc>
        <w:tc>
          <w:tcPr>
            <w:tcW w:w="3895" w:type="pct"/>
            <w:noWrap w:val="0"/>
            <w:vAlign w:val="center"/>
          </w:tcPr>
          <w:p>
            <w:pPr>
              <w:ind w:firstLine="0" w:firstLineChars="0"/>
            </w:pPr>
            <w:r>
              <w:t>阻燃和耐火电线电缆通则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18380</w:t>
            </w:r>
          </w:p>
        </w:tc>
        <w:tc>
          <w:tcPr>
            <w:tcW w:w="3895" w:type="pct"/>
            <w:noWrap w:val="0"/>
            <w:vAlign w:val="center"/>
          </w:tcPr>
          <w:p>
            <w:pPr>
              <w:ind w:firstLine="0" w:firstLineChars="0"/>
            </w:pPr>
            <w:r>
              <w:t>电缆和光缆在火焰下的燃烧试验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11091</w:t>
            </w:r>
          </w:p>
        </w:tc>
        <w:tc>
          <w:tcPr>
            <w:tcW w:w="3895" w:type="pct"/>
            <w:noWrap w:val="0"/>
            <w:vAlign w:val="center"/>
          </w:tcPr>
          <w:p>
            <w:pPr>
              <w:ind w:firstLine="0" w:firstLineChars="0"/>
            </w:pPr>
            <w:r>
              <w:t>电缆用铜带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17650</w:t>
            </w:r>
          </w:p>
        </w:tc>
        <w:tc>
          <w:tcPr>
            <w:tcW w:w="3895" w:type="pct"/>
            <w:noWrap w:val="0"/>
            <w:vAlign w:val="center"/>
          </w:tcPr>
          <w:p>
            <w:pPr>
              <w:ind w:firstLine="0" w:firstLineChars="0"/>
            </w:pPr>
            <w:r>
              <w:t>取电缆或光缆的材料燃烧时释出气体的试验方法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GB12666</w:t>
            </w:r>
          </w:p>
        </w:tc>
        <w:tc>
          <w:tcPr>
            <w:tcW w:w="3895" w:type="pct"/>
            <w:noWrap w:val="0"/>
            <w:vAlign w:val="center"/>
          </w:tcPr>
          <w:p>
            <w:pPr>
              <w:ind w:firstLine="0" w:firstLineChars="0"/>
            </w:pPr>
            <w:r>
              <w:t>成束电线电缆燃烧试验方法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GB/T 17651</w:t>
            </w:r>
          </w:p>
        </w:tc>
        <w:tc>
          <w:tcPr>
            <w:tcW w:w="3895" w:type="pct"/>
            <w:noWrap w:val="0"/>
            <w:vAlign w:val="center"/>
          </w:tcPr>
          <w:p>
            <w:pPr>
              <w:ind w:firstLine="0" w:firstLineChars="0"/>
            </w:pPr>
            <w:r>
              <w:t>电缆或光缆在特定条件下燃烧的烟密度测定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JB/T 8137</w:t>
            </w:r>
          </w:p>
        </w:tc>
        <w:tc>
          <w:tcPr>
            <w:tcW w:w="3895" w:type="pct"/>
            <w:noWrap w:val="0"/>
            <w:vAlign w:val="center"/>
          </w:tcPr>
          <w:p>
            <w:pPr>
              <w:ind w:firstLine="0" w:firstLineChars="0"/>
            </w:pPr>
            <w:r>
              <w:t>电线电缆交货盘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YB/T 024</w:t>
            </w:r>
          </w:p>
        </w:tc>
        <w:tc>
          <w:tcPr>
            <w:tcW w:w="3895" w:type="pct"/>
            <w:noWrap w:val="0"/>
            <w:vAlign w:val="center"/>
          </w:tcPr>
          <w:p>
            <w:pPr>
              <w:ind w:firstLine="0" w:firstLineChars="0"/>
            </w:pPr>
            <w:r>
              <w:t>铠装电缆用钢带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rPr>
                <w:kern w:val="0"/>
              </w:rPr>
            </w:pPr>
            <w:r>
              <w:rPr>
                <w:kern w:val="0"/>
              </w:rPr>
              <w:t xml:space="preserve">GB/T </w:t>
            </w:r>
            <w:r>
              <w:t>3953</w:t>
            </w:r>
            <w:r>
              <w:rPr>
                <w:kern w:val="0"/>
              </w:rPr>
              <w:t>-2009</w:t>
            </w:r>
          </w:p>
        </w:tc>
        <w:tc>
          <w:tcPr>
            <w:tcW w:w="3895" w:type="pct"/>
            <w:noWrap w:val="0"/>
            <w:vAlign w:val="center"/>
          </w:tcPr>
          <w:p>
            <w:pPr>
              <w:ind w:firstLine="0" w:firstLineChars="0"/>
            </w:pPr>
            <w:r>
              <w:t>电工圆铜线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rPr>
                <w:kern w:val="0"/>
              </w:rPr>
            </w:pPr>
            <w:r>
              <w:rPr>
                <w:rFonts w:hint="eastAsia"/>
                <w:kern w:val="0"/>
              </w:rPr>
              <w:t>G</w:t>
            </w:r>
            <w:r>
              <w:rPr>
                <w:kern w:val="0"/>
              </w:rPr>
              <w:t>B12666.5</w:t>
            </w:r>
          </w:p>
        </w:tc>
        <w:tc>
          <w:tcPr>
            <w:tcW w:w="3895" w:type="pct"/>
            <w:noWrap w:val="0"/>
            <w:vAlign w:val="center"/>
          </w:tcPr>
          <w:p>
            <w:pPr>
              <w:ind w:firstLine="0" w:firstLineChars="0"/>
            </w:pPr>
            <w:r>
              <w:rPr>
                <w:rFonts w:hint="eastAsia"/>
              </w:rPr>
              <w:t>电线电缆燃烧试验方法第5部分成束电线电缆燃烧试验方法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rPr>
                <w:kern w:val="0"/>
              </w:rPr>
            </w:pPr>
            <w:r>
              <w:rPr>
                <w:kern w:val="0"/>
              </w:rPr>
              <w:t>IEC61034</w:t>
            </w:r>
          </w:p>
        </w:tc>
        <w:tc>
          <w:tcPr>
            <w:tcW w:w="3895" w:type="pct"/>
            <w:noWrap w:val="0"/>
            <w:vAlign w:val="center"/>
          </w:tcPr>
          <w:p>
            <w:pPr>
              <w:ind w:firstLine="0" w:firstLineChars="0"/>
            </w:pPr>
            <w:r>
              <w:rPr>
                <w:rFonts w:hint="eastAsia"/>
              </w:rPr>
              <w:t>给定条件下电缆燃烧烟浓度的测量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rPr>
                <w:kern w:val="0"/>
              </w:rPr>
            </w:pPr>
            <w:r>
              <w:rPr>
                <w:rFonts w:hint="eastAsia"/>
                <w:kern w:val="0"/>
              </w:rPr>
              <w:t>IEC754</w:t>
            </w:r>
          </w:p>
        </w:tc>
        <w:tc>
          <w:tcPr>
            <w:tcW w:w="3895" w:type="pct"/>
            <w:noWrap w:val="0"/>
            <w:vAlign w:val="center"/>
          </w:tcPr>
          <w:p>
            <w:pPr>
              <w:ind w:firstLine="0" w:firstLineChars="0"/>
            </w:pPr>
            <w:r>
              <w:rPr>
                <w:rFonts w:hint="eastAsia"/>
              </w:rPr>
              <w:t>电缆燃烧放出的气体的试验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rPr>
                <w:kern w:val="0"/>
              </w:rPr>
            </w:pPr>
            <w:r>
              <w:t>GB9330-08</w:t>
            </w:r>
          </w:p>
        </w:tc>
        <w:tc>
          <w:tcPr>
            <w:tcW w:w="3895" w:type="pct"/>
            <w:noWrap w:val="0"/>
            <w:vAlign w:val="center"/>
          </w:tcPr>
          <w:p>
            <w:pPr>
              <w:ind w:firstLine="0" w:firstLineChars="0"/>
            </w:pPr>
            <w:r>
              <w:t>塑料绝缘控制电缆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GB4005</w:t>
            </w:r>
          </w:p>
        </w:tc>
        <w:tc>
          <w:tcPr>
            <w:tcW w:w="3895" w:type="pct"/>
            <w:noWrap w:val="0"/>
            <w:vAlign w:val="center"/>
          </w:tcPr>
          <w:p>
            <w:pPr>
              <w:ind w:firstLine="0" w:firstLineChars="0"/>
            </w:pPr>
            <w:r>
              <w:rPr>
                <w:rFonts w:hint="eastAsia"/>
              </w:rPr>
              <w:t>电工圆铜线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05" w:type="pct"/>
            <w:noWrap w:val="0"/>
            <w:vAlign w:val="center"/>
          </w:tcPr>
          <w:p>
            <w:pPr>
              <w:ind w:firstLine="0" w:firstLineChars="0"/>
            </w:pPr>
            <w:r>
              <w:t>GB</w:t>
            </w:r>
            <w:r>
              <w:rPr>
                <w:rFonts w:hint="eastAsia"/>
              </w:rPr>
              <w:t>/</w:t>
            </w:r>
            <w:r>
              <w:t>T19216-2003</w:t>
            </w:r>
          </w:p>
        </w:tc>
        <w:tc>
          <w:tcPr>
            <w:tcW w:w="3895" w:type="pct"/>
            <w:noWrap w:val="0"/>
            <w:vAlign w:val="center"/>
          </w:tcPr>
          <w:p>
            <w:pPr>
              <w:ind w:firstLine="0" w:firstLineChars="0"/>
            </w:pPr>
            <w:r>
              <w:t>在火焰条件下电缆或光缆的线路完整性试验</w:t>
            </w:r>
          </w:p>
        </w:tc>
      </w:tr>
    </w:tbl>
    <w:p>
      <w:pPr>
        <w:spacing w:line="360" w:lineRule="auto"/>
        <w:ind w:firstLine="480"/>
      </w:pPr>
      <w:r>
        <w:rPr>
          <w:rFonts w:hint="eastAsia"/>
        </w:rPr>
        <w:t>这些法则和标准提出了最基本要求</w:t>
      </w:r>
      <w:r>
        <w:rPr>
          <w:rFonts w:hint="eastAsia" w:cs="宋体"/>
        </w:rPr>
        <w:t>，如果根据卖方的意见并经用户接受，使用优于或</w:t>
      </w:r>
      <w:r>
        <w:rPr>
          <w:rFonts w:hint="eastAsia"/>
        </w:rPr>
        <w:t>更为经济的设计或材料，并能使卖方设备良好地、连续地在本规范所规定的条件下运行时</w:t>
      </w:r>
      <w:r>
        <w:rPr>
          <w:rFonts w:hint="eastAsia" w:cs="宋体"/>
        </w:rPr>
        <w:t>，</w:t>
      </w:r>
      <w:r>
        <w:rPr>
          <w:rFonts w:hint="eastAsia"/>
        </w:rPr>
        <w:t>则这些标准也可以由卖方超越。</w:t>
      </w:r>
    </w:p>
    <w:p>
      <w:pPr>
        <w:pStyle w:val="3"/>
        <w:spacing w:before="120"/>
      </w:pPr>
      <w:r>
        <w:rPr>
          <w:rFonts w:hint="eastAsia"/>
        </w:rPr>
        <w:t>3</w:t>
      </w:r>
      <w:r>
        <w:t>通用技术要求</w:t>
      </w:r>
    </w:p>
    <w:p>
      <w:pPr>
        <w:spacing w:line="360" w:lineRule="auto"/>
        <w:ind w:firstLine="480"/>
        <w:rPr>
          <w:kern w:val="0"/>
        </w:rPr>
      </w:pPr>
      <w:r>
        <w:rPr>
          <w:kern w:val="0"/>
        </w:rPr>
        <w:t>电缆结构除符合GB/T 12706的规定外，还应满足以下要求。</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3.1 </w:t>
      </w:r>
      <w:r>
        <w:rPr>
          <w:rFonts w:ascii="仿宋" w:hAnsi="仿宋" w:eastAsia="仿宋"/>
          <w:b/>
          <w:szCs w:val="21"/>
        </w:rPr>
        <w:t>外观</w:t>
      </w:r>
      <w:r>
        <w:rPr>
          <w:rFonts w:hint="eastAsia" w:ascii="仿宋" w:hAnsi="仿宋" w:eastAsia="仿宋"/>
          <w:b/>
          <w:szCs w:val="21"/>
        </w:rPr>
        <w:t>和导体</w:t>
      </w:r>
    </w:p>
    <w:p>
      <w:pPr>
        <w:spacing w:after="100" w:line="360" w:lineRule="auto"/>
        <w:ind w:firstLine="480"/>
        <w:rPr>
          <w:kern w:val="0"/>
        </w:rPr>
      </w:pPr>
      <w:r>
        <w:rPr>
          <w:kern w:val="0"/>
        </w:rPr>
        <w:t>导体表面应光洁、无油污、无损伤屏蔽及绝缘的毛刺、锐边，无凸起或断裂的单线。导体应为圆形并绞合紧压，紧压系数不小于0.9。</w:t>
      </w:r>
    </w:p>
    <w:p>
      <w:pPr>
        <w:spacing w:after="100" w:line="360" w:lineRule="auto"/>
        <w:ind w:firstLine="480"/>
        <w:rPr>
          <w:kern w:val="0"/>
        </w:rPr>
      </w:pPr>
      <w:r>
        <w:rPr>
          <w:rFonts w:hint="eastAsia"/>
          <w:kern w:val="0"/>
        </w:rPr>
        <w:t>导体采用优质无氧铜</w:t>
      </w:r>
      <w:r>
        <w:rPr>
          <w:rFonts w:hint="eastAsia" w:cs="宋体"/>
          <w:kern w:val="0"/>
        </w:rPr>
        <w:t>，其组成、性能及外观应符合</w:t>
      </w:r>
      <w:r>
        <w:rPr>
          <w:rFonts w:hint="eastAsia"/>
          <w:kern w:val="0"/>
        </w:rPr>
        <w:t>GB12706.1的规定，</w:t>
      </w:r>
      <w:r>
        <w:rPr>
          <w:color w:val="000000"/>
        </w:rPr>
        <w:t>不低于GB5231规定的TU2或T2级的退火铜材料。</w:t>
      </w:r>
      <w:r>
        <w:rPr>
          <w:rFonts w:hint="eastAsia"/>
          <w:kern w:val="0"/>
        </w:rPr>
        <w:t>卖方在供货时必须注明铜产地。</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3.2 </w:t>
      </w:r>
      <w:r>
        <w:rPr>
          <w:rFonts w:ascii="仿宋" w:hAnsi="仿宋" w:eastAsia="仿宋"/>
          <w:b/>
          <w:szCs w:val="21"/>
        </w:rPr>
        <w:t>挤出交联工艺</w:t>
      </w:r>
    </w:p>
    <w:p>
      <w:pPr>
        <w:spacing w:line="360" w:lineRule="auto"/>
        <w:ind w:firstLine="480"/>
        <w:rPr>
          <w:kern w:val="0"/>
        </w:rPr>
      </w:pPr>
      <w:r>
        <w:rPr>
          <w:kern w:val="0"/>
        </w:rPr>
        <w:t>绝缘料采用交联聚乙烯或聚氯乙烯，绝缘料从生产之日到使用不应超过半年。生产厂家提供对产品工艺制造水平的描述，包括干式交联流水线方式，生产设备中的干式交联的描述等。</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3.3 </w:t>
      </w:r>
      <w:r>
        <w:rPr>
          <w:rFonts w:ascii="仿宋" w:hAnsi="仿宋" w:eastAsia="仿宋"/>
          <w:b/>
          <w:szCs w:val="21"/>
        </w:rPr>
        <w:t>绝缘</w:t>
      </w:r>
    </w:p>
    <w:p>
      <w:pPr>
        <w:spacing w:line="360" w:lineRule="auto"/>
        <w:ind w:firstLine="480"/>
        <w:rPr>
          <w:kern w:val="0"/>
        </w:rPr>
      </w:pPr>
      <w:r>
        <w:rPr>
          <w:kern w:val="0"/>
        </w:rPr>
        <w:t>绝缘采用交联聚乙烯或聚氯乙烯，绝缘应紧密挤包在导体上，绝缘表面应平整，色泽均匀。各截面绝缘标称厚度见GB/T 12706，绝缘厚度平均值最小测量值不小于标称值</w:t>
      </w:r>
      <w:r>
        <w:rPr>
          <w:rFonts w:hint="eastAsia"/>
          <w:kern w:val="0"/>
        </w:rPr>
        <w:t>，绝缘最薄点的厚度应不小于规定标称值的90%-0.1mm</w:t>
      </w:r>
      <w:r>
        <w:rPr>
          <w:kern w:val="0"/>
        </w:rPr>
        <w:t>。</w:t>
      </w:r>
    </w:p>
    <w:p>
      <w:pPr>
        <w:spacing w:line="360" w:lineRule="auto"/>
        <w:ind w:firstLine="480"/>
      </w:pPr>
      <w:r>
        <w:rPr>
          <w:rFonts w:hint="eastAsia"/>
        </w:rPr>
        <w:t>厚度测量结果应按GB8170规定修约。</w:t>
      </w:r>
    </w:p>
    <w:p>
      <w:pPr>
        <w:spacing w:line="360" w:lineRule="auto"/>
        <w:ind w:firstLine="480"/>
      </w:pPr>
      <w:r>
        <w:rPr>
          <w:rFonts w:hint="eastAsia"/>
        </w:rPr>
        <w:t>导体和绝缘外面的任何隔离层或半导电屏蔽层的厚度应不包括在绝缘厚度内。绝缘线芯的识别标志应符合GB6995.5的规定，绝缘标称厚度应不小于有关规定。</w:t>
      </w:r>
    </w:p>
    <w:p>
      <w:pPr>
        <w:spacing w:line="360" w:lineRule="auto"/>
        <w:ind w:firstLine="480"/>
      </w:pPr>
      <w:r>
        <w:rPr>
          <w:rFonts w:hint="eastAsia"/>
        </w:rPr>
        <w:t>绝缘的横断面应无目力可见的气泡和砂眼等缺陷。</w:t>
      </w:r>
    </w:p>
    <w:p>
      <w:pPr>
        <w:spacing w:line="360" w:lineRule="auto"/>
        <w:ind w:firstLine="480"/>
      </w:pPr>
      <w:r>
        <w:t>明确需要与环境保护协调时，不得选用聚氯乙烯绝缘电缆。低温环境不宜用聚氯乙烯绝缘电缆。</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3.4 </w:t>
      </w:r>
      <w:r>
        <w:rPr>
          <w:rFonts w:ascii="仿宋" w:hAnsi="仿宋" w:eastAsia="仿宋"/>
          <w:b/>
          <w:szCs w:val="21"/>
        </w:rPr>
        <w:t>金属屏蔽</w:t>
      </w:r>
    </w:p>
    <w:p>
      <w:pPr>
        <w:spacing w:line="360" w:lineRule="auto"/>
        <w:ind w:firstLine="480"/>
        <w:rPr>
          <w:kern w:val="0"/>
        </w:rPr>
      </w:pPr>
      <w:r>
        <w:rPr>
          <w:kern w:val="0"/>
        </w:rPr>
        <w:t>金属屏蔽用重叠绕包的软铜带（或软铜丝）组成，电阻率不大于0.0180Ω.mm</w:t>
      </w:r>
      <w:r>
        <w:rPr>
          <w:kern w:val="0"/>
          <w:vertAlign w:val="superscript"/>
        </w:rPr>
        <w:t>2</w:t>
      </w:r>
      <w:r>
        <w:rPr>
          <w:kern w:val="0"/>
        </w:rPr>
        <w:t>/m（20</w:t>
      </w:r>
      <w:r>
        <w:rPr>
          <w:rFonts w:hint="eastAsia" w:ascii="Cambria Math" w:hAnsi="Cambria Math"/>
          <w:kern w:val="0"/>
        </w:rPr>
        <w:t>℃</w:t>
      </w:r>
      <w:r>
        <w:rPr>
          <w:kern w:val="0"/>
        </w:rPr>
        <w:t>），绕包连续均匀，平整光滑，没有断裂，铜带间绕包平均搭盖率不小于 20％（标称值）。铜带标称厚度为0.10mm，截面大于25mm</w:t>
      </w:r>
      <w:r>
        <w:rPr>
          <w:kern w:val="0"/>
          <w:vertAlign w:val="superscript"/>
        </w:rPr>
        <w:t>2</w:t>
      </w:r>
      <w:r>
        <w:rPr>
          <w:kern w:val="0"/>
        </w:rPr>
        <w:t>（按管状计算），且三芯屏蔽应接触良好。铜带的最小厚度应不小于标称值的90%。</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3.5 </w:t>
      </w:r>
      <w:r>
        <w:rPr>
          <w:rFonts w:ascii="仿宋" w:hAnsi="仿宋" w:eastAsia="仿宋"/>
          <w:b/>
          <w:szCs w:val="21"/>
        </w:rPr>
        <w:t>内衬层</w:t>
      </w:r>
      <w:r>
        <w:rPr>
          <w:rFonts w:hint="eastAsia" w:ascii="仿宋" w:hAnsi="仿宋" w:eastAsia="仿宋"/>
          <w:b/>
          <w:szCs w:val="21"/>
        </w:rPr>
        <w:t>、</w:t>
      </w:r>
      <w:r>
        <w:rPr>
          <w:rFonts w:ascii="仿宋" w:hAnsi="仿宋" w:eastAsia="仿宋"/>
          <w:b/>
          <w:szCs w:val="21"/>
        </w:rPr>
        <w:t>填充物及隔离套</w:t>
      </w:r>
    </w:p>
    <w:p>
      <w:pPr>
        <w:numPr>
          <w:ilvl w:val="0"/>
          <w:numId w:val="10"/>
        </w:numPr>
        <w:adjustRightInd/>
        <w:snapToGrid/>
        <w:spacing w:line="360" w:lineRule="auto"/>
        <w:ind w:left="0" w:firstLine="480"/>
        <w:rPr>
          <w:kern w:val="0"/>
        </w:rPr>
      </w:pPr>
      <w:r>
        <w:rPr>
          <w:rFonts w:hint="eastAsia"/>
          <w:kern w:val="0"/>
        </w:rPr>
        <w:t>各种具有铠装层</w:t>
      </w:r>
      <w:r>
        <w:rPr>
          <w:rFonts w:hint="eastAsia" w:cs="宋体"/>
          <w:kern w:val="0"/>
        </w:rPr>
        <w:t>，同心导体或金属屏蔽层的多芯电缆，在缆芯上一般应有一内衬</w:t>
      </w:r>
      <w:r>
        <w:rPr>
          <w:rFonts w:hint="eastAsia"/>
          <w:kern w:val="0"/>
        </w:rPr>
        <w:t>层。</w:t>
      </w:r>
    </w:p>
    <w:p>
      <w:pPr>
        <w:numPr>
          <w:ilvl w:val="0"/>
          <w:numId w:val="10"/>
        </w:numPr>
        <w:adjustRightInd/>
        <w:snapToGrid/>
        <w:spacing w:line="360" w:lineRule="auto"/>
        <w:ind w:left="0" w:firstLine="480"/>
        <w:rPr>
          <w:kern w:val="0"/>
        </w:rPr>
      </w:pPr>
      <w:r>
        <w:rPr>
          <w:rFonts w:hint="eastAsia"/>
          <w:kern w:val="0"/>
        </w:rPr>
        <w:t>额定电压0.6/1kV以上的非径向电场电缆的内衬层及填充应采用非吸湿材料。</w:t>
      </w:r>
    </w:p>
    <w:p>
      <w:pPr>
        <w:numPr>
          <w:ilvl w:val="0"/>
          <w:numId w:val="10"/>
        </w:numPr>
        <w:adjustRightInd/>
        <w:snapToGrid/>
        <w:spacing w:line="360" w:lineRule="auto"/>
        <w:ind w:left="0" w:firstLine="480"/>
        <w:rPr>
          <w:kern w:val="0"/>
        </w:rPr>
      </w:pPr>
      <w:r>
        <w:rPr>
          <w:rFonts w:hint="eastAsia"/>
          <w:kern w:val="0"/>
        </w:rPr>
        <w:t>额定电压0.6/1kV以上</w:t>
      </w:r>
      <w:r>
        <w:rPr>
          <w:rFonts w:hint="eastAsia" w:cs="宋体"/>
          <w:kern w:val="0"/>
        </w:rPr>
        <w:t>，在缆芯上只有绕包金属屏蔽的径向电场电缆的内衬层应</w:t>
      </w:r>
      <w:r>
        <w:rPr>
          <w:rFonts w:hint="eastAsia"/>
          <w:kern w:val="0"/>
        </w:rPr>
        <w:t>采用半导电材料</w:t>
      </w:r>
      <w:r>
        <w:rPr>
          <w:rFonts w:hint="eastAsia" w:cs="宋体"/>
          <w:kern w:val="0"/>
        </w:rPr>
        <w:t>，填充物亦可用半导电物。</w:t>
      </w:r>
    </w:p>
    <w:p>
      <w:pPr>
        <w:numPr>
          <w:ilvl w:val="0"/>
          <w:numId w:val="10"/>
        </w:numPr>
        <w:adjustRightInd/>
        <w:snapToGrid/>
        <w:spacing w:line="360" w:lineRule="auto"/>
        <w:ind w:left="0" w:firstLine="480"/>
        <w:rPr>
          <w:kern w:val="0"/>
        </w:rPr>
      </w:pPr>
      <w:r>
        <w:rPr>
          <w:kern w:val="0"/>
        </w:rPr>
        <w:t>填充缆芯应紧密无空隙，并保证在成品电缆段附加老化试验后不粉化。三芯成缆后外型应圆整</w:t>
      </w:r>
      <w:r>
        <w:rPr>
          <w:rFonts w:hint="eastAsia"/>
          <w:kern w:val="0"/>
        </w:rPr>
        <w:t>。</w:t>
      </w:r>
    </w:p>
    <w:p>
      <w:pPr>
        <w:numPr>
          <w:ilvl w:val="0"/>
          <w:numId w:val="10"/>
        </w:numPr>
        <w:adjustRightInd/>
        <w:snapToGrid/>
        <w:spacing w:line="360" w:lineRule="auto"/>
        <w:ind w:left="0" w:firstLine="480"/>
        <w:rPr>
          <w:kern w:val="0"/>
        </w:rPr>
      </w:pPr>
      <w:r>
        <w:rPr>
          <w:kern w:val="0"/>
        </w:rPr>
        <w:t>隔离套采用挤包型。隔离套厚度平均值不小于标称值，任一点最小厚度应不小于标称值的80%。</w:t>
      </w:r>
    </w:p>
    <w:p>
      <w:pPr>
        <w:numPr>
          <w:ilvl w:val="0"/>
          <w:numId w:val="10"/>
        </w:numPr>
        <w:adjustRightInd/>
        <w:snapToGrid/>
        <w:spacing w:line="360" w:lineRule="auto"/>
        <w:ind w:left="0" w:firstLine="480"/>
        <w:rPr>
          <w:kern w:val="0"/>
        </w:rPr>
      </w:pPr>
      <w:r>
        <w:rPr>
          <w:rFonts w:hint="eastAsia"/>
          <w:kern w:val="0"/>
        </w:rPr>
        <w:t>内衬层可以挤包或绕包</w:t>
      </w:r>
      <w:r>
        <w:rPr>
          <w:rFonts w:hint="eastAsia" w:cs="宋体"/>
          <w:kern w:val="0"/>
        </w:rPr>
        <w:t>铠装电缆内衬层厚度应符合有关规定。</w:t>
      </w:r>
    </w:p>
    <w:p>
      <w:pPr>
        <w:numPr>
          <w:ilvl w:val="0"/>
          <w:numId w:val="10"/>
        </w:numPr>
        <w:adjustRightInd/>
        <w:snapToGrid/>
        <w:spacing w:line="360" w:lineRule="auto"/>
        <w:ind w:left="0" w:firstLine="480"/>
        <w:rPr>
          <w:kern w:val="0"/>
        </w:rPr>
      </w:pPr>
      <w:r>
        <w:rPr>
          <w:rFonts w:hint="eastAsia"/>
          <w:kern w:val="0"/>
        </w:rPr>
        <w:t>圆形绝缘线芯电缆只有在各绝缘线芯间内用基本上成型的填芯填充时才允许采用绕包型内衬</w:t>
      </w:r>
      <w:r>
        <w:rPr>
          <w:rFonts w:hint="eastAsia" w:cs="宋体"/>
          <w:kern w:val="0"/>
        </w:rPr>
        <w:t>。</w:t>
      </w:r>
    </w:p>
    <w:p>
      <w:pPr>
        <w:numPr>
          <w:ilvl w:val="0"/>
          <w:numId w:val="10"/>
        </w:numPr>
        <w:adjustRightInd/>
        <w:snapToGrid/>
        <w:spacing w:line="360" w:lineRule="auto"/>
        <w:ind w:left="0" w:firstLine="480"/>
        <w:rPr>
          <w:kern w:val="0"/>
        </w:rPr>
      </w:pPr>
      <w:r>
        <w:rPr>
          <w:rFonts w:hint="eastAsia"/>
          <w:kern w:val="0"/>
        </w:rPr>
        <w:t>内衬层及填充物应与电缆的工作温度相适应</w:t>
      </w:r>
      <w:r>
        <w:rPr>
          <w:rFonts w:hint="eastAsia" w:cs="宋体"/>
          <w:kern w:val="0"/>
        </w:rPr>
        <w:t>并对绝缘材料无有害影响。</w:t>
      </w:r>
    </w:p>
    <w:p>
      <w:pPr>
        <w:numPr>
          <w:ilvl w:val="0"/>
          <w:numId w:val="10"/>
        </w:numPr>
        <w:adjustRightInd/>
        <w:snapToGrid/>
        <w:spacing w:line="360" w:lineRule="auto"/>
        <w:ind w:left="0" w:firstLine="480"/>
        <w:rPr>
          <w:kern w:val="0"/>
        </w:rPr>
      </w:pPr>
      <w:r>
        <w:rPr>
          <w:rFonts w:hint="eastAsia"/>
          <w:kern w:val="0"/>
        </w:rPr>
        <w:t>缆芯在挤包内衬层前允许采用合适的带子以间隙螺旋绕包扎紧</w:t>
      </w:r>
      <w:r>
        <w:rPr>
          <w:rFonts w:hint="eastAsia" w:cs="宋体"/>
          <w:kern w:val="0"/>
        </w:rPr>
        <w:t>。</w:t>
      </w:r>
    </w:p>
    <w:p>
      <w:pPr>
        <w:numPr>
          <w:ilvl w:val="0"/>
          <w:numId w:val="10"/>
        </w:numPr>
        <w:adjustRightInd/>
        <w:snapToGrid/>
        <w:spacing w:line="360" w:lineRule="auto"/>
        <w:ind w:left="0" w:firstLine="480"/>
        <w:rPr>
          <w:kern w:val="0"/>
        </w:rPr>
      </w:pPr>
      <w:r>
        <w:rPr>
          <w:rFonts w:hint="eastAsia"/>
          <w:kern w:val="0"/>
        </w:rPr>
        <w:t>标称截面10mm</w:t>
      </w:r>
      <w:r>
        <w:rPr>
          <w:rFonts w:hint="eastAsia"/>
          <w:kern w:val="0"/>
          <w:vertAlign w:val="superscript"/>
        </w:rPr>
        <w:t>2</w:t>
      </w:r>
      <w:r>
        <w:rPr>
          <w:rFonts w:hint="eastAsia"/>
          <w:kern w:val="0"/>
        </w:rPr>
        <w:t>及以下的两芯YJV电缆</w:t>
      </w:r>
      <w:r>
        <w:rPr>
          <w:rFonts w:hint="eastAsia" w:cs="宋体"/>
          <w:kern w:val="0"/>
        </w:rPr>
        <w:t>，其绝缘芯允许平行放置。</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3.6 </w:t>
      </w:r>
      <w:r>
        <w:rPr>
          <w:rFonts w:ascii="仿宋" w:hAnsi="仿宋" w:eastAsia="仿宋"/>
          <w:b/>
          <w:szCs w:val="21"/>
        </w:rPr>
        <w:t>铠装</w:t>
      </w:r>
    </w:p>
    <w:p>
      <w:pPr>
        <w:spacing w:line="360" w:lineRule="auto"/>
        <w:ind w:firstLine="480"/>
        <w:rPr>
          <w:kern w:val="0"/>
        </w:rPr>
      </w:pPr>
      <w:r>
        <w:rPr>
          <w:kern w:val="0"/>
        </w:rPr>
        <w:t>采用双层镀锌钢带，螺旋绕包两层，外层钢带的中间大致在内层钢带间隙上方，包带间隙应不大于钢带宽度的50%，绕包应平整光滑。双层镀锌钢带绕包间隙不超过钢带宽度的50%，下层钢带间隙为上层钢带间隙中间部份所覆盖，钢带绕包应平整光滑，钢带规格符合GB19706的规定。单芯电缆不采用磁性材料的铠装。</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3.7 </w:t>
      </w:r>
      <w:r>
        <w:rPr>
          <w:rFonts w:ascii="仿宋" w:hAnsi="仿宋" w:eastAsia="仿宋"/>
          <w:b/>
          <w:szCs w:val="21"/>
        </w:rPr>
        <w:t>外护套</w:t>
      </w:r>
    </w:p>
    <w:p>
      <w:pPr>
        <w:spacing w:line="360" w:lineRule="auto"/>
        <w:ind w:firstLine="480"/>
        <w:rPr>
          <w:kern w:val="0"/>
        </w:rPr>
      </w:pPr>
      <w:r>
        <w:rPr>
          <w:kern w:val="0"/>
        </w:rPr>
        <w:t>除非另有要求，外护套应采用聚氯乙烯或聚乙烯料挤包。</w:t>
      </w:r>
    </w:p>
    <w:p>
      <w:pPr>
        <w:spacing w:line="360" w:lineRule="auto"/>
        <w:ind w:firstLine="480"/>
        <w:rPr>
          <w:kern w:val="0"/>
        </w:rPr>
      </w:pPr>
      <w:r>
        <w:rPr>
          <w:kern w:val="0"/>
        </w:rPr>
        <w:t>外护套厚度平均值应不小于标称值，任一点最小厚度应不小于标称值的90%。</w:t>
      </w:r>
    </w:p>
    <w:p>
      <w:pPr>
        <w:spacing w:line="360" w:lineRule="auto"/>
        <w:ind w:firstLine="480"/>
        <w:rPr>
          <w:kern w:val="0"/>
        </w:rPr>
      </w:pPr>
      <w:r>
        <w:rPr>
          <w:rFonts w:hint="eastAsia"/>
          <w:kern w:val="0"/>
        </w:rPr>
        <w:t>外护套通常为黑色/红色</w:t>
      </w:r>
      <w:r>
        <w:rPr>
          <w:rFonts w:hint="eastAsia" w:cs="宋体"/>
          <w:kern w:val="0"/>
        </w:rPr>
        <w:t>，但也可以按照制造方和技术规范采用黑色以外的其他颜色，以适应电缆</w:t>
      </w:r>
      <w:r>
        <w:rPr>
          <w:rFonts w:hint="eastAsia"/>
          <w:kern w:val="0"/>
        </w:rPr>
        <w:t>使用的特定环境。</w:t>
      </w:r>
      <w:r>
        <w:rPr>
          <w:kern w:val="0"/>
        </w:rPr>
        <w:t>外护套应经受GB/T3048.10-2007 规定的火花试验。</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3.8 </w:t>
      </w:r>
      <w:r>
        <w:rPr>
          <w:rFonts w:ascii="仿宋" w:hAnsi="仿宋" w:eastAsia="仿宋"/>
          <w:b/>
          <w:szCs w:val="21"/>
        </w:rPr>
        <w:t>电缆不圆度</w:t>
      </w:r>
    </w:p>
    <w:p>
      <w:pPr>
        <w:spacing w:after="100" w:line="360" w:lineRule="auto"/>
        <w:ind w:firstLine="480"/>
      </w:pPr>
      <w:r>
        <w:t>电缆不圆度应不大于10%。</w:t>
      </w:r>
    </w:p>
    <w:p>
      <w:pPr>
        <w:spacing w:after="100" w:line="360" w:lineRule="auto"/>
        <w:ind w:firstLine="480"/>
        <w:jc w:val="center"/>
      </w:pPr>
      <w:r>
        <w:rPr>
          <w:lang w:val="zh-CN"/>
        </w:rPr>
        <w:pict>
          <v:shape id="_x0000_i1025" o:spt="75" type="#_x0000_t75" style="height:52.55pt;width:363.2pt;" filled="f" o:preferrelative="t" stroked="f" coordsize="21600,21600">
            <v:path/>
            <v:fill on="f" focussize="0,0"/>
            <v:stroke on="f" joinstyle="miter"/>
            <v:imagedata r:id="rId18" o:title=""/>
            <o:lock v:ext="edit" aspectratio="t"/>
            <w10:wrap type="none"/>
            <w10:anchorlock/>
          </v:shape>
        </w:pict>
      </w:r>
    </w:p>
    <w:p>
      <w:pPr>
        <w:spacing w:line="360" w:lineRule="auto"/>
        <w:ind w:firstLine="480"/>
        <w:outlineLvl w:val="2"/>
        <w:rPr>
          <w:rFonts w:ascii="仿宋" w:hAnsi="仿宋" w:eastAsia="仿宋"/>
          <w:b/>
          <w:szCs w:val="21"/>
        </w:rPr>
      </w:pPr>
      <w:r>
        <w:rPr>
          <w:rFonts w:hint="eastAsia" w:ascii="仿宋" w:hAnsi="仿宋" w:eastAsia="仿宋"/>
          <w:b/>
          <w:szCs w:val="21"/>
        </w:rPr>
        <w:t xml:space="preserve">3.9 </w:t>
      </w:r>
      <w:r>
        <w:rPr>
          <w:rFonts w:ascii="仿宋" w:hAnsi="仿宋" w:eastAsia="仿宋"/>
          <w:b/>
          <w:szCs w:val="21"/>
        </w:rPr>
        <w:t>电缆阻燃要求</w:t>
      </w:r>
    </w:p>
    <w:p>
      <w:pPr>
        <w:spacing w:line="360" w:lineRule="auto"/>
        <w:ind w:firstLine="480"/>
        <w:rPr>
          <w:kern w:val="0"/>
        </w:rPr>
      </w:pPr>
      <w:r>
        <w:rPr>
          <w:kern w:val="0"/>
        </w:rPr>
        <w:t>如选型为阻燃电缆，则电缆的阻燃特性和技术参数要求符合 GB/T 19666的相关规定。</w:t>
      </w:r>
    </w:p>
    <w:p>
      <w:pPr>
        <w:spacing w:line="360" w:lineRule="auto"/>
        <w:ind w:firstLine="480"/>
        <w:outlineLvl w:val="2"/>
        <w:rPr>
          <w:rFonts w:ascii="仿宋" w:hAnsi="仿宋" w:eastAsia="仿宋"/>
          <w:b/>
          <w:szCs w:val="21"/>
        </w:rPr>
      </w:pPr>
      <w:r>
        <w:rPr>
          <w:rFonts w:hint="eastAsia" w:ascii="仿宋" w:hAnsi="仿宋" w:eastAsia="仿宋"/>
          <w:b/>
          <w:szCs w:val="21"/>
        </w:rPr>
        <w:t xml:space="preserve">3.10 </w:t>
      </w:r>
      <w:r>
        <w:rPr>
          <w:rFonts w:ascii="仿宋" w:hAnsi="仿宋" w:eastAsia="仿宋"/>
          <w:b/>
          <w:szCs w:val="21"/>
        </w:rPr>
        <w:t>密封</w:t>
      </w:r>
    </w:p>
    <w:p>
      <w:pPr>
        <w:spacing w:line="360" w:lineRule="auto"/>
        <w:ind w:firstLine="480"/>
        <w:rPr>
          <w:kern w:val="0"/>
        </w:rPr>
      </w:pPr>
      <w:r>
        <w:rPr>
          <w:kern w:val="0"/>
        </w:rPr>
        <w:t>电缆两端应用防水密封套密封，密封套和电缆的重叠长度不小于200mm。</w:t>
      </w:r>
    </w:p>
    <w:p>
      <w:pPr>
        <w:spacing w:line="360" w:lineRule="auto"/>
        <w:ind w:firstLine="480"/>
        <w:outlineLvl w:val="2"/>
        <w:rPr>
          <w:rFonts w:ascii="仿宋" w:hAnsi="仿宋" w:eastAsia="仿宋"/>
          <w:b/>
          <w:szCs w:val="21"/>
        </w:rPr>
      </w:pPr>
      <w:r>
        <w:rPr>
          <w:rFonts w:hint="eastAsia" w:ascii="仿宋" w:hAnsi="仿宋" w:eastAsia="仿宋"/>
          <w:b/>
          <w:szCs w:val="21"/>
        </w:rPr>
        <w:t>3.11成品电缆</w:t>
      </w:r>
    </w:p>
    <w:p>
      <w:pPr>
        <w:spacing w:line="360" w:lineRule="auto"/>
        <w:ind w:firstLine="480"/>
        <w:rPr>
          <w:rFonts w:cs="宋体"/>
          <w:kern w:val="0"/>
        </w:rPr>
      </w:pPr>
      <w:r>
        <w:rPr>
          <w:rFonts w:hint="eastAsia"/>
          <w:kern w:val="0"/>
        </w:rPr>
        <w:t>成品电缆的护套表面上应有制造厂名、产品型号、额定电压、导体截面、制造年份及计米长度的连续标志</w:t>
      </w:r>
      <w:r>
        <w:rPr>
          <w:rFonts w:hint="eastAsia" w:cs="宋体"/>
          <w:kern w:val="0"/>
        </w:rPr>
        <w:t>，标志应字迹清楚，容易辨认、耐擦。</w:t>
      </w:r>
    </w:p>
    <w:p>
      <w:pPr>
        <w:spacing w:line="360" w:lineRule="auto"/>
        <w:ind w:firstLine="480"/>
        <w:rPr>
          <w:kern w:val="0"/>
        </w:rPr>
      </w:pPr>
      <w:r>
        <w:rPr>
          <w:rFonts w:hint="eastAsia"/>
          <w:kern w:val="0"/>
        </w:rPr>
        <w:t>成品电缆标志应符合GB6995.3规定。</w:t>
      </w:r>
    </w:p>
    <w:p>
      <w:pPr>
        <w:spacing w:line="360" w:lineRule="auto"/>
        <w:ind w:firstLine="480"/>
        <w:rPr>
          <w:kern w:val="0"/>
        </w:rPr>
      </w:pPr>
      <w:r>
        <w:rPr>
          <w:rFonts w:hint="eastAsia"/>
          <w:kern w:val="0"/>
        </w:rPr>
        <w:t>电缆长度误差不超过5%。</w:t>
      </w:r>
    </w:p>
    <w:p>
      <w:pPr>
        <w:pStyle w:val="3"/>
        <w:spacing w:before="120"/>
      </w:pPr>
      <w:r>
        <w:rPr>
          <w:rFonts w:hint="eastAsia"/>
        </w:rPr>
        <w:t>4</w:t>
      </w:r>
      <w:r>
        <w:t>动力电缆</w:t>
      </w:r>
    </w:p>
    <w:p>
      <w:pPr>
        <w:spacing w:line="360" w:lineRule="auto"/>
        <w:ind w:firstLine="480"/>
        <w:outlineLvl w:val="2"/>
        <w:rPr>
          <w:rFonts w:ascii="仿宋" w:hAnsi="仿宋" w:eastAsia="仿宋"/>
          <w:b/>
          <w:szCs w:val="21"/>
        </w:rPr>
      </w:pPr>
      <w:r>
        <w:rPr>
          <w:rFonts w:hint="eastAsia" w:ascii="仿宋" w:hAnsi="仿宋" w:eastAsia="仿宋"/>
          <w:b/>
          <w:szCs w:val="21"/>
        </w:rPr>
        <w:t xml:space="preserve">4.1 </w:t>
      </w:r>
      <w:r>
        <w:rPr>
          <w:rFonts w:ascii="仿宋" w:hAnsi="仿宋" w:eastAsia="仿宋"/>
          <w:b/>
          <w:szCs w:val="21"/>
        </w:rPr>
        <w:t>运行条件</w:t>
      </w:r>
    </w:p>
    <w:p>
      <w:pPr>
        <w:spacing w:line="360" w:lineRule="auto"/>
        <w:ind w:firstLine="480"/>
      </w:pPr>
      <w:r>
        <w:t>额定电压：U</w:t>
      </w:r>
      <w:r>
        <w:rPr>
          <w:vertAlign w:val="subscript"/>
        </w:rPr>
        <w:t>0</w:t>
      </w:r>
      <w:r>
        <w:t>/U为0.6/1kV，额定频率为50Hz。</w:t>
      </w:r>
    </w:p>
    <w:p>
      <w:pPr>
        <w:spacing w:line="360" w:lineRule="auto"/>
        <w:ind w:firstLine="480"/>
      </w:pPr>
      <w:r>
        <w:t>U</w:t>
      </w:r>
      <w:r>
        <w:rPr>
          <w:vertAlign w:val="subscript"/>
        </w:rPr>
        <w:t>0</w:t>
      </w:r>
      <w:r>
        <w:t>/U为</w:t>
      </w:r>
      <w:r>
        <w:rPr>
          <w:rFonts w:hint="eastAsia"/>
        </w:rPr>
        <w:t>6</w:t>
      </w:r>
      <w:r>
        <w:t>/1</w:t>
      </w:r>
      <w:r>
        <w:rPr>
          <w:rFonts w:hint="eastAsia"/>
        </w:rPr>
        <w:t>0</w:t>
      </w:r>
      <w:r>
        <w:t>kV，额定频率为50Hz。</w:t>
      </w:r>
    </w:p>
    <w:p>
      <w:pPr>
        <w:spacing w:line="360" w:lineRule="auto"/>
        <w:ind w:firstLine="480"/>
      </w:pPr>
      <w:r>
        <w:t>环境温度：-15 ℃～ +60 ℃。</w:t>
      </w:r>
    </w:p>
    <w:p>
      <w:pPr>
        <w:spacing w:line="360" w:lineRule="auto"/>
        <w:ind w:firstLine="480"/>
      </w:pPr>
      <w:r>
        <w:t>聚氯乙烯绝缘电力电缆导体的长期允许工作温度为≤70℃。短路时（最长持续时间不超过5s）电缆导体的最高温度不超过160℃。</w:t>
      </w:r>
    </w:p>
    <w:p>
      <w:pPr>
        <w:spacing w:line="360" w:lineRule="auto"/>
        <w:ind w:firstLine="480"/>
      </w:pPr>
      <w:r>
        <w:t>交联聚氯乙烯绝缘电力电缆导体的长期允许工作温度为≤90℃。短路时（最长持续时间不超过5s）电缆导体的最高温度不超过250℃。</w:t>
      </w:r>
    </w:p>
    <w:p>
      <w:pPr>
        <w:spacing w:line="360" w:lineRule="auto"/>
        <w:ind w:firstLine="480"/>
        <w:outlineLvl w:val="2"/>
        <w:rPr>
          <w:rFonts w:ascii="仿宋" w:hAnsi="仿宋" w:eastAsia="仿宋"/>
          <w:b/>
          <w:szCs w:val="21"/>
        </w:rPr>
      </w:pPr>
      <w:r>
        <w:rPr>
          <w:rFonts w:hint="eastAsia" w:ascii="仿宋" w:hAnsi="仿宋" w:eastAsia="仿宋"/>
          <w:b/>
          <w:szCs w:val="21"/>
        </w:rPr>
        <w:t xml:space="preserve">4.2 </w:t>
      </w:r>
      <w:r>
        <w:rPr>
          <w:rFonts w:ascii="仿宋" w:hAnsi="仿宋" w:eastAsia="仿宋"/>
          <w:b/>
          <w:szCs w:val="21"/>
        </w:rPr>
        <w:t>电缆允许弯曲半径</w:t>
      </w:r>
    </w:p>
    <w:p>
      <w:pPr>
        <w:spacing w:line="360" w:lineRule="auto"/>
        <w:ind w:right="480" w:firstLine="480"/>
      </w:pPr>
      <w:r>
        <w:t>非铠装型：单芯电缆不小于20倍的电缆外径；多芯电缆不小于15倍的电缆外径。</w:t>
      </w:r>
    </w:p>
    <w:p>
      <w:pPr>
        <w:spacing w:line="360" w:lineRule="auto"/>
        <w:ind w:right="480" w:firstLine="480"/>
      </w:pPr>
      <w:r>
        <w:t>铠装型：单芯电缆不小于15倍的电缆外径；多芯电缆不小于12倍的电缆外径。</w:t>
      </w:r>
    </w:p>
    <w:p>
      <w:pPr>
        <w:spacing w:line="360" w:lineRule="auto"/>
        <w:ind w:firstLine="480"/>
        <w:outlineLvl w:val="2"/>
        <w:rPr>
          <w:rFonts w:ascii="仿宋" w:hAnsi="仿宋" w:eastAsia="仿宋"/>
          <w:b/>
          <w:szCs w:val="21"/>
        </w:rPr>
      </w:pPr>
      <w:r>
        <w:rPr>
          <w:rFonts w:hint="eastAsia" w:ascii="仿宋" w:hAnsi="仿宋" w:eastAsia="仿宋"/>
          <w:b/>
          <w:szCs w:val="21"/>
        </w:rPr>
        <w:t xml:space="preserve">4.3 </w:t>
      </w:r>
      <w:r>
        <w:rPr>
          <w:rFonts w:ascii="仿宋" w:hAnsi="仿宋" w:eastAsia="仿宋"/>
          <w:b/>
          <w:szCs w:val="21"/>
        </w:rPr>
        <w:t>技术要求</w:t>
      </w:r>
    </w:p>
    <w:p>
      <w:pPr>
        <w:numPr>
          <w:ilvl w:val="0"/>
          <w:numId w:val="11"/>
        </w:numPr>
        <w:adjustRightInd/>
        <w:snapToGrid/>
        <w:spacing w:line="360" w:lineRule="auto"/>
        <w:ind w:left="0" w:firstLine="480"/>
        <w:rPr>
          <w:kern w:val="0"/>
        </w:rPr>
      </w:pPr>
      <w:r>
        <w:rPr>
          <w:kern w:val="0"/>
        </w:rPr>
        <w:t>敷设环境有直埋、沟槽、排管、沟道、隧道、桥架、竖井等多种方式。</w:t>
      </w:r>
    </w:p>
    <w:p>
      <w:pPr>
        <w:numPr>
          <w:ilvl w:val="0"/>
          <w:numId w:val="11"/>
        </w:numPr>
        <w:adjustRightInd/>
        <w:snapToGrid/>
        <w:spacing w:line="360" w:lineRule="auto"/>
        <w:ind w:left="0" w:firstLine="480"/>
        <w:rPr>
          <w:kern w:val="0"/>
        </w:rPr>
      </w:pPr>
      <w:r>
        <w:rPr>
          <w:kern w:val="0"/>
        </w:rPr>
        <w:t xml:space="preserve">缆芯采用非吸湿性材料填充，应紧密无空隙。缆芯中间也应填充，三芯成缆后外型应圆整。隔离套厚度平均值不小于标称值，任一点最小厚度应不小于标称值的 80 </w:t>
      </w:r>
      <w:r>
        <w:rPr>
          <w:rFonts w:hint="eastAsia"/>
          <w:kern w:val="0"/>
        </w:rPr>
        <w:t>%</w:t>
      </w:r>
      <w:r>
        <w:rPr>
          <w:kern w:val="0"/>
        </w:rPr>
        <w:t>。</w:t>
      </w:r>
    </w:p>
    <w:p>
      <w:pPr>
        <w:numPr>
          <w:ilvl w:val="0"/>
          <w:numId w:val="11"/>
        </w:numPr>
        <w:adjustRightInd/>
        <w:snapToGrid/>
        <w:spacing w:line="360" w:lineRule="auto"/>
        <w:ind w:left="0" w:firstLine="480"/>
        <w:rPr>
          <w:kern w:val="0"/>
        </w:rPr>
      </w:pPr>
      <w:r>
        <w:rPr>
          <w:kern w:val="0"/>
        </w:rPr>
        <w:t>绝缘紧密挤包在导体上，且容易剥离而不损伤导体。绝缘表面平整，色泽均匀。绝缘层的横断面上无目力可见的气泡和砂眼等缺陷。</w:t>
      </w:r>
    </w:p>
    <w:p>
      <w:pPr>
        <w:numPr>
          <w:ilvl w:val="0"/>
          <w:numId w:val="11"/>
        </w:numPr>
        <w:adjustRightInd/>
        <w:snapToGrid/>
        <w:spacing w:line="360" w:lineRule="auto"/>
        <w:ind w:left="0" w:firstLine="480"/>
        <w:rPr>
          <w:kern w:val="0"/>
        </w:rPr>
      </w:pPr>
      <w:r>
        <w:rPr>
          <w:kern w:val="0"/>
        </w:rPr>
        <w:t>电缆所用的电工铜材应选用优质铜杆拉制，质地均匀，无杂质，表面光洁无氧化。产品生产前和其进场报验时，必须出示相应的材质证明以检验报告。</w:t>
      </w:r>
    </w:p>
    <w:p>
      <w:pPr>
        <w:numPr>
          <w:ilvl w:val="0"/>
          <w:numId w:val="11"/>
        </w:numPr>
        <w:adjustRightInd/>
        <w:snapToGrid/>
        <w:spacing w:line="360" w:lineRule="auto"/>
        <w:ind w:left="0" w:firstLine="480"/>
        <w:rPr>
          <w:kern w:val="0"/>
        </w:rPr>
      </w:pPr>
      <w:r>
        <w:rPr>
          <w:kern w:val="0"/>
        </w:rPr>
        <w:t>电缆的充填物须均匀填实，电缆截面的失圆度应小于10%。电缆护套两年内不应出现龟裂。</w:t>
      </w:r>
    </w:p>
    <w:p>
      <w:pPr>
        <w:numPr>
          <w:ilvl w:val="0"/>
          <w:numId w:val="11"/>
        </w:numPr>
        <w:adjustRightInd/>
        <w:snapToGrid/>
        <w:spacing w:line="360" w:lineRule="auto"/>
        <w:ind w:left="0" w:firstLine="480"/>
        <w:rPr>
          <w:kern w:val="0"/>
        </w:rPr>
      </w:pPr>
      <w:r>
        <w:rPr>
          <w:kern w:val="0"/>
        </w:rPr>
        <w:t>低压动力电缆表面应有长度标尺、制造厂家、型号等标识，标识应清晰、不易擦掉，便于识别，电缆每相要有不同颜色区分，电缆线芯颜色应分为:相线红</w:t>
      </w:r>
      <w:r>
        <w:rPr>
          <w:rFonts w:hint="eastAsia"/>
          <w:kern w:val="0"/>
        </w:rPr>
        <w:t>、</w:t>
      </w:r>
      <w:r>
        <w:rPr>
          <w:kern w:val="0"/>
        </w:rPr>
        <w:t>黄、绿；零线蓝；保护线黄/绿双色。各种标识应能保持两年。</w:t>
      </w:r>
    </w:p>
    <w:p>
      <w:pPr>
        <w:numPr>
          <w:ilvl w:val="0"/>
          <w:numId w:val="11"/>
        </w:numPr>
        <w:adjustRightInd/>
        <w:snapToGrid/>
        <w:spacing w:line="360" w:lineRule="auto"/>
        <w:ind w:left="0" w:firstLine="480"/>
        <w:rPr>
          <w:kern w:val="0"/>
        </w:rPr>
      </w:pPr>
      <w:r>
        <w:rPr>
          <w:kern w:val="0"/>
        </w:rPr>
        <w:t>电缆必须保证为原厂生产，不得随意分包其它厂家。各厂家所选用的原材料必须是国家认可的合格、优质原材料，铜材必须是由国家规定的正规渠道采购的优质电解铜，铜材纯度达到99.9%或以上，同时满足抗拉强度与伸长率等机械物理性能要求；其他绝缘材料、护套材料、填充物等必须使用国家认可的优质产品。</w:t>
      </w:r>
    </w:p>
    <w:p>
      <w:pPr>
        <w:numPr>
          <w:ilvl w:val="0"/>
          <w:numId w:val="11"/>
        </w:numPr>
        <w:adjustRightInd/>
        <w:snapToGrid/>
        <w:spacing w:line="360" w:lineRule="auto"/>
        <w:ind w:left="0" w:firstLine="480"/>
        <w:rPr>
          <w:kern w:val="0"/>
        </w:rPr>
      </w:pPr>
      <w:r>
        <w:rPr>
          <w:kern w:val="0"/>
        </w:rPr>
        <w:t>电缆不允许有中间接头。</w:t>
      </w:r>
    </w:p>
    <w:p>
      <w:pPr>
        <w:numPr>
          <w:ilvl w:val="0"/>
          <w:numId w:val="11"/>
        </w:numPr>
        <w:adjustRightInd/>
        <w:snapToGrid/>
        <w:spacing w:line="360" w:lineRule="auto"/>
        <w:ind w:left="0" w:firstLine="480"/>
        <w:rPr>
          <w:kern w:val="0"/>
        </w:rPr>
      </w:pPr>
      <w:r>
        <w:rPr>
          <w:kern w:val="0"/>
        </w:rPr>
        <w:t>要求阻燃性能达到GB/T18380.3《成束电线或电缆的燃烧试验方法》中C类及以上，低烟无卤性能符合国家标准GB17651.1.2和GB/T17650.1.2以及GB/T19666。耐火性能符合GB/T19216-2003《在火焰条件下电缆或光缆的线路完整性试验》。</w:t>
      </w:r>
    </w:p>
    <w:p>
      <w:pPr>
        <w:numPr>
          <w:ilvl w:val="0"/>
          <w:numId w:val="11"/>
        </w:numPr>
        <w:adjustRightInd/>
        <w:snapToGrid/>
        <w:spacing w:line="360" w:lineRule="auto"/>
        <w:ind w:left="0" w:firstLine="480"/>
        <w:rPr>
          <w:kern w:val="0"/>
        </w:rPr>
      </w:pPr>
      <w:r>
        <w:rPr>
          <w:rFonts w:hint="eastAsia"/>
          <w:kern w:val="0"/>
        </w:rPr>
        <w:t>提供的电缆包括控制电缆、计算机电缆、热电偶补偿电缆及少量电力电缆, 所有电缆应具有较好的电气性能，机械物理性能以及不延燃性, 所有电缆均为阻燃电缆。满足有关国际、国家规范和标准, 有同类工程应用业绩的产品。</w:t>
      </w:r>
    </w:p>
    <w:p>
      <w:pPr>
        <w:spacing w:line="360" w:lineRule="auto"/>
        <w:ind w:firstLine="480"/>
        <w:outlineLvl w:val="2"/>
        <w:rPr>
          <w:rFonts w:ascii="仿宋" w:hAnsi="仿宋" w:eastAsia="仿宋"/>
          <w:b/>
          <w:szCs w:val="21"/>
        </w:rPr>
      </w:pPr>
      <w:r>
        <w:rPr>
          <w:rFonts w:hint="eastAsia" w:ascii="仿宋" w:hAnsi="仿宋" w:eastAsia="仿宋"/>
          <w:b/>
          <w:szCs w:val="21"/>
        </w:rPr>
        <w:t xml:space="preserve">4.4 </w:t>
      </w:r>
      <w:r>
        <w:rPr>
          <w:rFonts w:ascii="仿宋" w:hAnsi="仿宋" w:eastAsia="仿宋"/>
          <w:b/>
          <w:szCs w:val="21"/>
        </w:rPr>
        <w:t>试验</w:t>
      </w:r>
    </w:p>
    <w:p>
      <w:pPr>
        <w:numPr>
          <w:ilvl w:val="0"/>
          <w:numId w:val="12"/>
        </w:numPr>
        <w:adjustRightInd/>
        <w:snapToGrid/>
        <w:spacing w:line="360" w:lineRule="auto"/>
        <w:ind w:left="0" w:firstLine="480"/>
        <w:rPr>
          <w:kern w:val="0"/>
        </w:rPr>
      </w:pPr>
      <w:r>
        <w:rPr>
          <w:kern w:val="0"/>
        </w:rPr>
        <w:t>电缆在制造、试验、检验过程中，买方有权监造和见证，随时可以对电缆的生产过程进行实地检查，卖方不得拒绝，买方的行为不免除对产品质量的责任。</w:t>
      </w:r>
    </w:p>
    <w:p>
      <w:pPr>
        <w:numPr>
          <w:ilvl w:val="0"/>
          <w:numId w:val="12"/>
        </w:numPr>
        <w:adjustRightInd/>
        <w:snapToGrid/>
        <w:spacing w:line="360" w:lineRule="auto"/>
        <w:ind w:left="0" w:firstLine="480"/>
        <w:rPr>
          <w:kern w:val="0"/>
        </w:rPr>
      </w:pPr>
      <w:r>
        <w:rPr>
          <w:kern w:val="0"/>
        </w:rPr>
        <w:t>每批电缆出厂前，对每盘电缆按GB/T12706.2以及本技术规范要求进行出厂试验。出厂试验报告除附在电缆盘上以外，并送二份原件给买方。</w:t>
      </w:r>
    </w:p>
    <w:p>
      <w:pPr>
        <w:numPr>
          <w:ilvl w:val="0"/>
          <w:numId w:val="12"/>
        </w:numPr>
        <w:adjustRightInd/>
        <w:snapToGrid/>
        <w:spacing w:line="360" w:lineRule="auto"/>
        <w:ind w:left="0" w:firstLine="480"/>
        <w:rPr>
          <w:kern w:val="0"/>
        </w:rPr>
      </w:pPr>
      <w:r>
        <w:rPr>
          <w:kern w:val="0"/>
        </w:rPr>
        <w:t>导体直流电阻试验</w:t>
      </w:r>
    </w:p>
    <w:p>
      <w:pPr>
        <w:spacing w:line="360" w:lineRule="auto"/>
        <w:ind w:firstLine="480"/>
      </w:pPr>
      <w:r>
        <w:t>导体直流电阻试验在每一电缆长度所有导体上进行测量，符合GB/T3956的规定。</w:t>
      </w:r>
    </w:p>
    <w:p>
      <w:pPr>
        <w:numPr>
          <w:ilvl w:val="0"/>
          <w:numId w:val="12"/>
        </w:numPr>
        <w:adjustRightInd/>
        <w:snapToGrid/>
        <w:spacing w:line="360" w:lineRule="auto"/>
        <w:ind w:left="0" w:firstLine="480"/>
        <w:rPr>
          <w:kern w:val="0"/>
        </w:rPr>
      </w:pPr>
      <w:r>
        <w:rPr>
          <w:kern w:val="0"/>
        </w:rPr>
        <w:t>交流电压试验</w:t>
      </w:r>
    </w:p>
    <w:p>
      <w:pPr>
        <w:spacing w:line="360" w:lineRule="auto"/>
        <w:ind w:firstLine="480"/>
      </w:pPr>
      <w:r>
        <w:t>在每一导体和金属铠装层之间施加工频电压3.5 kV，时间为5分钟，应不击穿。</w:t>
      </w:r>
    </w:p>
    <w:p>
      <w:pPr>
        <w:numPr>
          <w:ilvl w:val="0"/>
          <w:numId w:val="12"/>
        </w:numPr>
        <w:adjustRightInd/>
        <w:snapToGrid/>
        <w:spacing w:line="360" w:lineRule="auto"/>
        <w:ind w:left="0" w:firstLine="480"/>
        <w:rPr>
          <w:kern w:val="0"/>
        </w:rPr>
      </w:pPr>
      <w:r>
        <w:rPr>
          <w:kern w:val="0"/>
        </w:rPr>
        <w:t>抽样试验</w:t>
      </w:r>
    </w:p>
    <w:p>
      <w:pPr>
        <w:spacing w:line="360" w:lineRule="auto"/>
        <w:ind w:firstLine="480"/>
        <w:rPr>
          <w:sz w:val="28"/>
        </w:rPr>
      </w:pPr>
      <w:r>
        <w:t>抽样试验按GB/T12706及下表要求进行。试验报告提交买方。</w:t>
      </w:r>
    </w:p>
    <w:tbl>
      <w:tblPr>
        <w:tblStyle w:val="44"/>
        <w:tblW w:w="5000" w:type="pct"/>
        <w:jc w:val="center"/>
        <w:tblBorders>
          <w:top w:val="single" w:color="auto" w:sz="12" w:space="0"/>
          <w:left w:val="none" w:color="auto" w:sz="0" w:space="0"/>
          <w:bottom w:val="single" w:color="auto" w:sz="12"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4573"/>
        <w:gridCol w:w="4670"/>
      </w:tblGrid>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2474" w:type="pct"/>
            <w:tcBorders>
              <w:top w:val="single" w:color="auto" w:sz="12" w:space="0"/>
              <w:bottom w:val="single" w:color="auto" w:sz="4" w:space="0"/>
            </w:tcBorders>
            <w:noWrap w:val="0"/>
            <w:vAlign w:val="center"/>
          </w:tcPr>
          <w:p>
            <w:pPr>
              <w:spacing w:line="360" w:lineRule="auto"/>
              <w:ind w:firstLine="480"/>
              <w:jc w:val="center"/>
            </w:pPr>
            <w:r>
              <w:t>抽样试验项目</w:t>
            </w:r>
          </w:p>
        </w:tc>
        <w:tc>
          <w:tcPr>
            <w:tcW w:w="2526" w:type="pct"/>
            <w:tcBorders>
              <w:top w:val="single" w:color="auto" w:sz="12" w:space="0"/>
              <w:bottom w:val="single" w:color="auto" w:sz="4" w:space="0"/>
            </w:tcBorders>
            <w:noWrap w:val="0"/>
            <w:vAlign w:val="center"/>
          </w:tcPr>
          <w:p>
            <w:pPr>
              <w:spacing w:line="360" w:lineRule="auto"/>
              <w:ind w:firstLine="480"/>
              <w:jc w:val="center"/>
            </w:pPr>
            <w:r>
              <w:t>试验方法标准</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2474" w:type="pct"/>
            <w:tcBorders>
              <w:top w:val="single" w:color="auto" w:sz="4" w:space="0"/>
            </w:tcBorders>
            <w:noWrap w:val="0"/>
            <w:vAlign w:val="center"/>
          </w:tcPr>
          <w:p>
            <w:pPr>
              <w:spacing w:line="360" w:lineRule="auto"/>
              <w:ind w:firstLine="480"/>
              <w:jc w:val="center"/>
            </w:pPr>
            <w:r>
              <w:t>电缆结构尺寸检查</w:t>
            </w:r>
          </w:p>
        </w:tc>
        <w:tc>
          <w:tcPr>
            <w:tcW w:w="2526" w:type="pct"/>
            <w:tcBorders>
              <w:top w:val="single" w:color="auto" w:sz="4" w:space="0"/>
            </w:tcBorders>
            <w:noWrap w:val="0"/>
            <w:vAlign w:val="center"/>
          </w:tcPr>
          <w:p>
            <w:pPr>
              <w:spacing w:line="360" w:lineRule="auto"/>
              <w:ind w:firstLine="480"/>
              <w:jc w:val="center"/>
            </w:pPr>
            <w:r>
              <w:t>GB/T12706</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2474" w:type="pct"/>
            <w:noWrap w:val="0"/>
            <w:vAlign w:val="center"/>
          </w:tcPr>
          <w:p>
            <w:pPr>
              <w:spacing w:line="360" w:lineRule="auto"/>
              <w:ind w:firstLine="480"/>
              <w:jc w:val="center"/>
            </w:pPr>
            <w:r>
              <w:t>电缆绝缘性能试验</w:t>
            </w:r>
          </w:p>
        </w:tc>
        <w:tc>
          <w:tcPr>
            <w:tcW w:w="2526" w:type="pct"/>
            <w:noWrap w:val="0"/>
            <w:vAlign w:val="center"/>
          </w:tcPr>
          <w:p>
            <w:pPr>
              <w:spacing w:line="360" w:lineRule="auto"/>
              <w:ind w:firstLine="480"/>
              <w:jc w:val="center"/>
            </w:pPr>
            <w:r>
              <w:t>GB/T2951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2474" w:type="pct"/>
            <w:noWrap w:val="0"/>
            <w:vAlign w:val="center"/>
          </w:tcPr>
          <w:p>
            <w:pPr>
              <w:spacing w:line="360" w:lineRule="auto"/>
              <w:ind w:firstLine="480"/>
              <w:jc w:val="center"/>
            </w:pPr>
            <w:r>
              <w:t>热延伸试验</w:t>
            </w:r>
          </w:p>
        </w:tc>
        <w:tc>
          <w:tcPr>
            <w:tcW w:w="2526" w:type="pct"/>
            <w:noWrap w:val="0"/>
            <w:vAlign w:val="center"/>
          </w:tcPr>
          <w:p>
            <w:pPr>
              <w:spacing w:line="360" w:lineRule="auto"/>
              <w:ind w:firstLine="480"/>
              <w:jc w:val="center"/>
            </w:pPr>
            <w:r>
              <w:t>GB/T2951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2474" w:type="pct"/>
            <w:noWrap w:val="0"/>
            <w:vAlign w:val="center"/>
          </w:tcPr>
          <w:p>
            <w:pPr>
              <w:spacing w:line="360" w:lineRule="auto"/>
              <w:ind w:firstLine="480"/>
              <w:jc w:val="center"/>
            </w:pPr>
            <w:r>
              <w:t>护套物理性能试验</w:t>
            </w:r>
          </w:p>
        </w:tc>
        <w:tc>
          <w:tcPr>
            <w:tcW w:w="2526" w:type="pct"/>
            <w:noWrap w:val="0"/>
            <w:vAlign w:val="center"/>
          </w:tcPr>
          <w:p>
            <w:pPr>
              <w:spacing w:line="360" w:lineRule="auto"/>
              <w:ind w:firstLine="480"/>
              <w:jc w:val="center"/>
            </w:pPr>
            <w:r>
              <w:t>GB/T2951</w:t>
            </w:r>
          </w:p>
        </w:tc>
      </w:tr>
      <w:tr>
        <w:tblPrEx>
          <w:tblBorders>
            <w:top w:val="single" w:color="auto" w:sz="12" w:space="0"/>
            <w:left w:val="none" w:color="auto" w:sz="0" w:space="0"/>
            <w:bottom w:val="single" w:color="auto" w:sz="12"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2474" w:type="pct"/>
            <w:noWrap w:val="0"/>
            <w:vAlign w:val="center"/>
          </w:tcPr>
          <w:p>
            <w:pPr>
              <w:spacing w:line="360" w:lineRule="auto"/>
              <w:ind w:firstLine="480"/>
              <w:jc w:val="center"/>
            </w:pPr>
            <w:r>
              <w:t>交流电压试验</w:t>
            </w:r>
          </w:p>
        </w:tc>
        <w:tc>
          <w:tcPr>
            <w:tcW w:w="2526" w:type="pct"/>
            <w:noWrap w:val="0"/>
            <w:vAlign w:val="center"/>
          </w:tcPr>
          <w:p>
            <w:pPr>
              <w:spacing w:line="360" w:lineRule="auto"/>
              <w:ind w:firstLine="480"/>
              <w:jc w:val="center"/>
            </w:pPr>
            <w:r>
              <w:t>GB/T3048</w:t>
            </w:r>
          </w:p>
        </w:tc>
      </w:tr>
    </w:tbl>
    <w:p>
      <w:pPr>
        <w:numPr>
          <w:ilvl w:val="0"/>
          <w:numId w:val="12"/>
        </w:numPr>
        <w:adjustRightInd/>
        <w:snapToGrid/>
        <w:spacing w:line="360" w:lineRule="auto"/>
        <w:ind w:left="0" w:firstLine="480"/>
        <w:rPr>
          <w:kern w:val="0"/>
        </w:rPr>
      </w:pPr>
      <w:r>
        <w:rPr>
          <w:kern w:val="0"/>
        </w:rPr>
        <w:t>型式试验</w:t>
      </w:r>
    </w:p>
    <w:p>
      <w:pPr>
        <w:spacing w:line="360" w:lineRule="auto"/>
        <w:ind w:left="480" w:hanging="480" w:hangingChars="200"/>
      </w:pPr>
      <w:r>
        <w:t>按GB/T12706-200</w:t>
      </w:r>
      <w:r>
        <w:rPr>
          <w:rFonts w:hint="eastAsia"/>
        </w:rPr>
        <w:t>8</w:t>
      </w:r>
      <w:r>
        <w:t>执行。</w:t>
      </w:r>
    </w:p>
    <w:p>
      <w:pPr>
        <w:spacing w:line="360" w:lineRule="auto"/>
        <w:ind w:firstLine="480"/>
        <w:outlineLvl w:val="2"/>
        <w:rPr>
          <w:rFonts w:ascii="仿宋" w:hAnsi="仿宋" w:eastAsia="仿宋"/>
          <w:b/>
          <w:szCs w:val="21"/>
        </w:rPr>
      </w:pPr>
      <w:r>
        <w:rPr>
          <w:rFonts w:hint="eastAsia" w:ascii="仿宋" w:hAnsi="仿宋" w:eastAsia="仿宋"/>
          <w:b/>
          <w:szCs w:val="21"/>
        </w:rPr>
        <w:t>4.5 动力电缆参数表</w:t>
      </w:r>
    </w:p>
    <w:p>
      <w:pPr>
        <w:spacing w:line="360" w:lineRule="auto"/>
        <w:ind w:firstLine="480"/>
      </w:pPr>
      <w:r>
        <w:rPr>
          <w:rFonts w:hint="eastAsia"/>
          <w:kern w:val="0"/>
        </w:rPr>
        <w:t>卖方应提供本类电缆的结构参数表、技术参数表及非电技术参数表，卖方以卖方提供的参数表作为卖方对此类电缆的保证值及评标依据。</w:t>
      </w:r>
    </w:p>
    <w:p>
      <w:pPr>
        <w:pStyle w:val="3"/>
        <w:spacing w:before="120"/>
      </w:pPr>
      <w:r>
        <w:rPr>
          <w:rFonts w:hint="eastAsia"/>
        </w:rPr>
        <w:t>5</w:t>
      </w:r>
      <w:r>
        <w:t>控制电缆</w:t>
      </w:r>
    </w:p>
    <w:p>
      <w:pPr>
        <w:spacing w:line="360" w:lineRule="auto"/>
        <w:ind w:firstLine="480"/>
        <w:outlineLvl w:val="2"/>
        <w:rPr>
          <w:rFonts w:ascii="仿宋" w:hAnsi="仿宋" w:eastAsia="仿宋"/>
          <w:b/>
          <w:szCs w:val="21"/>
        </w:rPr>
      </w:pPr>
      <w:r>
        <w:rPr>
          <w:rFonts w:hint="eastAsia" w:ascii="仿宋" w:hAnsi="仿宋" w:eastAsia="仿宋"/>
          <w:b/>
          <w:szCs w:val="21"/>
        </w:rPr>
        <w:t>5.1</w:t>
      </w:r>
      <w:r>
        <w:rPr>
          <w:rFonts w:ascii="仿宋" w:hAnsi="仿宋" w:eastAsia="仿宋"/>
          <w:b/>
          <w:szCs w:val="21"/>
        </w:rPr>
        <w:t>运行条件</w:t>
      </w:r>
    </w:p>
    <w:p>
      <w:pPr>
        <w:spacing w:line="360" w:lineRule="auto"/>
        <w:ind w:firstLine="480"/>
      </w:pPr>
      <w:r>
        <w:rPr>
          <w:rFonts w:hint="eastAsia"/>
        </w:rPr>
        <w:t>产品规范和标准：</w:t>
      </w:r>
    </w:p>
    <w:p>
      <w:pPr>
        <w:spacing w:line="360" w:lineRule="auto"/>
        <w:ind w:firstLine="480"/>
      </w:pPr>
      <w:r>
        <w:rPr>
          <w:rFonts w:hint="eastAsia"/>
        </w:rPr>
        <w:t xml:space="preserve">    IEC332-3     </w:t>
      </w:r>
      <w:r>
        <w:rPr>
          <w:rFonts w:hint="eastAsia"/>
        </w:rPr>
        <w:tab/>
      </w:r>
      <w:r>
        <w:rPr>
          <w:rFonts w:hint="eastAsia"/>
        </w:rPr>
        <w:t>耐火试验 ( 耐高温电缆 )</w:t>
      </w:r>
    </w:p>
    <w:p>
      <w:pPr>
        <w:spacing w:line="360" w:lineRule="auto"/>
        <w:ind w:firstLine="480"/>
      </w:pPr>
      <w:r>
        <w:rPr>
          <w:rFonts w:hint="eastAsia"/>
        </w:rPr>
        <w:t xml:space="preserve">    IEEE383      </w:t>
      </w:r>
      <w:r>
        <w:rPr>
          <w:rFonts w:hint="eastAsia"/>
        </w:rPr>
        <w:tab/>
      </w:r>
      <w:r>
        <w:rPr>
          <w:rFonts w:hint="eastAsia"/>
        </w:rPr>
        <w:t>耐火试验 ( 耐高温电缆)</w:t>
      </w:r>
    </w:p>
    <w:p>
      <w:pPr>
        <w:spacing w:line="360" w:lineRule="auto"/>
        <w:ind w:firstLine="360" w:firstLineChars="150"/>
      </w:pPr>
      <w:r>
        <w:rPr>
          <w:rFonts w:hint="eastAsia"/>
        </w:rPr>
        <w:t xml:space="preserve"> GB12666.5-90     耐火试验 ( 耐高温电缆 )</w:t>
      </w:r>
    </w:p>
    <w:p>
      <w:pPr>
        <w:spacing w:line="360" w:lineRule="auto"/>
        <w:ind w:firstLine="480"/>
      </w:pPr>
      <w:r>
        <w:rPr>
          <w:rFonts w:hint="eastAsia"/>
        </w:rPr>
        <w:t>交流额定电压:  Uo/U ;  450/750V    耐压试验3000V, 5分钟完好。</w:t>
      </w:r>
    </w:p>
    <w:p>
      <w:pPr>
        <w:spacing w:line="360" w:lineRule="auto"/>
        <w:ind w:firstLine="480"/>
      </w:pPr>
      <w:r>
        <w:rPr>
          <w:rFonts w:hint="eastAsia"/>
        </w:rPr>
        <w:t>工作温度:  -15℃~ +105℃  耐高温控制电缆-40℃~ +200℃。</w:t>
      </w:r>
    </w:p>
    <w:p>
      <w:pPr>
        <w:spacing w:line="360" w:lineRule="auto"/>
        <w:ind w:firstLine="480"/>
      </w:pPr>
      <w:r>
        <w:rPr>
          <w:rFonts w:hint="eastAsia"/>
        </w:rPr>
        <w:t>绝缘电阻:  在20℃下温度不低于105MΩ.m。</w:t>
      </w:r>
    </w:p>
    <w:p>
      <w:pPr>
        <w:spacing w:line="360" w:lineRule="auto"/>
        <w:ind w:firstLine="480"/>
      </w:pPr>
      <w:r>
        <w:rPr>
          <w:rFonts w:hint="eastAsia"/>
        </w:rPr>
        <w:t>导体线芯直流电阻(20℃)符合 GB3956-83规定。铜芯导体线芯1.5mm</w:t>
      </w:r>
      <w:r>
        <w:rPr>
          <w:rFonts w:hint="eastAsia"/>
          <w:vertAlign w:val="superscript"/>
        </w:rPr>
        <w:t>2</w:t>
      </w:r>
    </w:p>
    <w:p>
      <w:pPr>
        <w:spacing w:line="360" w:lineRule="auto"/>
        <w:ind w:firstLine="480"/>
        <w:outlineLvl w:val="2"/>
        <w:rPr>
          <w:rFonts w:ascii="仿宋" w:hAnsi="仿宋" w:eastAsia="仿宋"/>
          <w:b/>
          <w:szCs w:val="21"/>
        </w:rPr>
      </w:pPr>
      <w:r>
        <w:rPr>
          <w:rFonts w:hint="eastAsia" w:ascii="仿宋" w:hAnsi="仿宋" w:eastAsia="仿宋"/>
          <w:b/>
          <w:szCs w:val="21"/>
        </w:rPr>
        <w:t xml:space="preserve">5.2 </w:t>
      </w:r>
      <w:r>
        <w:rPr>
          <w:rFonts w:ascii="仿宋" w:hAnsi="仿宋" w:eastAsia="仿宋"/>
          <w:b/>
          <w:szCs w:val="21"/>
        </w:rPr>
        <w:t>电缆允许弯曲半径</w:t>
      </w:r>
    </w:p>
    <w:p>
      <w:pPr>
        <w:spacing w:line="360" w:lineRule="auto"/>
        <w:ind w:firstLine="480"/>
      </w:pPr>
      <w:r>
        <w:t>无铠装层电缆，应不小于电缆外径的6倍；</w:t>
      </w:r>
    </w:p>
    <w:p>
      <w:pPr>
        <w:spacing w:line="360" w:lineRule="auto"/>
        <w:ind w:firstLine="480"/>
      </w:pPr>
      <w:r>
        <w:t>有铠装或铜带屏蔽结构的电缆，应不小于电缆外径的12倍；</w:t>
      </w:r>
    </w:p>
    <w:p>
      <w:pPr>
        <w:spacing w:line="360" w:lineRule="auto"/>
        <w:ind w:firstLine="480"/>
      </w:pPr>
      <w:r>
        <w:t>有屏蔽层结构的软电缆，应不小于电缆外径的6倍。</w:t>
      </w:r>
    </w:p>
    <w:p>
      <w:pPr>
        <w:spacing w:line="360" w:lineRule="auto"/>
        <w:ind w:firstLine="480"/>
        <w:outlineLvl w:val="2"/>
        <w:rPr>
          <w:rFonts w:ascii="仿宋" w:hAnsi="仿宋" w:eastAsia="仿宋"/>
          <w:b/>
          <w:szCs w:val="21"/>
        </w:rPr>
      </w:pPr>
      <w:r>
        <w:rPr>
          <w:rFonts w:hint="eastAsia" w:ascii="仿宋" w:hAnsi="仿宋" w:eastAsia="仿宋"/>
          <w:b/>
          <w:szCs w:val="21"/>
        </w:rPr>
        <w:t>5.3</w:t>
      </w:r>
      <w:r>
        <w:rPr>
          <w:rFonts w:ascii="仿宋" w:hAnsi="仿宋" w:eastAsia="仿宋"/>
          <w:b/>
          <w:szCs w:val="21"/>
        </w:rPr>
        <w:t>技术要求</w:t>
      </w:r>
    </w:p>
    <w:p>
      <w:pPr>
        <w:numPr>
          <w:ilvl w:val="0"/>
          <w:numId w:val="13"/>
        </w:numPr>
        <w:adjustRightInd/>
        <w:snapToGrid/>
        <w:spacing w:line="360" w:lineRule="auto"/>
        <w:ind w:left="0" w:firstLine="480"/>
        <w:rPr>
          <w:kern w:val="0"/>
        </w:rPr>
      </w:pPr>
      <w:r>
        <w:rPr>
          <w:kern w:val="0"/>
        </w:rPr>
        <w:t>产品技术要求符合GB9330标准及协议文件规定。</w:t>
      </w:r>
    </w:p>
    <w:p>
      <w:pPr>
        <w:numPr>
          <w:ilvl w:val="0"/>
          <w:numId w:val="13"/>
        </w:numPr>
        <w:adjustRightInd/>
        <w:snapToGrid/>
        <w:spacing w:line="360" w:lineRule="auto"/>
        <w:ind w:left="0" w:firstLine="480"/>
        <w:rPr>
          <w:kern w:val="0"/>
        </w:rPr>
      </w:pPr>
      <w:r>
        <w:rPr>
          <w:kern w:val="0"/>
        </w:rPr>
        <w:t>导体符合GB/T3956的规定，导体表面光洁、无油污、无损伤绝缘的毛刺。铜导体生产用材料采用无氧圆铜杆。</w:t>
      </w:r>
    </w:p>
    <w:p>
      <w:pPr>
        <w:numPr>
          <w:ilvl w:val="0"/>
          <w:numId w:val="13"/>
        </w:numPr>
        <w:adjustRightInd/>
        <w:snapToGrid/>
        <w:spacing w:line="360" w:lineRule="auto"/>
        <w:ind w:left="0" w:firstLine="480"/>
        <w:rPr>
          <w:kern w:val="0"/>
        </w:rPr>
      </w:pPr>
      <w:r>
        <w:rPr>
          <w:kern w:val="0"/>
        </w:rPr>
        <w:t>耐火控制电缆导体外绕包双层耐火云母带。</w:t>
      </w:r>
    </w:p>
    <w:p>
      <w:pPr>
        <w:numPr>
          <w:ilvl w:val="0"/>
          <w:numId w:val="13"/>
        </w:numPr>
        <w:adjustRightInd/>
        <w:snapToGrid/>
        <w:spacing w:line="360" w:lineRule="auto"/>
        <w:ind w:left="0" w:firstLine="480"/>
        <w:rPr>
          <w:kern w:val="0"/>
        </w:rPr>
      </w:pPr>
      <w:r>
        <w:rPr>
          <w:kern w:val="0"/>
        </w:rPr>
        <w:t>绝缘紧密挤包在导体上，且容易剥离而不损伤绝缘体、导体，绝缘表面平整、色泽均匀。绝缘厚度的平均值不小于规定的标称值</w:t>
      </w:r>
      <w:r>
        <w:rPr>
          <w:rFonts w:hint="eastAsia"/>
          <w:kern w:val="0"/>
        </w:rPr>
        <w:t>，</w:t>
      </w:r>
      <w:r>
        <w:rPr>
          <w:kern w:val="0"/>
        </w:rPr>
        <w:t>其最薄点处的厚度不小于标称值的90%</w:t>
      </w:r>
      <w:r>
        <w:rPr>
          <w:rFonts w:hint="eastAsia"/>
          <w:kern w:val="0"/>
        </w:rPr>
        <w:t>-</w:t>
      </w:r>
      <w:r>
        <w:rPr>
          <w:kern w:val="0"/>
        </w:rPr>
        <w:t>0.1mm。任一断面的偏心率应不大于10%。绝缘线芯识别方法采用数字标志以示识别，并符合GB6995.4的规定。</w:t>
      </w:r>
    </w:p>
    <w:p>
      <w:pPr>
        <w:numPr>
          <w:ilvl w:val="0"/>
          <w:numId w:val="13"/>
        </w:numPr>
        <w:adjustRightInd/>
        <w:snapToGrid/>
        <w:spacing w:line="360" w:lineRule="auto"/>
        <w:ind w:left="0" w:firstLine="480"/>
        <w:rPr>
          <w:kern w:val="0"/>
        </w:rPr>
      </w:pPr>
      <w:r>
        <w:rPr>
          <w:kern w:val="0"/>
        </w:rPr>
        <w:t>金属屏蔽采用铜带或圆铜线编织构成的屏蔽层。铜带屏蔽：采用0.05～0.15mm的软铜带重叠绕包，重叠率不小于15％。圆铜线编织屏蔽，其编织密度不小于80%，编织用圆铜线符合标准的规定。编织没有整体接续，露出的铜线头修齐。屏蔽和缆芯之间采用非吸湿性带子重叠绕包。</w:t>
      </w:r>
    </w:p>
    <w:p>
      <w:pPr>
        <w:numPr>
          <w:ilvl w:val="0"/>
          <w:numId w:val="13"/>
        </w:numPr>
        <w:adjustRightInd/>
        <w:snapToGrid/>
        <w:spacing w:line="360" w:lineRule="auto"/>
        <w:ind w:left="0" w:firstLine="480"/>
        <w:rPr>
          <w:kern w:val="0"/>
        </w:rPr>
      </w:pPr>
      <w:r>
        <w:rPr>
          <w:kern w:val="0"/>
        </w:rPr>
        <w:t>铠装层符合GB2952的要求，钢带铠装采用双钢带间隙绕包，钢带绕包平整紧密，钢带接续焊接平整牢固。</w:t>
      </w:r>
    </w:p>
    <w:p>
      <w:pPr>
        <w:numPr>
          <w:ilvl w:val="0"/>
          <w:numId w:val="13"/>
        </w:numPr>
        <w:adjustRightInd/>
        <w:snapToGrid/>
        <w:spacing w:line="360" w:lineRule="auto"/>
        <w:ind w:left="0" w:firstLine="480"/>
        <w:rPr>
          <w:kern w:val="0"/>
        </w:rPr>
      </w:pPr>
      <w:r>
        <w:rPr>
          <w:kern w:val="0"/>
        </w:rPr>
        <w:t>电缆外护层紧密挤包在缆芯上，护层表面光洁、色泽均匀。护层厚度的平均值不小于标准规定的标称值，其最薄处厚度不小于标称值的85%-0.1mm。所有电缆应提供阻燃</w:t>
      </w:r>
      <w:r>
        <w:rPr>
          <w:rFonts w:hint="eastAsia"/>
          <w:kern w:val="0"/>
        </w:rPr>
        <w:t>性、</w:t>
      </w:r>
      <w:r>
        <w:rPr>
          <w:kern w:val="0"/>
        </w:rPr>
        <w:t>耐低酸性能好的外护套</w:t>
      </w:r>
      <w:r>
        <w:rPr>
          <w:rFonts w:hint="eastAsia"/>
          <w:kern w:val="0"/>
        </w:rPr>
        <w:t>，且</w:t>
      </w:r>
      <w:r>
        <w:rPr>
          <w:kern w:val="0"/>
        </w:rPr>
        <w:t>护套适用于不良工作环境。</w:t>
      </w:r>
    </w:p>
    <w:p>
      <w:pPr>
        <w:numPr>
          <w:ilvl w:val="0"/>
          <w:numId w:val="13"/>
        </w:numPr>
        <w:adjustRightInd/>
        <w:snapToGrid/>
        <w:spacing w:line="360" w:lineRule="auto"/>
        <w:ind w:left="0" w:firstLine="480"/>
        <w:rPr>
          <w:kern w:val="0"/>
        </w:rPr>
      </w:pPr>
      <w:r>
        <w:rPr>
          <w:kern w:val="0"/>
        </w:rPr>
        <w:t>所有电缆的永久标记用永久表面打字或压印（不超过外护套厚度的15%），印刷标志符合GB6995的规定，其内容如下：制造厂厂名；回路电压额定值；芯线截面；芯数；绝缘材料；护套材料；长度标记（按米标记）。一个完整的标记的末端与下一个完整标记的始端之间的距离不应超过500</w:t>
      </w:r>
      <w:r>
        <w:rPr>
          <w:rFonts w:hint="eastAsia"/>
          <w:kern w:val="0"/>
        </w:rPr>
        <w:t>mm</w:t>
      </w:r>
      <w:r>
        <w:rPr>
          <w:kern w:val="0"/>
        </w:rPr>
        <w:t>。所有标记应可识别标记的颜色与外护套颜色不同。</w:t>
      </w:r>
    </w:p>
    <w:p>
      <w:pPr>
        <w:numPr>
          <w:ilvl w:val="0"/>
          <w:numId w:val="13"/>
        </w:numPr>
        <w:adjustRightInd/>
        <w:snapToGrid/>
        <w:spacing w:line="360" w:lineRule="auto"/>
        <w:ind w:left="0" w:firstLine="480"/>
        <w:rPr>
          <w:kern w:val="0"/>
        </w:rPr>
      </w:pPr>
      <w:r>
        <w:rPr>
          <w:kern w:val="0"/>
        </w:rPr>
        <w:t>芯及以下采用颜色标志时，其优先选用的颜色和色序如下：</w:t>
      </w:r>
    </w:p>
    <w:p>
      <w:pPr>
        <w:spacing w:line="360" w:lineRule="auto"/>
        <w:ind w:firstLine="480"/>
      </w:pPr>
      <w:r>
        <w:t>YJV、VV等电力电缆系列颜色识别：</w:t>
      </w:r>
    </w:p>
    <w:p>
      <w:pPr>
        <w:spacing w:line="360" w:lineRule="auto"/>
        <w:ind w:firstLine="480"/>
      </w:pPr>
      <w:r>
        <w:t>两芯电缆：无优先选用颜色</w:t>
      </w:r>
    </w:p>
    <w:p>
      <w:pPr>
        <w:spacing w:line="360" w:lineRule="auto"/>
        <w:ind w:firstLine="480"/>
      </w:pPr>
      <w:r>
        <w:t>三芯电缆：红色、黄色、绿色。</w:t>
      </w:r>
    </w:p>
    <w:p>
      <w:pPr>
        <w:spacing w:line="360" w:lineRule="auto"/>
        <w:ind w:firstLine="480"/>
      </w:pPr>
      <w:r>
        <w:t>四芯电缆：红色、黄色、绿色、</w:t>
      </w:r>
      <w:r>
        <w:rPr>
          <w:rFonts w:hint="eastAsia"/>
        </w:rPr>
        <w:t>蓝</w:t>
      </w:r>
      <w:r>
        <w:t>色。</w:t>
      </w:r>
    </w:p>
    <w:p>
      <w:pPr>
        <w:spacing w:line="360" w:lineRule="auto"/>
        <w:ind w:firstLine="480"/>
      </w:pPr>
      <w:r>
        <w:t>五芯电缆：红色、黄色、绿色、</w:t>
      </w:r>
      <w:r>
        <w:rPr>
          <w:rFonts w:hint="eastAsia"/>
        </w:rPr>
        <w:t>蓝</w:t>
      </w:r>
      <w:r>
        <w:t>色、黑色。</w:t>
      </w:r>
    </w:p>
    <w:p>
      <w:pPr>
        <w:spacing w:line="360" w:lineRule="auto"/>
        <w:ind w:firstLine="480"/>
      </w:pPr>
      <w:r>
        <w:t>KVV系列颜色识别</w:t>
      </w:r>
    </w:p>
    <w:p>
      <w:pPr>
        <w:spacing w:line="360" w:lineRule="auto"/>
        <w:ind w:firstLine="480"/>
      </w:pPr>
      <w:r>
        <w:t>两芯电缆：无优先选用颜色</w:t>
      </w:r>
    </w:p>
    <w:p>
      <w:pPr>
        <w:spacing w:line="360" w:lineRule="auto"/>
        <w:ind w:firstLine="480"/>
      </w:pPr>
      <w:r>
        <w:t>三芯电缆：红</w:t>
      </w:r>
      <w:r>
        <w:rPr>
          <w:rFonts w:hint="eastAsia"/>
        </w:rPr>
        <w:t>、</w:t>
      </w:r>
      <w:r>
        <w:t>绿</w:t>
      </w:r>
      <w:r>
        <w:rPr>
          <w:rFonts w:hint="eastAsia"/>
        </w:rPr>
        <w:t>、</w:t>
      </w:r>
      <w:r>
        <w:t>黄。</w:t>
      </w:r>
    </w:p>
    <w:p>
      <w:pPr>
        <w:spacing w:line="360" w:lineRule="auto"/>
        <w:ind w:firstLine="480"/>
      </w:pPr>
      <w:r>
        <w:t>四芯电缆：红</w:t>
      </w:r>
      <w:r>
        <w:rPr>
          <w:rFonts w:hint="eastAsia"/>
        </w:rPr>
        <w:t>、</w:t>
      </w:r>
      <w:r>
        <w:t>绿</w:t>
      </w:r>
      <w:r>
        <w:rPr>
          <w:rFonts w:hint="eastAsia"/>
        </w:rPr>
        <w:t>、</w:t>
      </w:r>
      <w:r>
        <w:t>黄</w:t>
      </w:r>
      <w:r>
        <w:rPr>
          <w:rFonts w:hint="eastAsia"/>
        </w:rPr>
        <w:t>、</w:t>
      </w:r>
      <w:r>
        <w:t>蓝。</w:t>
      </w:r>
    </w:p>
    <w:p>
      <w:pPr>
        <w:spacing w:line="360" w:lineRule="auto"/>
        <w:ind w:firstLine="480"/>
      </w:pPr>
      <w:r>
        <w:t>五芯电缆：红</w:t>
      </w:r>
      <w:r>
        <w:rPr>
          <w:rFonts w:hint="eastAsia"/>
        </w:rPr>
        <w:t>、</w:t>
      </w:r>
      <w:r>
        <w:t>绿</w:t>
      </w:r>
      <w:r>
        <w:rPr>
          <w:rFonts w:hint="eastAsia"/>
        </w:rPr>
        <w:t>、</w:t>
      </w:r>
      <w:r>
        <w:t>黄</w:t>
      </w:r>
      <w:r>
        <w:rPr>
          <w:rFonts w:hint="eastAsia"/>
        </w:rPr>
        <w:t>、</w:t>
      </w:r>
      <w:r>
        <w:t>蓝</w:t>
      </w:r>
      <w:r>
        <w:rPr>
          <w:rFonts w:hint="eastAsia"/>
        </w:rPr>
        <w:t>、</w:t>
      </w:r>
      <w:r>
        <w:t>黑。</w:t>
      </w:r>
    </w:p>
    <w:p>
      <w:pPr>
        <w:spacing w:line="360" w:lineRule="auto"/>
        <w:ind w:firstLine="480"/>
      </w:pPr>
      <w:r>
        <w:t>十芯以下</w:t>
      </w:r>
      <w:r>
        <w:rPr>
          <w:rFonts w:hint="eastAsia"/>
        </w:rPr>
        <w:t>（含十芯）</w:t>
      </w:r>
      <w:r>
        <w:t>：十种不同颜色。</w:t>
      </w:r>
    </w:p>
    <w:p>
      <w:pPr>
        <w:spacing w:line="360" w:lineRule="auto"/>
        <w:ind w:firstLine="480"/>
      </w:pPr>
      <w:r>
        <w:t>十芯以上：全色谱。</w:t>
      </w:r>
    </w:p>
    <w:p>
      <w:pPr>
        <w:spacing w:line="360" w:lineRule="auto"/>
        <w:ind w:firstLine="480"/>
      </w:pPr>
      <w:r>
        <w:t>采用数字标志时，绝缘线芯颜色与数字标志颜色有明显不同，其优先选用颜色绝缘为黑色，数字为白色。</w:t>
      </w:r>
    </w:p>
    <w:p>
      <w:pPr>
        <w:spacing w:line="360" w:lineRule="auto"/>
        <w:ind w:firstLine="480"/>
        <w:outlineLvl w:val="2"/>
        <w:rPr>
          <w:rFonts w:ascii="仿宋" w:hAnsi="仿宋" w:eastAsia="仿宋"/>
          <w:b/>
          <w:szCs w:val="21"/>
        </w:rPr>
      </w:pPr>
      <w:r>
        <w:rPr>
          <w:rFonts w:hint="eastAsia" w:ascii="仿宋" w:hAnsi="仿宋" w:eastAsia="仿宋"/>
          <w:b/>
          <w:szCs w:val="21"/>
        </w:rPr>
        <w:t>5.4</w:t>
      </w:r>
      <w:r>
        <w:rPr>
          <w:rFonts w:ascii="仿宋" w:hAnsi="仿宋" w:eastAsia="仿宋"/>
          <w:b/>
          <w:szCs w:val="21"/>
        </w:rPr>
        <w:t>试验</w:t>
      </w:r>
    </w:p>
    <w:p>
      <w:pPr>
        <w:numPr>
          <w:ilvl w:val="0"/>
          <w:numId w:val="14"/>
        </w:numPr>
        <w:adjustRightInd/>
        <w:snapToGrid/>
        <w:spacing w:line="360" w:lineRule="auto"/>
        <w:ind w:left="0" w:firstLine="480"/>
        <w:rPr>
          <w:kern w:val="0"/>
        </w:rPr>
      </w:pPr>
      <w:r>
        <w:rPr>
          <w:kern w:val="0"/>
        </w:rPr>
        <w:t>电缆的试验类型和项目按GB9330标准规定和要求进行，试验项目如下。</w:t>
      </w:r>
    </w:p>
    <w:p>
      <w:pPr>
        <w:spacing w:line="360" w:lineRule="auto"/>
        <w:ind w:firstLine="480"/>
      </w:pPr>
      <w:r>
        <w:t>1）结构尺寸T，S；</w:t>
      </w:r>
    </w:p>
    <w:p>
      <w:pPr>
        <w:spacing w:line="360" w:lineRule="auto"/>
        <w:ind w:firstLine="480"/>
      </w:pPr>
      <w:r>
        <w:t>2）绝缘机械物理性能T，St ；</w:t>
      </w:r>
    </w:p>
    <w:p>
      <w:pPr>
        <w:spacing w:line="360" w:lineRule="auto"/>
        <w:ind w:firstLine="480"/>
      </w:pPr>
      <w:r>
        <w:t>3）护套机械物理性能T，St ；</w:t>
      </w:r>
    </w:p>
    <w:p>
      <w:pPr>
        <w:spacing w:line="360" w:lineRule="auto"/>
        <w:ind w:firstLine="480"/>
      </w:pPr>
      <w:r>
        <w:t>4）电缆电性能；</w:t>
      </w:r>
    </w:p>
    <w:p>
      <w:pPr>
        <w:spacing w:line="360" w:lineRule="auto"/>
        <w:ind w:firstLine="480"/>
      </w:pPr>
      <w:r>
        <w:t>导体电阻T，S；</w:t>
      </w:r>
    </w:p>
    <w:p>
      <w:pPr>
        <w:spacing w:line="360" w:lineRule="auto"/>
        <w:ind w:firstLine="480"/>
      </w:pPr>
      <w:r>
        <w:t>电压试验T，R；</w:t>
      </w:r>
    </w:p>
    <w:p>
      <w:pPr>
        <w:spacing w:line="360" w:lineRule="auto"/>
        <w:ind w:firstLine="480"/>
      </w:pPr>
      <w:r>
        <w:t>绝缘电阻T，St。</w:t>
      </w:r>
    </w:p>
    <w:p>
      <w:pPr>
        <w:spacing w:line="360" w:lineRule="auto"/>
        <w:ind w:firstLine="480"/>
      </w:pPr>
      <w:r>
        <w:t>5）电缆不延燃试验T，St；</w:t>
      </w:r>
    </w:p>
    <w:p>
      <w:pPr>
        <w:spacing w:line="360" w:lineRule="auto"/>
        <w:ind w:firstLine="480"/>
      </w:pPr>
      <w:r>
        <w:t>6）表观T，S。</w:t>
      </w:r>
    </w:p>
    <w:p>
      <w:pPr>
        <w:spacing w:line="360" w:lineRule="auto"/>
        <w:ind w:firstLine="480"/>
      </w:pPr>
      <w:r>
        <w:t>T：型式试验；    S：抽样试验；   R：例行试验；    St:：定期抽样试验。</w:t>
      </w:r>
    </w:p>
    <w:p>
      <w:pPr>
        <w:numPr>
          <w:ilvl w:val="0"/>
          <w:numId w:val="14"/>
        </w:numPr>
        <w:adjustRightInd/>
        <w:snapToGrid/>
        <w:spacing w:line="360" w:lineRule="auto"/>
        <w:ind w:left="0" w:firstLine="480"/>
        <w:rPr>
          <w:kern w:val="0"/>
        </w:rPr>
      </w:pPr>
      <w:r>
        <w:rPr>
          <w:kern w:val="0"/>
        </w:rPr>
        <w:t>对于阻燃电缆，电缆的阻燃特性试验按GB12666中规定的要求进行。</w:t>
      </w:r>
    </w:p>
    <w:p>
      <w:pPr>
        <w:spacing w:line="360" w:lineRule="auto"/>
        <w:ind w:firstLine="480"/>
        <w:outlineLvl w:val="2"/>
        <w:rPr>
          <w:rFonts w:ascii="仿宋" w:hAnsi="仿宋" w:eastAsia="仿宋"/>
          <w:b/>
          <w:szCs w:val="21"/>
        </w:rPr>
      </w:pPr>
      <w:r>
        <w:rPr>
          <w:rFonts w:hint="eastAsia" w:ascii="仿宋" w:hAnsi="仿宋" w:eastAsia="仿宋"/>
          <w:b/>
          <w:szCs w:val="21"/>
        </w:rPr>
        <w:t>5.5 控制电缆参数表</w:t>
      </w:r>
    </w:p>
    <w:p>
      <w:pPr>
        <w:spacing w:line="360" w:lineRule="auto"/>
        <w:ind w:firstLine="480"/>
        <w:rPr>
          <w:kern w:val="0"/>
        </w:rPr>
      </w:pPr>
      <w:r>
        <w:rPr>
          <w:rFonts w:hint="eastAsia"/>
          <w:kern w:val="0"/>
        </w:rPr>
        <w:t>卖方应提供本类电缆的结构参数表、技术参数表及非电技术参数表，招标人以卖方提供的参数表作为卖方对此类电缆的保证值及评标依据。</w:t>
      </w:r>
    </w:p>
    <w:p>
      <w:pPr>
        <w:pStyle w:val="3"/>
        <w:spacing w:before="120"/>
      </w:pPr>
      <w:r>
        <w:rPr>
          <w:rFonts w:hint="eastAsia"/>
        </w:rPr>
        <w:t>6</w:t>
      </w:r>
      <w:r>
        <w:t>计算机电缆</w:t>
      </w:r>
    </w:p>
    <w:p>
      <w:pPr>
        <w:spacing w:line="360" w:lineRule="auto"/>
        <w:ind w:firstLine="480"/>
      </w:pPr>
      <w:r>
        <w:t>用于现场模拟量信号与DCS系统连接</w:t>
      </w:r>
      <w:r>
        <w:rPr>
          <w:rFonts w:hint="eastAsia"/>
        </w:rPr>
        <w:t>。</w:t>
      </w:r>
      <w:r>
        <w:t>选用低烟阻燃交联聚乙烯烃电缆（电缆导体的最高额定温度90</w:t>
      </w:r>
      <w:r>
        <w:rPr>
          <w:rFonts w:hint="eastAsia" w:cs="宋体"/>
        </w:rPr>
        <w:t>℃</w:t>
      </w:r>
      <w:r>
        <w:t>），分对屏蔽加总屏蔽，各对绞屏蔽之间以及对绞屏蔽与总屏蔽之间应不短路</w:t>
      </w:r>
      <w:r>
        <w:rPr>
          <w:rFonts w:hint="eastAsia"/>
        </w:rPr>
        <w:t>，</w:t>
      </w:r>
      <w:r>
        <w:t>额定电压300/500V</w:t>
      </w:r>
      <w:r>
        <w:rPr>
          <w:rFonts w:hint="eastAsia"/>
        </w:rPr>
        <w:t>。</w:t>
      </w:r>
    </w:p>
    <w:p>
      <w:pPr>
        <w:spacing w:line="360" w:lineRule="auto"/>
        <w:ind w:firstLine="480"/>
      </w:pPr>
      <w:r>
        <w:rPr>
          <w:rFonts w:hint="eastAsia"/>
        </w:rPr>
        <w:t>1）产品规范和标准</w:t>
      </w:r>
    </w:p>
    <w:p>
      <w:pPr>
        <w:spacing w:line="360" w:lineRule="auto"/>
        <w:ind w:firstLine="360" w:firstLineChars="150"/>
      </w:pPr>
      <w:r>
        <w:rPr>
          <w:rFonts w:hint="eastAsia"/>
        </w:rPr>
        <w:t xml:space="preserve"> GB12666.5-90    耐火试验 ( 耐高温电缆 )</w:t>
      </w:r>
    </w:p>
    <w:p>
      <w:pPr>
        <w:spacing w:line="360" w:lineRule="auto"/>
        <w:ind w:firstLine="480"/>
      </w:pPr>
      <w:r>
        <w:rPr>
          <w:rFonts w:hint="eastAsia"/>
        </w:rPr>
        <w:t>2）技术要求</w:t>
      </w:r>
    </w:p>
    <w:p>
      <w:pPr>
        <w:spacing w:line="360" w:lineRule="auto"/>
        <w:ind w:firstLine="480"/>
      </w:pPr>
      <w:r>
        <w:rPr>
          <w:rFonts w:hint="eastAsia"/>
        </w:rPr>
        <w:t>交流额定电压:  Uo/U：300/500V，耐压试验2000V，1分钟完好。</w:t>
      </w:r>
    </w:p>
    <w:p>
      <w:pPr>
        <w:spacing w:line="360" w:lineRule="auto"/>
        <w:ind w:firstLine="480"/>
      </w:pPr>
      <w:r>
        <w:rPr>
          <w:rFonts w:hint="eastAsia"/>
        </w:rPr>
        <w:t xml:space="preserve">电缆最高工作温度:  +90℃   </w:t>
      </w:r>
    </w:p>
    <w:p>
      <w:pPr>
        <w:spacing w:line="360" w:lineRule="auto"/>
        <w:ind w:firstLine="480"/>
      </w:pPr>
      <w:r>
        <w:rPr>
          <w:rFonts w:hint="eastAsia"/>
        </w:rPr>
        <w:t xml:space="preserve">最低环境温度:      -40℃  </w:t>
      </w:r>
    </w:p>
    <w:p>
      <w:pPr>
        <w:spacing w:line="360" w:lineRule="auto"/>
        <w:ind w:firstLine="480"/>
      </w:pPr>
      <w:r>
        <w:rPr>
          <w:rFonts w:hint="eastAsia"/>
        </w:rPr>
        <w:t>绝缘电阻:          在20℃下温度不低于 1x103MΩ.km</w:t>
      </w:r>
    </w:p>
    <w:p>
      <w:pPr>
        <w:spacing w:line="360" w:lineRule="auto"/>
        <w:ind w:firstLine="480"/>
      </w:pPr>
      <w:r>
        <w:rPr>
          <w:rFonts w:hint="eastAsia"/>
        </w:rPr>
        <w:t>工作电容:          低于 90 PF/m</w:t>
      </w:r>
    </w:p>
    <w:p>
      <w:pPr>
        <w:spacing w:line="360" w:lineRule="auto"/>
        <w:ind w:firstLine="480"/>
      </w:pPr>
      <w:r>
        <w:rPr>
          <w:rFonts w:hint="eastAsia"/>
        </w:rPr>
        <w:t>电容不平衡:         低于 1 PF/m</w:t>
      </w:r>
    </w:p>
    <w:p>
      <w:pPr>
        <w:spacing w:line="360" w:lineRule="auto"/>
        <w:ind w:firstLine="480"/>
      </w:pPr>
      <w:r>
        <w:t>最小弯曲半径：无铠装层应不小于电缆外径的6倍，带铠装层的电缆应不小于电缆外径的12倍</w:t>
      </w:r>
      <w:r>
        <w:rPr>
          <w:rFonts w:hint="eastAsia"/>
        </w:rPr>
        <w:t>；</w:t>
      </w:r>
      <w:r>
        <w:t>在20</w:t>
      </w:r>
      <w:r>
        <w:rPr>
          <w:rFonts w:hint="eastAsia" w:cs="宋体"/>
        </w:rPr>
        <w:t>℃</w:t>
      </w:r>
      <w:r>
        <w:t>时用直流500V电压试验稳定充电1min后绝缘电阻应不小于2500MΩ·</w:t>
      </w:r>
      <w:r>
        <w:rPr>
          <w:rFonts w:hint="eastAsia"/>
        </w:rPr>
        <w:t>k</w:t>
      </w:r>
      <w:r>
        <w:t>m</w:t>
      </w:r>
      <w:r>
        <w:rPr>
          <w:rFonts w:hint="eastAsia"/>
        </w:rPr>
        <w:t>。</w:t>
      </w:r>
      <w:r>
        <w:t>电缆的线芯和线芯之间以及屏蔽之间应经受50H</w:t>
      </w:r>
      <w:r>
        <w:rPr>
          <w:rFonts w:hint="eastAsia"/>
        </w:rPr>
        <w:t>z</w:t>
      </w:r>
      <w:r>
        <w:t>，交流2000V电压试验5min不击穿。</w:t>
      </w:r>
    </w:p>
    <w:p>
      <w:pPr>
        <w:spacing w:line="360" w:lineRule="auto"/>
        <w:ind w:firstLine="480"/>
      </w:pPr>
      <w:r>
        <w:t>耐火性能应符合GB／T19216—2003《在火焰条件下电缆或光缆的线路完整性试验》的规定。</w:t>
      </w:r>
    </w:p>
    <w:p>
      <w:pPr>
        <w:spacing w:line="360" w:lineRule="auto"/>
        <w:ind w:firstLine="480"/>
      </w:pPr>
      <w:r>
        <w:t>质量要求执行国家相关标准（耐火特性试验执行GB12666.6及IEC331标准，阻燃特性试验执行GB12666.5标准）。</w:t>
      </w:r>
    </w:p>
    <w:p>
      <w:pPr>
        <w:spacing w:line="360" w:lineRule="auto"/>
        <w:ind w:firstLine="480"/>
        <w:rPr>
          <w:kern w:val="0"/>
        </w:rPr>
      </w:pPr>
      <w:r>
        <w:rPr>
          <w:rFonts w:hint="eastAsia"/>
          <w:kern w:val="0"/>
        </w:rPr>
        <w:t>卖方应提供本类电缆的结构参数表、技术参数表及非电技术参数表，买方以卖方提供的参数表作为卖方对此类电缆的保证值及评标依据。</w:t>
      </w:r>
    </w:p>
    <w:p>
      <w:pPr>
        <w:pStyle w:val="3"/>
        <w:spacing w:before="120"/>
      </w:pPr>
      <w:r>
        <w:rPr>
          <w:rFonts w:hint="eastAsia"/>
        </w:rPr>
        <w:t>7补偿导线</w:t>
      </w:r>
    </w:p>
    <w:p>
      <w:pPr>
        <w:spacing w:line="360" w:lineRule="auto"/>
        <w:ind w:firstLine="480"/>
      </w:pPr>
      <w:r>
        <w:rPr>
          <w:rFonts w:hint="eastAsia"/>
        </w:rPr>
        <w:t>热电偶补偿电缆,用于热电偶信号。</w:t>
      </w:r>
    </w:p>
    <w:p>
      <w:pPr>
        <w:spacing w:line="360" w:lineRule="auto"/>
        <w:ind w:firstLine="480"/>
      </w:pPr>
      <w:r>
        <w:rPr>
          <w:rFonts w:hint="eastAsia"/>
        </w:rPr>
        <w:t>1）产品规范和标准</w:t>
      </w:r>
    </w:p>
    <w:p>
      <w:pPr>
        <w:spacing w:line="360" w:lineRule="auto"/>
        <w:ind w:firstLine="480"/>
      </w:pPr>
      <w:r>
        <w:t xml:space="preserve"> IEC584-3       </w:t>
      </w:r>
    </w:p>
    <w:p>
      <w:pPr>
        <w:spacing w:line="360" w:lineRule="auto"/>
        <w:ind w:firstLine="480"/>
      </w:pPr>
      <w:r>
        <w:t xml:space="preserve"> GB4989-85</w:t>
      </w:r>
    </w:p>
    <w:p>
      <w:pPr>
        <w:spacing w:line="360" w:lineRule="auto"/>
        <w:ind w:firstLine="480"/>
      </w:pPr>
      <w:r>
        <w:rPr>
          <w:rFonts w:hint="eastAsia"/>
        </w:rPr>
        <w:t xml:space="preserve"> GB12666.5-90    耐火试验( 耐高温电缆 )</w:t>
      </w:r>
    </w:p>
    <w:p>
      <w:pPr>
        <w:spacing w:line="360" w:lineRule="auto"/>
        <w:ind w:firstLine="480"/>
      </w:pPr>
      <w:r>
        <w:rPr>
          <w:rFonts w:hint="eastAsia"/>
        </w:rPr>
        <w:t>2）技术要求</w:t>
      </w:r>
    </w:p>
    <w:p>
      <w:pPr>
        <w:spacing w:line="360" w:lineRule="auto"/>
        <w:ind w:firstLine="480"/>
      </w:pPr>
      <w:r>
        <w:rPr>
          <w:rFonts w:hint="eastAsia"/>
        </w:rPr>
        <w:t>热电偶补偿电缆应采用密封绝缘和护套的工艺结构。应具有优良的防潮、防腐等性能，耐高温补偿电缆制造应采用先进的生产工艺制造。测量精度测量应满足国家有关标准要求。</w:t>
      </w:r>
    </w:p>
    <w:p>
      <w:pPr>
        <w:spacing w:line="360" w:lineRule="auto"/>
        <w:ind w:firstLine="480"/>
      </w:pPr>
      <w:r>
        <w:rPr>
          <w:rFonts w:hint="eastAsia"/>
        </w:rPr>
        <w:t>电缆最高长期工作温度:  +200℃  ( 耐高温 )</w:t>
      </w:r>
    </w:p>
    <w:p>
      <w:pPr>
        <w:spacing w:line="360" w:lineRule="auto"/>
        <w:ind w:firstLine="480"/>
      </w:pPr>
      <w:r>
        <w:rPr>
          <w:rFonts w:hint="eastAsia"/>
        </w:rPr>
        <w:t>电缆最高长期工作温度:  +70℃   ( 普通 )</w:t>
      </w:r>
    </w:p>
    <w:p>
      <w:pPr>
        <w:spacing w:line="360" w:lineRule="auto"/>
        <w:ind w:firstLine="480"/>
      </w:pPr>
      <w:r>
        <w:rPr>
          <w:rFonts w:hint="eastAsia"/>
        </w:rPr>
        <w:t xml:space="preserve">最低环境温度:              -40℃  </w:t>
      </w:r>
    </w:p>
    <w:p>
      <w:pPr>
        <w:spacing w:line="360" w:lineRule="auto"/>
        <w:ind w:firstLine="480"/>
      </w:pPr>
      <w:r>
        <w:rPr>
          <w:rFonts w:hint="eastAsia"/>
        </w:rPr>
        <w:t>绝缘电阻:  在20℃下温度不低于 25MΩ.km</w:t>
      </w:r>
    </w:p>
    <w:p>
      <w:pPr>
        <w:spacing w:line="360" w:lineRule="auto"/>
        <w:ind w:firstLine="480"/>
      </w:pPr>
      <w:r>
        <w:rPr>
          <w:rFonts w:hint="eastAsia"/>
        </w:rPr>
        <w:t>工作电容:   低于 80 PF/m</w:t>
      </w:r>
    </w:p>
    <w:p>
      <w:pPr>
        <w:spacing w:line="360" w:lineRule="auto"/>
        <w:ind w:firstLine="480"/>
      </w:pPr>
      <w:r>
        <w:rPr>
          <w:rFonts w:hint="eastAsia"/>
        </w:rPr>
        <w:t>电容不平衡:   低于 1 PF/m</w:t>
      </w:r>
    </w:p>
    <w:p>
      <w:pPr>
        <w:spacing w:line="360" w:lineRule="auto"/>
        <w:ind w:firstLine="480"/>
      </w:pPr>
      <w:r>
        <w:rPr>
          <w:rFonts w:hint="eastAsia"/>
        </w:rPr>
        <w:t>分布电感:      低于 0.6 μH/m</w:t>
      </w:r>
    </w:p>
    <w:p>
      <w:pPr>
        <w:spacing w:line="360" w:lineRule="auto"/>
        <w:ind w:firstLine="480"/>
      </w:pPr>
      <w:r>
        <w:rPr>
          <w:rFonts w:hint="eastAsia"/>
        </w:rPr>
        <w:t>静电感应电压(静电电压20KV):   低于 10 mV</w:t>
      </w:r>
    </w:p>
    <w:p>
      <w:pPr>
        <w:spacing w:line="360" w:lineRule="auto"/>
        <w:ind w:firstLine="480"/>
      </w:pPr>
      <w:r>
        <w:rPr>
          <w:rFonts w:hint="eastAsia"/>
        </w:rPr>
        <w:t>导体线芯2.5mm2  K分度。</w:t>
      </w:r>
    </w:p>
    <w:p>
      <w:pPr>
        <w:spacing w:line="360" w:lineRule="auto"/>
        <w:ind w:firstLine="480"/>
      </w:pPr>
      <w:r>
        <w:rPr>
          <w:rFonts w:hint="eastAsia"/>
        </w:rPr>
        <w:t>电磁干扰感应电压(50HZ，400A/m):   低于 5 mV</w:t>
      </w:r>
    </w:p>
    <w:p>
      <w:pPr>
        <w:spacing w:line="360" w:lineRule="auto"/>
        <w:ind w:firstLine="480"/>
      </w:pPr>
      <w:r>
        <w:rPr>
          <w:rFonts w:hint="eastAsia"/>
        </w:rPr>
        <w:t>无铠装电缆允许弯曲半径不小于电缆外径的6倍, 铠装电缆允许</w:t>
      </w:r>
    </w:p>
    <w:p>
      <w:pPr>
        <w:spacing w:line="360" w:lineRule="auto"/>
        <w:ind w:firstLine="480"/>
      </w:pPr>
      <w:r>
        <w:rPr>
          <w:rFonts w:hint="eastAsia"/>
        </w:rPr>
        <w:t>弯曲半径不小于电缆外径的12倍。</w:t>
      </w:r>
    </w:p>
    <w:p>
      <w:pPr>
        <w:pStyle w:val="3"/>
        <w:spacing w:before="120"/>
      </w:pPr>
      <w:r>
        <w:rPr>
          <w:rFonts w:hint="eastAsia"/>
        </w:rPr>
        <w:t>8</w:t>
      </w:r>
      <w:r>
        <w:t>塑铜</w:t>
      </w:r>
      <w:r>
        <w:rPr>
          <w:rFonts w:hint="eastAsia"/>
        </w:rPr>
        <w:t>电线</w:t>
      </w:r>
    </w:p>
    <w:p>
      <w:pPr>
        <w:spacing w:line="360" w:lineRule="auto"/>
        <w:ind w:firstLine="480"/>
      </w:pPr>
      <w:r>
        <w:t>塑铜电线</w:t>
      </w:r>
      <w:r>
        <w:rPr>
          <w:rFonts w:hint="eastAsia"/>
        </w:rPr>
        <w:t>：</w:t>
      </w:r>
      <w:r>
        <w:t>塑铜电线规格：BV-500V 2.5mm</w:t>
      </w:r>
      <w:r>
        <w:rPr>
          <w:vertAlign w:val="superscript"/>
        </w:rPr>
        <w:t>2</w:t>
      </w:r>
      <w:r>
        <w:t>。</w:t>
      </w:r>
      <w:r>
        <w:rPr>
          <w:rFonts w:hint="eastAsia"/>
        </w:rPr>
        <w:t>若无特殊要求及说明，</w:t>
      </w:r>
      <w:r>
        <w:t>颜色</w:t>
      </w:r>
      <w:r>
        <w:rPr>
          <w:rFonts w:hint="eastAsia"/>
        </w:rPr>
        <w:t>采用红、蓝</w:t>
      </w:r>
      <w:r>
        <w:t>两色</w:t>
      </w:r>
      <w:r>
        <w:rPr>
          <w:rFonts w:hint="eastAsia"/>
        </w:rPr>
        <w:t>，长度</w:t>
      </w:r>
      <w:r>
        <w:t>平分</w:t>
      </w:r>
      <w:r>
        <w:rPr>
          <w:rFonts w:hint="eastAsia"/>
        </w:rPr>
        <w:t>。</w:t>
      </w:r>
    </w:p>
    <w:p>
      <w:pPr>
        <w:pStyle w:val="3"/>
        <w:spacing w:before="120"/>
      </w:pPr>
      <w:r>
        <w:rPr>
          <w:rFonts w:hint="eastAsia"/>
        </w:rPr>
        <w:t>9</w:t>
      </w:r>
      <w:r>
        <w:t>包装、储运</w:t>
      </w:r>
    </w:p>
    <w:p>
      <w:pPr>
        <w:spacing w:line="360" w:lineRule="auto"/>
        <w:ind w:firstLine="480"/>
      </w:pPr>
      <w:r>
        <w:rPr>
          <w:rFonts w:hint="eastAsia"/>
        </w:rPr>
        <w:t>9.1 成品电缆的护套表面上应有制造厂名、产品型号、额定电压、每米打字和制造年、月的连续标志</w:t>
      </w:r>
      <w:r>
        <w:rPr>
          <w:rFonts w:hint="eastAsia" w:cs="宋体"/>
        </w:rPr>
        <w:t>，标志应字迹清楚，</w:t>
      </w:r>
      <w:r>
        <w:rPr>
          <w:rFonts w:hint="eastAsia"/>
        </w:rPr>
        <w:t>清晰耐磨。</w:t>
      </w:r>
    </w:p>
    <w:p>
      <w:pPr>
        <w:spacing w:line="360" w:lineRule="auto"/>
        <w:ind w:firstLine="480"/>
      </w:pPr>
      <w:r>
        <w:rPr>
          <w:rFonts w:hint="eastAsia"/>
        </w:rPr>
        <w:t>9.2 除非另有规定</w:t>
      </w:r>
      <w:r>
        <w:rPr>
          <w:rFonts w:hint="eastAsia" w:cs="宋体"/>
        </w:rPr>
        <w:t>，电缆应卷绕在符合</w:t>
      </w:r>
      <w:r>
        <w:rPr>
          <w:rFonts w:hint="eastAsia"/>
        </w:rPr>
        <w:t>JB/T 8137的电缆盘上交货</w:t>
      </w:r>
      <w:r>
        <w:rPr>
          <w:rFonts w:hint="eastAsia" w:cs="宋体"/>
        </w:rPr>
        <w:t>，每个电缆盘上只能卷绕一根</w:t>
      </w:r>
      <w:r>
        <w:rPr>
          <w:rFonts w:hint="eastAsia"/>
        </w:rPr>
        <w:t>电缆。电缆的两端应采用防潮帽密封并牢靠地固定在电缆盘上。</w:t>
      </w:r>
    </w:p>
    <w:p>
      <w:pPr>
        <w:spacing w:line="360" w:lineRule="auto"/>
        <w:ind w:firstLine="480"/>
      </w:pPr>
      <w:r>
        <w:rPr>
          <w:rFonts w:hint="eastAsia"/>
        </w:rPr>
        <w:t>9.3 在每盘电缆的外侧端应装有经买方认可的敷设电缆时牵引用的拉眼或牵引螺栓。拉眼或牵引螺栓与电缆导体的连接</w:t>
      </w:r>
      <w:r>
        <w:rPr>
          <w:rFonts w:hint="eastAsia" w:cs="宋体"/>
        </w:rPr>
        <w:t>，应能满足敷设电缆时的牵引方式和牵引该长度的电缆所需的机械强度。</w:t>
      </w:r>
      <w:r>
        <w:rPr>
          <w:rFonts w:hint="eastAsia"/>
        </w:rPr>
        <w:t>对机械强度的要求应由买方与卖方协商确定。</w:t>
      </w:r>
    </w:p>
    <w:p>
      <w:pPr>
        <w:spacing w:line="360" w:lineRule="auto"/>
        <w:ind w:firstLine="480"/>
      </w:pPr>
      <w:r>
        <w:rPr>
          <w:rFonts w:hint="eastAsia"/>
        </w:rPr>
        <w:t>9.4 电缆盘的结构应牢固</w:t>
      </w:r>
      <w:r>
        <w:rPr>
          <w:rFonts w:hint="eastAsia" w:cs="宋体"/>
        </w:rPr>
        <w:t>，筒体部分应采用钢结构。电缆卷绕在电缆盘上后，用护板保护，护板可</w:t>
      </w:r>
      <w:r>
        <w:rPr>
          <w:rFonts w:hint="eastAsia"/>
        </w:rPr>
        <w:t>以用木板或钢板。如采用木护板</w:t>
      </w:r>
      <w:r>
        <w:rPr>
          <w:rFonts w:hint="eastAsia" w:cs="宋体"/>
        </w:rPr>
        <w:t>，在其外表面还应用金属带扎紧，并在护板之下的电缆盘最外层</w:t>
      </w:r>
      <w:r>
        <w:rPr>
          <w:rFonts w:hint="eastAsia"/>
        </w:rPr>
        <w:t>电缆表面上覆盖一层硬纸或其它具有类似功能的材料</w:t>
      </w:r>
      <w:r>
        <w:rPr>
          <w:rFonts w:hint="eastAsia" w:cs="宋体"/>
        </w:rPr>
        <w:t>，以防碎石或煤渣等坚硬物体掉落在每匝电</w:t>
      </w:r>
      <w:r>
        <w:rPr>
          <w:rFonts w:hint="eastAsia"/>
        </w:rPr>
        <w:t>缆之间</w:t>
      </w:r>
      <w:r>
        <w:rPr>
          <w:rFonts w:hint="eastAsia" w:cs="宋体"/>
        </w:rPr>
        <w:t>，在</w:t>
      </w:r>
      <w:r>
        <w:rPr>
          <w:rFonts w:hint="eastAsia"/>
        </w:rPr>
        <w:t>运输或搬运过程中损伤电缆外护套</w:t>
      </w:r>
      <w:r>
        <w:rPr>
          <w:rFonts w:hint="eastAsia" w:cs="宋体"/>
        </w:rPr>
        <w:t>，如用钢板，则宜采用轧边或螺栓与电缆盘固定，</w:t>
      </w:r>
      <w:r>
        <w:rPr>
          <w:rFonts w:hint="eastAsia"/>
        </w:rPr>
        <w:t>而不应采用焊接固定。</w:t>
      </w:r>
    </w:p>
    <w:p>
      <w:pPr>
        <w:spacing w:line="360" w:lineRule="auto"/>
        <w:ind w:firstLine="480"/>
      </w:pPr>
      <w:r>
        <w:rPr>
          <w:rFonts w:hint="eastAsia"/>
        </w:rPr>
        <w:t>9.5在运输电缆时</w:t>
      </w:r>
      <w:r>
        <w:rPr>
          <w:rFonts w:hint="eastAsia" w:cs="宋体"/>
        </w:rPr>
        <w:t>，卖方应采取防止电缆盘滚动的措施，例如将电缆盘放在托盘</w:t>
      </w:r>
      <w:r>
        <w:rPr>
          <w:rFonts w:hint="eastAsia"/>
        </w:rPr>
        <w:t>上。卖方应对由于未将电缆或电缆盘正确地扣紧、密封、包装和固定而造成的电缆损伤负责。</w:t>
      </w:r>
    </w:p>
    <w:p>
      <w:pPr>
        <w:spacing w:line="360" w:lineRule="auto"/>
        <w:ind w:firstLine="480"/>
      </w:pPr>
      <w:r>
        <w:rPr>
          <w:rFonts w:hint="eastAsia"/>
        </w:rPr>
        <w:t>9.6 电缆盘在装卸时应采用专门的吊装工具以避免损坏电缆。</w:t>
      </w:r>
    </w:p>
    <w:p>
      <w:pPr>
        <w:spacing w:line="360" w:lineRule="auto"/>
        <w:ind w:firstLine="480"/>
      </w:pPr>
      <w:r>
        <w:rPr>
          <w:rFonts w:hint="eastAsia"/>
        </w:rPr>
        <w:t>9.7 在电缆盘上应有下列文字和符合标志</w:t>
      </w:r>
      <w:r>
        <w:rPr>
          <w:rFonts w:hint="eastAsia" w:cs="宋体"/>
        </w:rPr>
        <w:t>：</w:t>
      </w:r>
      <w:r>
        <w:rPr>
          <w:rFonts w:hint="eastAsia"/>
        </w:rPr>
        <w:cr/>
      </w:r>
      <w:r>
        <w:rPr>
          <w:rFonts w:hint="eastAsia" w:cs="宋体"/>
        </w:rPr>
        <w:t></w:t>
      </w:r>
      <w:r>
        <w:rPr>
          <w:rFonts w:hint="eastAsia" w:cs="宋体"/>
        </w:rPr>
        <w:tab/>
      </w:r>
      <w:r>
        <w:rPr>
          <w:rFonts w:hint="eastAsia" w:cs="宋体"/>
        </w:rPr>
        <w:tab/>
      </w:r>
      <w:r>
        <w:rPr>
          <w:rFonts w:hint="eastAsia"/>
        </w:rPr>
        <w:t>1</w:t>
      </w:r>
      <w:r>
        <w:rPr>
          <w:rFonts w:hint="eastAsia" w:cs="宋体"/>
        </w:rPr>
        <w:t>合同号、电缆盘号；</w:t>
      </w:r>
      <w:r>
        <w:rPr>
          <w:rFonts w:hint="eastAsia"/>
        </w:rPr>
        <w:cr/>
      </w:r>
      <w:r>
        <w:rPr>
          <w:rFonts w:hint="eastAsia" w:cs="宋体"/>
        </w:rPr>
        <w:t></w:t>
      </w:r>
      <w:r>
        <w:rPr>
          <w:rFonts w:hint="eastAsia" w:cs="宋体"/>
        </w:rPr>
        <w:tab/>
      </w:r>
      <w:r>
        <w:rPr>
          <w:rFonts w:hint="eastAsia" w:cs="宋体"/>
        </w:rPr>
        <w:tab/>
      </w:r>
      <w:r>
        <w:rPr>
          <w:rFonts w:hint="eastAsia"/>
        </w:rPr>
        <w:t>2</w:t>
      </w:r>
      <w:r>
        <w:rPr>
          <w:rFonts w:hint="eastAsia" w:cs="宋体"/>
        </w:rPr>
        <w:t>收货单位；</w:t>
      </w:r>
      <w:r>
        <w:rPr>
          <w:rFonts w:hint="eastAsia"/>
        </w:rPr>
        <w:cr/>
      </w:r>
      <w:r>
        <w:rPr>
          <w:rFonts w:hint="eastAsia" w:cs="宋体"/>
        </w:rPr>
        <w:t></w:t>
      </w:r>
      <w:r>
        <w:rPr>
          <w:rFonts w:hint="eastAsia" w:cs="宋体"/>
        </w:rPr>
        <w:tab/>
      </w:r>
      <w:r>
        <w:rPr>
          <w:rFonts w:hint="eastAsia" w:cs="宋体"/>
        </w:rPr>
        <w:tab/>
      </w:r>
      <w:r>
        <w:rPr>
          <w:rFonts w:hint="eastAsia"/>
        </w:rPr>
        <w:t>3</w:t>
      </w:r>
      <w:r>
        <w:rPr>
          <w:rFonts w:hint="eastAsia" w:cs="宋体"/>
        </w:rPr>
        <w:t>目的口岸或到站；</w:t>
      </w:r>
      <w:r>
        <w:rPr>
          <w:rFonts w:hint="eastAsia"/>
        </w:rPr>
        <w:cr/>
      </w:r>
      <w:r>
        <w:rPr>
          <w:rFonts w:hint="eastAsia" w:cs="宋体"/>
        </w:rPr>
        <w:t></w:t>
      </w:r>
      <w:r>
        <w:rPr>
          <w:rFonts w:hint="eastAsia" w:cs="宋体"/>
        </w:rPr>
        <w:tab/>
      </w:r>
      <w:r>
        <w:rPr>
          <w:rFonts w:hint="eastAsia" w:cs="宋体"/>
        </w:rPr>
        <w:tab/>
      </w:r>
      <w:r>
        <w:rPr>
          <w:rFonts w:hint="eastAsia"/>
        </w:rPr>
        <w:t>4</w:t>
      </w:r>
      <w:r>
        <w:rPr>
          <w:rFonts w:hint="eastAsia" w:cs="宋体"/>
        </w:rPr>
        <w:t>产品名称和型号规格；</w:t>
      </w:r>
      <w:r>
        <w:rPr>
          <w:rFonts w:hint="eastAsia"/>
        </w:rPr>
        <w:cr/>
      </w:r>
      <w:r>
        <w:rPr>
          <w:rFonts w:hint="eastAsia" w:cs="宋体"/>
        </w:rPr>
        <w:t></w:t>
      </w:r>
      <w:r>
        <w:rPr>
          <w:rFonts w:hint="eastAsia" w:cs="宋体"/>
        </w:rPr>
        <w:tab/>
      </w:r>
      <w:r>
        <w:rPr>
          <w:rFonts w:hint="eastAsia" w:cs="宋体"/>
        </w:rPr>
        <w:tab/>
      </w:r>
      <w:r>
        <w:rPr>
          <w:rFonts w:hint="eastAsia"/>
        </w:rPr>
        <w:t>5</w:t>
      </w:r>
      <w:r>
        <w:rPr>
          <w:rFonts w:hint="eastAsia" w:cs="宋体"/>
        </w:rPr>
        <w:t>电缆的额定电压；</w:t>
      </w:r>
      <w:r>
        <w:rPr>
          <w:rFonts w:hint="eastAsia"/>
        </w:rPr>
        <w:cr/>
      </w:r>
      <w:r>
        <w:rPr>
          <w:rFonts w:hint="eastAsia" w:cs="宋体"/>
        </w:rPr>
        <w:t></w:t>
      </w:r>
      <w:r>
        <w:rPr>
          <w:rFonts w:hint="eastAsia" w:cs="宋体"/>
        </w:rPr>
        <w:tab/>
      </w:r>
      <w:r>
        <w:rPr>
          <w:rFonts w:hint="eastAsia" w:cs="宋体"/>
        </w:rPr>
        <w:tab/>
      </w:r>
      <w:r>
        <w:rPr>
          <w:rFonts w:hint="eastAsia"/>
        </w:rPr>
        <w:t>6</w:t>
      </w:r>
      <w:r>
        <w:rPr>
          <w:rFonts w:hint="eastAsia" w:cs="宋体"/>
        </w:rPr>
        <w:t>电缆长度；</w:t>
      </w:r>
      <w:r>
        <w:rPr>
          <w:rFonts w:hint="eastAsia"/>
        </w:rPr>
        <w:cr/>
      </w:r>
      <w:r>
        <w:rPr>
          <w:rFonts w:hint="eastAsia" w:cs="宋体"/>
        </w:rPr>
        <w:t></w:t>
      </w:r>
      <w:r>
        <w:rPr>
          <w:rFonts w:hint="eastAsia" w:cs="宋体"/>
        </w:rPr>
        <w:tab/>
      </w:r>
      <w:r>
        <w:rPr>
          <w:rFonts w:hint="eastAsia" w:cs="宋体"/>
        </w:rPr>
        <w:tab/>
      </w:r>
      <w:r>
        <w:rPr>
          <w:rFonts w:hint="eastAsia"/>
        </w:rPr>
        <w:t>7</w:t>
      </w:r>
      <w:r>
        <w:rPr>
          <w:rFonts w:hint="eastAsia" w:cs="宋体"/>
        </w:rPr>
        <w:t>表示搬运电缆盘正确滚动方向的箭头和起吊点的符号；</w:t>
      </w:r>
      <w:r>
        <w:rPr>
          <w:rFonts w:hint="eastAsia"/>
        </w:rPr>
        <w:cr/>
      </w:r>
      <w:r>
        <w:rPr>
          <w:rFonts w:hint="eastAsia" w:cs="宋体"/>
        </w:rPr>
        <w:t></w:t>
      </w:r>
      <w:r>
        <w:rPr>
          <w:rFonts w:hint="eastAsia" w:cs="宋体"/>
        </w:rPr>
        <w:tab/>
      </w:r>
      <w:r>
        <w:rPr>
          <w:rFonts w:hint="eastAsia" w:cs="宋体"/>
        </w:rPr>
        <w:tab/>
      </w:r>
      <w:r>
        <w:rPr>
          <w:rFonts w:hint="eastAsia"/>
        </w:rPr>
        <w:t>8</w:t>
      </w:r>
      <w:r>
        <w:rPr>
          <w:rFonts w:hint="eastAsia" w:cs="宋体"/>
        </w:rPr>
        <w:t>必要的警告文字和符号；</w:t>
      </w:r>
      <w:r>
        <w:rPr>
          <w:rFonts w:hint="eastAsia"/>
        </w:rPr>
        <w:cr/>
      </w:r>
      <w:r>
        <w:rPr>
          <w:rFonts w:hint="eastAsia" w:cs="宋体"/>
        </w:rPr>
        <w:t></w:t>
      </w:r>
      <w:r>
        <w:rPr>
          <w:rFonts w:hint="eastAsia" w:cs="宋体"/>
        </w:rPr>
        <w:tab/>
      </w:r>
      <w:r>
        <w:rPr>
          <w:rFonts w:hint="eastAsia" w:cs="宋体"/>
        </w:rPr>
        <w:tab/>
      </w:r>
      <w:r>
        <w:rPr>
          <w:rFonts w:hint="eastAsia"/>
        </w:rPr>
        <w:t>9</w:t>
      </w:r>
      <w:r>
        <w:rPr>
          <w:rFonts w:hint="eastAsia" w:cs="宋体"/>
        </w:rPr>
        <w:t>供方名称和制造日期；</w:t>
      </w:r>
      <w:r>
        <w:rPr>
          <w:rFonts w:hint="eastAsia"/>
        </w:rPr>
        <w:cr/>
      </w:r>
      <w:r>
        <w:rPr>
          <w:rFonts w:hint="eastAsia" w:cs="宋体"/>
        </w:rPr>
        <w:t></w:t>
      </w:r>
      <w:r>
        <w:rPr>
          <w:rFonts w:hint="eastAsia" w:cs="宋体"/>
        </w:rPr>
        <w:tab/>
      </w:r>
      <w:r>
        <w:rPr>
          <w:rFonts w:hint="eastAsia" w:cs="宋体"/>
        </w:rPr>
        <w:tab/>
      </w:r>
      <w:r>
        <w:rPr>
          <w:rFonts w:hint="eastAsia"/>
        </w:rPr>
        <w:t>10</w:t>
      </w:r>
      <w:r>
        <w:rPr>
          <w:rFonts w:hint="eastAsia" w:cs="宋体"/>
        </w:rPr>
        <w:t>外形尺寸、毛重和净重。</w:t>
      </w:r>
    </w:p>
    <w:p>
      <w:pPr>
        <w:spacing w:line="360" w:lineRule="auto"/>
        <w:ind w:firstLine="480"/>
      </w:pPr>
      <w:r>
        <w:rPr>
          <w:rFonts w:hint="eastAsia"/>
        </w:rPr>
        <w:t>9.8 凡由于卖方包装不当、包装不充分或保管不善致使货物遭到损坏或丢失时，不论在何时何地发现，一经证实，卖方均应负责及时修理、更换或赔偿。在运输中如发生货物损坏和丢失时，卖方负责与承运部门及保险公司交涉，同时卖方应尽快向买方补供货物以满足工程建设进度需要。</w:t>
      </w:r>
    </w:p>
    <w:p>
      <w:pPr>
        <w:spacing w:line="360" w:lineRule="auto"/>
        <w:ind w:firstLine="480"/>
      </w:pPr>
      <w:r>
        <w:rPr>
          <w:rFonts w:hint="eastAsia"/>
        </w:rPr>
        <w:t>9.9 卖方应在货物装运前7天</w:t>
      </w:r>
      <w:r>
        <w:rPr>
          <w:rFonts w:hint="eastAsia" w:cs="宋体"/>
        </w:rPr>
        <w:t>以传真形式将每批待交货电缆的型号、规格、数量、重量、交货</w:t>
      </w:r>
      <w:r>
        <w:rPr>
          <w:rFonts w:hint="eastAsia"/>
        </w:rPr>
        <w:t>方式及地点通知买方。</w:t>
      </w:r>
    </w:p>
    <w:p>
      <w:pPr>
        <w:spacing w:line="360" w:lineRule="auto"/>
        <w:ind w:firstLine="480"/>
      </w:pPr>
      <w:r>
        <w:rPr>
          <w:rFonts w:hint="eastAsia"/>
        </w:rPr>
        <w:t>9</w:t>
      </w:r>
      <w:r>
        <w:t>.</w:t>
      </w:r>
      <w:r>
        <w:rPr>
          <w:rFonts w:hint="eastAsia"/>
        </w:rPr>
        <w:t>10产品</w:t>
      </w:r>
      <w:r>
        <w:t>由卖方的检查部门检查合格后方可出厂，每个出厂的包装件上附有产品质量合格证和质保书，产品试验报告</w:t>
      </w:r>
      <w:r>
        <w:rPr>
          <w:rFonts w:hint="eastAsia"/>
        </w:rPr>
        <w:t>等</w:t>
      </w:r>
      <w:r>
        <w:t>。</w:t>
      </w:r>
    </w:p>
    <w:p>
      <w:pPr>
        <w:spacing w:line="360" w:lineRule="auto"/>
        <w:ind w:firstLine="480"/>
      </w:pPr>
      <w:r>
        <w:rPr>
          <w:rFonts w:hint="eastAsia"/>
        </w:rPr>
        <w:t>9</w:t>
      </w:r>
      <w:r>
        <w:t>.</w:t>
      </w:r>
      <w:r>
        <w:rPr>
          <w:rFonts w:hint="eastAsia"/>
        </w:rPr>
        <w:t>11</w:t>
      </w:r>
      <w:r>
        <w:t>电缆盘能承受所有在运输、现场搬运中可能遭受的外力作用或任何气象条件下在户外储存10年以上，电缆盘能承受在安装或处理电缆时可能遭受的外力作用并不会损伤电缆及盘本身。电缆端头可靠密封且伸长电缆盘侧面应≥300 mm。</w:t>
      </w:r>
    </w:p>
    <w:p>
      <w:pPr>
        <w:spacing w:line="360" w:lineRule="auto"/>
        <w:ind w:firstLine="480"/>
        <w:rPr>
          <w:rFonts w:hint="eastAsia"/>
        </w:rPr>
      </w:pPr>
      <w:r>
        <w:rPr>
          <w:rFonts w:hint="eastAsia"/>
        </w:rPr>
        <w:t>9</w:t>
      </w:r>
      <w:r>
        <w:t>.</w:t>
      </w:r>
      <w:r>
        <w:rPr>
          <w:rFonts w:hint="eastAsia"/>
        </w:rPr>
        <w:t>12</w:t>
      </w:r>
      <w:r>
        <w:t>每盘电缆长度</w:t>
      </w:r>
      <w:r>
        <w:rPr>
          <w:rFonts w:hint="eastAsia"/>
        </w:rPr>
        <w:t>2000</w:t>
      </w:r>
      <w:r>
        <w:t>米</w:t>
      </w:r>
      <w:r>
        <w:rPr>
          <w:rFonts w:hint="eastAsia"/>
        </w:rPr>
        <w:t>（</w:t>
      </w:r>
      <w:r>
        <w:t>具体按设计总长度和电缆根数进行配置</w:t>
      </w:r>
      <w:r>
        <w:rPr>
          <w:rFonts w:hint="eastAsia"/>
        </w:rPr>
        <w:t>，</w:t>
      </w:r>
      <w:r>
        <w:t>与买方进行沟通确认</w:t>
      </w:r>
      <w:r>
        <w:rPr>
          <w:rFonts w:hint="eastAsia"/>
        </w:rPr>
        <w:t>）</w:t>
      </w:r>
      <w:r>
        <w:t>以内任意长度交货，交货长度误差按国标执行。</w:t>
      </w:r>
    </w:p>
    <w:p>
      <w:pPr>
        <w:pStyle w:val="3"/>
        <w:spacing w:before="120"/>
        <w:rPr>
          <w:rFonts w:hint="eastAsia"/>
        </w:rPr>
      </w:pPr>
      <w:r>
        <w:rPr>
          <w:rFonts w:hint="eastAsia"/>
        </w:rPr>
        <w:t>10采购清单</w:t>
      </w:r>
    </w:p>
    <w:p>
      <w:pPr>
        <w:spacing w:line="360" w:lineRule="auto"/>
        <w:ind w:firstLine="480"/>
      </w:pPr>
      <w:r>
        <w:rPr>
          <w:rFonts w:hint="eastAsia"/>
        </w:rPr>
        <w:t>项目执行需要采购电缆清单及相关要求如下：</w:t>
      </w:r>
    </w:p>
    <w:tbl>
      <w:tblPr>
        <w:tblStyle w:val="44"/>
        <w:tblW w:w="5000" w:type="pct"/>
        <w:jc w:val="center"/>
        <w:tblLayout w:type="autofit"/>
        <w:tblCellMar>
          <w:top w:w="0" w:type="dxa"/>
          <w:left w:w="108" w:type="dxa"/>
          <w:bottom w:w="0" w:type="dxa"/>
          <w:right w:w="108" w:type="dxa"/>
        </w:tblCellMar>
      </w:tblPr>
      <w:tblGrid>
        <w:gridCol w:w="701"/>
        <w:gridCol w:w="2780"/>
        <w:gridCol w:w="3244"/>
        <w:gridCol w:w="1817"/>
        <w:gridCol w:w="701"/>
      </w:tblGrid>
      <w:tr>
        <w:tblPrEx>
          <w:tblCellMar>
            <w:top w:w="0" w:type="dxa"/>
            <w:left w:w="108" w:type="dxa"/>
            <w:bottom w:w="0" w:type="dxa"/>
            <w:right w:w="108" w:type="dxa"/>
          </w:tblCellMar>
        </w:tblPrEx>
        <w:trPr>
          <w:trHeight w:val="20"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b/>
                <w:bCs/>
                <w:sz w:val="21"/>
                <w:szCs w:val="21"/>
              </w:rPr>
            </w:pPr>
            <w:r>
              <w:rPr>
                <w:b/>
                <w:bCs/>
                <w:sz w:val="21"/>
                <w:szCs w:val="21"/>
              </w:rPr>
              <w:t>序号</w:t>
            </w:r>
          </w:p>
        </w:tc>
        <w:tc>
          <w:tcPr>
            <w:tcW w:w="1504"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b/>
                <w:bCs/>
                <w:sz w:val="21"/>
                <w:szCs w:val="21"/>
              </w:rPr>
            </w:pPr>
            <w:r>
              <w:rPr>
                <w:b/>
                <w:bCs/>
                <w:sz w:val="21"/>
                <w:szCs w:val="21"/>
              </w:rPr>
              <w:t>电缆形式规范</w:t>
            </w:r>
          </w:p>
        </w:tc>
        <w:tc>
          <w:tcPr>
            <w:tcW w:w="1755"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b/>
                <w:bCs/>
                <w:kern w:val="0"/>
                <w:sz w:val="21"/>
                <w:szCs w:val="21"/>
              </w:rPr>
            </w:pPr>
            <w:r>
              <w:rPr>
                <w:b/>
                <w:bCs/>
                <w:sz w:val="21"/>
                <w:szCs w:val="21"/>
              </w:rPr>
              <w:t>电缆形式规范</w:t>
            </w:r>
          </w:p>
        </w:tc>
        <w:tc>
          <w:tcPr>
            <w:tcW w:w="983" w:type="pct"/>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b/>
                <w:bCs/>
                <w:sz w:val="21"/>
                <w:szCs w:val="21"/>
              </w:rPr>
            </w:pPr>
            <w:r>
              <w:rPr>
                <w:b/>
                <w:bCs/>
                <w:sz w:val="21"/>
                <w:szCs w:val="21"/>
              </w:rPr>
              <w:t>电缆长度（m）</w:t>
            </w:r>
          </w:p>
        </w:tc>
        <w:tc>
          <w:tcPr>
            <w:tcW w:w="379" w:type="pct"/>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b/>
                <w:bCs/>
                <w:sz w:val="21"/>
                <w:szCs w:val="21"/>
              </w:rPr>
            </w:pPr>
            <w:r>
              <w:rPr>
                <w:b/>
                <w:bCs/>
                <w:sz w:val="21"/>
                <w:szCs w:val="21"/>
              </w:rPr>
              <w:t>备注</w:t>
            </w:r>
          </w:p>
        </w:tc>
      </w:tr>
      <w:tr>
        <w:tblPrEx>
          <w:tblCellMar>
            <w:top w:w="0" w:type="dxa"/>
            <w:left w:w="108" w:type="dxa"/>
            <w:bottom w:w="0" w:type="dxa"/>
            <w:right w:w="108" w:type="dxa"/>
          </w:tblCellMar>
        </w:tblPrEx>
        <w:trPr>
          <w:trHeight w:val="20" w:hRule="atLeast"/>
          <w:jc w:val="center"/>
        </w:trPr>
        <w:tc>
          <w:tcPr>
            <w:tcW w:w="5000" w:type="pct"/>
            <w:gridSpan w:val="5"/>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SQ</w:t>
            </w:r>
          </w:p>
        </w:tc>
      </w:tr>
      <w:tr>
        <w:tblPrEx>
          <w:tblCellMar>
            <w:top w:w="0" w:type="dxa"/>
            <w:left w:w="108" w:type="dxa"/>
            <w:bottom w:w="0" w:type="dxa"/>
            <w:right w:w="108" w:type="dxa"/>
          </w:tblCellMar>
        </w:tblPrEx>
        <w:trPr>
          <w:trHeight w:val="20"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w:t>
            </w:r>
          </w:p>
        </w:tc>
        <w:tc>
          <w:tcPr>
            <w:tcW w:w="1504"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ZR-KVV 4×2.5</w:t>
            </w:r>
          </w:p>
        </w:tc>
        <w:tc>
          <w:tcPr>
            <w:tcW w:w="983" w:type="pct"/>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6000</w:t>
            </w:r>
          </w:p>
        </w:tc>
        <w:tc>
          <w:tcPr>
            <w:tcW w:w="379" w:type="pct"/>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补偿电缆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ZR-KX-HA-FFP2 1×2×1.5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1200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ZR-DJYVP2 1x2x1.0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3000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ZR-DJYVP2 1x3x1.0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4000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总屏加分屏计算机电缆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ZR-DJYP2VP2 3x2x1.0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9500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总屏加分屏计算机电缆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ZR-DJYP2VP2 5x2x1.0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9000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总屏加分屏计算机电缆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ZR-DJYP2VP2 4x3x1.0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600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热缩管</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5000" w:type="pct"/>
            <w:gridSpan w:val="5"/>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HT</w:t>
            </w: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1×2×1.5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5910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2×2×1.5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1285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5×2×1.5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425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19×1.5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340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30×1.5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170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5580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5×1.5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8×1.5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3025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9</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补偿电缆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ZRC-KX-HA-FPFP22 1×2×1.5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3630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10</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ZRC-YJV22 2×2.5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555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ZRC-YJV22 4×2.5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3085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10×3×1.5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165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1×3×1.5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1050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14×1.5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255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ZR-YJV22-10kV 3x95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80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3x185+1x95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40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3x185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3x35+1x16</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19</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4x4</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250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20</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2x4</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150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控制电缆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ZR-KVVP</w:t>
            </w:r>
            <w:r>
              <w:rPr>
                <w:kern w:val="0"/>
                <w:sz w:val="21"/>
                <w:szCs w:val="21"/>
              </w:rPr>
              <w:t xml:space="preserve"> </w:t>
            </w:r>
            <w:r>
              <w:rPr>
                <w:rFonts w:hint="eastAsia"/>
                <w:kern w:val="0"/>
                <w:sz w:val="21"/>
                <w:szCs w:val="21"/>
              </w:rPr>
              <w:t>7x1.5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300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控制电缆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ZR-KVVP</w:t>
            </w:r>
            <w:r>
              <w:rPr>
                <w:kern w:val="0"/>
                <w:sz w:val="21"/>
                <w:szCs w:val="21"/>
              </w:rPr>
              <w:t xml:space="preserve"> </w:t>
            </w:r>
            <w:r>
              <w:rPr>
                <w:rFonts w:hint="eastAsia"/>
                <w:kern w:val="0"/>
                <w:sz w:val="21"/>
                <w:szCs w:val="21"/>
              </w:rPr>
              <w:t>4x1.5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650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总屏计算机电缆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ZR-DJYVP</w:t>
            </w:r>
            <w:r>
              <w:rPr>
                <w:kern w:val="0"/>
                <w:sz w:val="21"/>
                <w:szCs w:val="21"/>
              </w:rPr>
              <w:t xml:space="preserve"> </w:t>
            </w:r>
            <w:r>
              <w:rPr>
                <w:rFonts w:hint="eastAsia"/>
                <w:kern w:val="0"/>
                <w:sz w:val="21"/>
                <w:szCs w:val="21"/>
              </w:rPr>
              <w:t>1x2x1.0</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总屏计算机电缆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ZR-DJYVP</w:t>
            </w:r>
            <w:r>
              <w:rPr>
                <w:kern w:val="0"/>
                <w:sz w:val="21"/>
                <w:szCs w:val="21"/>
              </w:rPr>
              <w:t xml:space="preserve"> </w:t>
            </w:r>
            <w:r>
              <w:rPr>
                <w:rFonts w:hint="eastAsia"/>
                <w:kern w:val="0"/>
                <w:sz w:val="21"/>
                <w:szCs w:val="21"/>
              </w:rPr>
              <w:t>2x2x1.0</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w:t>
            </w:r>
            <w:r>
              <w:rPr>
                <w:kern w:val="0"/>
                <w:sz w:val="21"/>
                <w:szCs w:val="21"/>
              </w:rPr>
              <w:t xml:space="preserve"> </w:t>
            </w:r>
            <w:r>
              <w:rPr>
                <w:rFonts w:hint="eastAsia"/>
                <w:kern w:val="0"/>
                <w:sz w:val="21"/>
                <w:szCs w:val="21"/>
              </w:rPr>
              <w:t>10kV 3x95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800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5000" w:type="pct"/>
            <w:gridSpan w:val="5"/>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SYS</w:t>
            </w: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ZRC-YJV22-0.6/1KV-4*16</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800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ZRC-YJV22-0.6/1KV-4*2.5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1000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ZRC-KVVP 7*1.5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ZRC-KVVP 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ZRC-YJV22 4*2.5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800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ZRC-DJYPVP 2*2*1.5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600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ZRC-KVVP 14*1.5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1000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ZRC-DJYPVP 4*2*1.5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400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1883" w:type="pct"/>
            <w:gridSpan w:val="2"/>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kern w:val="0"/>
                <w:sz w:val="21"/>
                <w:szCs w:val="21"/>
                <w:highlight w:val="yellow"/>
                <w:lang w:bidi="ar"/>
              </w:rPr>
              <w:t>供货周期</w:t>
            </w:r>
          </w:p>
        </w:tc>
        <w:tc>
          <w:tcPr>
            <w:tcW w:w="3117" w:type="pct"/>
            <w:gridSpan w:val="3"/>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kern w:val="0"/>
                <w:sz w:val="21"/>
                <w:szCs w:val="21"/>
                <w:lang w:bidi="ar"/>
              </w:rPr>
              <w:t>合同签订后</w:t>
            </w:r>
            <w:r>
              <w:rPr>
                <w:rFonts w:hint="eastAsia"/>
                <w:color w:val="000000"/>
                <w:kern w:val="0"/>
                <w:sz w:val="21"/>
                <w:szCs w:val="21"/>
                <w:lang w:bidi="ar"/>
              </w:rPr>
              <w:t>30</w:t>
            </w:r>
            <w:r>
              <w:rPr>
                <w:color w:val="000000"/>
                <w:kern w:val="0"/>
                <w:sz w:val="21"/>
                <w:szCs w:val="21"/>
                <w:lang w:bidi="ar"/>
              </w:rPr>
              <w:t>日，于交货地点进行交接</w:t>
            </w:r>
          </w:p>
        </w:tc>
      </w:tr>
      <w:tr>
        <w:tblPrEx>
          <w:tblCellMar>
            <w:top w:w="0" w:type="dxa"/>
            <w:left w:w="108" w:type="dxa"/>
            <w:bottom w:w="0" w:type="dxa"/>
            <w:right w:w="108" w:type="dxa"/>
          </w:tblCellMar>
        </w:tblPrEx>
        <w:trPr>
          <w:trHeight w:val="20" w:hRule="atLeast"/>
          <w:jc w:val="center"/>
        </w:trPr>
        <w:tc>
          <w:tcPr>
            <w:tcW w:w="1883" w:type="pct"/>
            <w:gridSpan w:val="2"/>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kern w:val="0"/>
                <w:sz w:val="21"/>
                <w:szCs w:val="21"/>
                <w:highlight w:val="yellow"/>
                <w:lang w:bidi="ar"/>
              </w:rPr>
              <w:t>交货地点</w:t>
            </w:r>
          </w:p>
        </w:tc>
        <w:tc>
          <w:tcPr>
            <w:tcW w:w="3117" w:type="pct"/>
            <w:gridSpan w:val="3"/>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kern w:val="0"/>
                <w:sz w:val="21"/>
                <w:szCs w:val="21"/>
                <w:lang w:bidi="ar"/>
              </w:rPr>
              <w:t>河南省商丘市 商丘热电厂</w:t>
            </w:r>
          </w:p>
        </w:tc>
      </w:tr>
      <w:tr>
        <w:tblPrEx>
          <w:tblCellMar>
            <w:top w:w="0" w:type="dxa"/>
            <w:left w:w="108" w:type="dxa"/>
            <w:bottom w:w="0" w:type="dxa"/>
            <w:right w:w="108" w:type="dxa"/>
          </w:tblCellMar>
        </w:tblPrEx>
        <w:trPr>
          <w:trHeight w:val="20" w:hRule="atLeast"/>
          <w:jc w:val="center"/>
        </w:trPr>
        <w:tc>
          <w:tcPr>
            <w:tcW w:w="1883" w:type="pct"/>
            <w:gridSpan w:val="2"/>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kern w:val="0"/>
                <w:sz w:val="21"/>
                <w:szCs w:val="21"/>
                <w:lang w:bidi="ar"/>
              </w:rPr>
              <w:t>交货方法及费用</w:t>
            </w:r>
          </w:p>
        </w:tc>
        <w:tc>
          <w:tcPr>
            <w:tcW w:w="3117" w:type="pct"/>
            <w:gridSpan w:val="3"/>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kern w:val="0"/>
                <w:sz w:val="21"/>
                <w:szCs w:val="21"/>
                <w:lang w:bidi="ar"/>
              </w:rPr>
              <w:t>由供方自定，费用已包含在合同总价中</w:t>
            </w:r>
          </w:p>
        </w:tc>
      </w:tr>
    </w:tbl>
    <w:p>
      <w:pPr>
        <w:widowControl/>
        <w:spacing w:before="240" w:beforeLines="100" w:line="360" w:lineRule="auto"/>
        <w:ind w:firstLine="0" w:firstLineChars="0"/>
        <w:jc w:val="left"/>
        <w:textAlignment w:val="center"/>
        <w:rPr>
          <w:rFonts w:hint="eastAsia" w:hAnsi="Calibri"/>
          <w:b/>
          <w:bCs/>
          <w:color w:val="000000"/>
          <w:sz w:val="21"/>
          <w:szCs w:val="21"/>
        </w:rPr>
      </w:pPr>
    </w:p>
    <w:p>
      <w:pPr>
        <w:tabs>
          <w:tab w:val="left" w:pos="480"/>
          <w:tab w:val="left" w:pos="737"/>
        </w:tabs>
        <w:autoSpaceDE w:val="0"/>
        <w:autoSpaceDN w:val="0"/>
        <w:snapToGrid/>
        <w:spacing w:line="360" w:lineRule="auto"/>
        <w:ind w:firstLine="0" w:firstLineChars="0"/>
        <w:jc w:val="left"/>
        <w:textAlignment w:val="baseline"/>
        <w:rPr>
          <w:rFonts w:ascii="宋体" w:hAnsi="宋体"/>
          <w:kern w:val="0"/>
        </w:rPr>
      </w:pPr>
    </w:p>
    <w:p>
      <w:pPr>
        <w:tabs>
          <w:tab w:val="left" w:pos="480"/>
          <w:tab w:val="left" w:pos="737"/>
        </w:tabs>
        <w:autoSpaceDE w:val="0"/>
        <w:autoSpaceDN w:val="0"/>
        <w:snapToGrid/>
        <w:spacing w:line="360" w:lineRule="auto"/>
        <w:ind w:firstLine="0" w:firstLineChars="0"/>
        <w:jc w:val="left"/>
        <w:textAlignment w:val="baseline"/>
        <w:rPr>
          <w:rFonts w:ascii="宋体" w:hAnsi="宋体"/>
          <w:kern w:val="0"/>
        </w:rPr>
      </w:pPr>
      <w:r>
        <w:rPr>
          <w:rFonts w:ascii="宋体" w:hAnsi="宋体"/>
          <w:kern w:val="0"/>
        </w:rPr>
        <w:br w:type="page"/>
      </w:r>
    </w:p>
    <w:p>
      <w:pPr>
        <w:tabs>
          <w:tab w:val="left" w:pos="480"/>
          <w:tab w:val="left" w:pos="737"/>
        </w:tabs>
        <w:autoSpaceDE w:val="0"/>
        <w:autoSpaceDN w:val="0"/>
        <w:snapToGrid/>
        <w:spacing w:line="360" w:lineRule="auto"/>
        <w:ind w:firstLine="0" w:firstLineChars="0"/>
        <w:jc w:val="left"/>
        <w:textAlignment w:val="baseline"/>
        <w:rPr>
          <w:rFonts w:ascii="宋体" w:hAnsi="宋体"/>
          <w:kern w:val="0"/>
        </w:rPr>
      </w:pPr>
    </w:p>
    <w:p>
      <w:pPr>
        <w:tabs>
          <w:tab w:val="left" w:pos="480"/>
          <w:tab w:val="left" w:pos="737"/>
        </w:tabs>
        <w:autoSpaceDE w:val="0"/>
        <w:autoSpaceDN w:val="0"/>
        <w:snapToGrid/>
        <w:spacing w:line="360" w:lineRule="auto"/>
        <w:ind w:firstLine="0" w:firstLineChars="0"/>
        <w:jc w:val="left"/>
        <w:textAlignment w:val="baseline"/>
        <w:rPr>
          <w:rFonts w:ascii="宋体" w:hAnsi="宋体"/>
          <w:kern w:val="0"/>
        </w:rPr>
      </w:pPr>
    </w:p>
    <w:p>
      <w:pPr>
        <w:tabs>
          <w:tab w:val="left" w:pos="480"/>
          <w:tab w:val="left" w:pos="737"/>
        </w:tabs>
        <w:autoSpaceDE w:val="0"/>
        <w:autoSpaceDN w:val="0"/>
        <w:snapToGrid/>
        <w:spacing w:line="360" w:lineRule="auto"/>
        <w:ind w:firstLine="0" w:firstLineChars="0"/>
        <w:jc w:val="left"/>
        <w:textAlignment w:val="baseline"/>
        <w:rPr>
          <w:rFonts w:ascii="宋体" w:hAnsi="宋体"/>
          <w:kern w:val="0"/>
        </w:rPr>
      </w:pPr>
    </w:p>
    <w:p>
      <w:pPr>
        <w:tabs>
          <w:tab w:val="left" w:pos="480"/>
          <w:tab w:val="left" w:pos="737"/>
        </w:tabs>
        <w:autoSpaceDE w:val="0"/>
        <w:autoSpaceDN w:val="0"/>
        <w:snapToGrid/>
        <w:spacing w:line="360" w:lineRule="auto"/>
        <w:ind w:firstLine="0" w:firstLineChars="0"/>
        <w:jc w:val="left"/>
        <w:textAlignment w:val="baseline"/>
        <w:rPr>
          <w:rFonts w:ascii="宋体" w:hAnsi="宋体"/>
          <w:kern w:val="0"/>
        </w:rPr>
      </w:pPr>
    </w:p>
    <w:p>
      <w:pPr>
        <w:tabs>
          <w:tab w:val="left" w:pos="480"/>
          <w:tab w:val="left" w:pos="737"/>
        </w:tabs>
        <w:autoSpaceDE w:val="0"/>
        <w:autoSpaceDN w:val="0"/>
        <w:snapToGrid/>
        <w:spacing w:line="360" w:lineRule="auto"/>
        <w:ind w:firstLine="0" w:firstLineChars="0"/>
        <w:jc w:val="left"/>
        <w:textAlignment w:val="baseline"/>
        <w:rPr>
          <w:rFonts w:hint="eastAsia" w:ascii="宋体" w:hAnsi="宋体"/>
          <w:kern w:val="0"/>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ascii="宋体" w:hAnsi="宋体"/>
          <w:szCs w:val="24"/>
        </w:rPr>
      </w:pPr>
      <w:bookmarkStart w:id="105" w:name="_Toc1032390"/>
      <w:r>
        <w:rPr>
          <w:b/>
          <w:bCs/>
        </w:rPr>
        <w:t>响应文件格式</w:t>
      </w:r>
      <w:bookmarkEnd w:id="105"/>
      <w:r>
        <w:rPr>
          <w:rFonts w:ascii="宋体" w:hAnsi="宋体"/>
          <w:szCs w:val="24"/>
        </w:rPr>
        <w:br w:type="page"/>
      </w:r>
      <w:bookmarkStart w:id="106" w:name="_Toc453162709"/>
      <w:bookmarkStart w:id="107" w:name="_Toc453162622"/>
      <w:bookmarkStart w:id="108" w:name="_Toc453079648"/>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ascii="宋体" w:hAnsi="宋体"/>
          <w:szCs w:val="24"/>
        </w:rPr>
      </w:pP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sz w:val="56"/>
          <w:szCs w:val="22"/>
          <w:highlight w:val="none"/>
        </w:rPr>
      </w:pPr>
      <w:r>
        <w:rPr>
          <w:rFonts w:hint="eastAsia" w:ascii="黑体" w:hAnsi="黑体" w:eastAsia="黑体"/>
          <w:sz w:val="56"/>
          <w:szCs w:val="22"/>
          <w:highlight w:val="none"/>
        </w:rPr>
        <w:t>西安热工院生产项目-</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hint="eastAsia" w:ascii="黑体" w:hAnsi="黑体" w:eastAsia="黑体"/>
          <w:sz w:val="56"/>
          <w:szCs w:val="22"/>
          <w:highlight w:val="yellow"/>
          <w:lang w:val="en-US" w:eastAsia="zh-CN"/>
        </w:rPr>
      </w:pPr>
      <w:r>
        <w:rPr>
          <w:rFonts w:hint="eastAsia" w:ascii="黑体" w:hAnsi="黑体" w:eastAsia="黑体"/>
          <w:sz w:val="56"/>
          <w:szCs w:val="22"/>
          <w:highlight w:val="none"/>
        </w:rPr>
        <w:t>热网首站电缆采购</w:t>
      </w:r>
      <w:r>
        <w:rPr>
          <w:rFonts w:hint="eastAsia" w:ascii="黑体" w:hAnsi="黑体" w:eastAsia="黑体"/>
          <w:sz w:val="56"/>
          <w:szCs w:val="22"/>
          <w:highlight w:val="none"/>
          <w:lang w:val="en-US" w:eastAsia="zh-CN"/>
        </w:rPr>
        <w:t>（202100335）</w:t>
      </w:r>
    </w:p>
    <w:p>
      <w:pPr>
        <w:keepNext w:val="0"/>
        <w:keepLines w:val="0"/>
        <w:pageBreakBefore w:val="0"/>
        <w:widowControl w:val="0"/>
        <w:kinsoku/>
        <w:wordWrap/>
        <w:overflowPunct/>
        <w:topLinePunct w:val="0"/>
        <w:autoSpaceDE/>
        <w:autoSpaceDN/>
        <w:bidi w:val="0"/>
        <w:adjustRightInd w:val="0"/>
        <w:snapToGrid w:val="0"/>
        <w:spacing w:line="480" w:lineRule="auto"/>
        <w:ind w:firstLine="0" w:firstLineChars="0"/>
        <w:jc w:val="center"/>
        <w:textAlignment w:val="auto"/>
        <w:rPr>
          <w:rFonts w:ascii="宋体" w:hAnsi="宋体" w:cs="Arial"/>
          <w:sz w:val="72"/>
        </w:rPr>
      </w:pPr>
      <w:r>
        <w:rPr>
          <w:rFonts w:hint="eastAsia" w:ascii="黑体" w:hAnsi="黑体" w:eastAsia="黑体"/>
          <w:sz w:val="56"/>
          <w:szCs w:val="22"/>
          <w:highlight w:val="none"/>
        </w:rPr>
        <w:t>询价采购文件</w:t>
      </w:r>
    </w:p>
    <w:p>
      <w:pPr>
        <w:pStyle w:val="19"/>
        <w:ind w:firstLine="0" w:firstLineChars="0"/>
        <w:jc w:val="center"/>
        <w:rPr>
          <w:rFonts w:ascii="黑体" w:hAnsi="黑体" w:eastAsia="黑体" w:cs="Arial"/>
          <w:sz w:val="84"/>
          <w:szCs w:val="84"/>
        </w:rPr>
      </w:pPr>
      <w:r>
        <w:rPr>
          <w:rFonts w:hint="eastAsia" w:ascii="黑体" w:hAnsi="黑体" w:eastAsia="黑体" w:cs="Arial"/>
          <w:sz w:val="84"/>
          <w:szCs w:val="84"/>
        </w:rPr>
        <w:t xml:space="preserve">响 应 </w:t>
      </w:r>
      <w:r>
        <w:rPr>
          <w:rFonts w:ascii="黑体" w:hAnsi="黑体" w:eastAsia="黑体" w:cs="Arial"/>
          <w:sz w:val="84"/>
          <w:szCs w:val="84"/>
        </w:rPr>
        <w:t>文</w:t>
      </w:r>
      <w:r>
        <w:rPr>
          <w:rFonts w:hint="eastAsia" w:ascii="黑体" w:hAnsi="黑体" w:eastAsia="黑体" w:cs="Arial"/>
          <w:sz w:val="84"/>
          <w:szCs w:val="84"/>
        </w:rPr>
        <w:t xml:space="preserve"> </w:t>
      </w:r>
      <w:r>
        <w:rPr>
          <w:rFonts w:ascii="黑体" w:hAnsi="黑体" w:eastAsia="黑体" w:cs="Arial"/>
          <w:sz w:val="84"/>
          <w:szCs w:val="84"/>
        </w:rPr>
        <w:t>件</w:t>
      </w:r>
    </w:p>
    <w:p>
      <w:pPr>
        <w:pStyle w:val="19"/>
        <w:ind w:firstLine="0" w:firstLineChars="0"/>
        <w:jc w:val="center"/>
        <w:rPr>
          <w:rFonts w:ascii="黑体" w:hAnsi="黑体" w:eastAsia="黑体" w:cs="Arial"/>
          <w:sz w:val="32"/>
          <w:szCs w:val="32"/>
          <w:u w:val="single"/>
        </w:rPr>
      </w:pPr>
      <w:r>
        <w:rPr>
          <w:rFonts w:hint="eastAsia" w:ascii="黑体" w:hAnsi="黑体" w:eastAsia="黑体" w:cs="Arial"/>
          <w:sz w:val="32"/>
          <w:szCs w:val="32"/>
        </w:rPr>
        <w:t>采购</w:t>
      </w:r>
      <w:r>
        <w:rPr>
          <w:rFonts w:ascii="黑体" w:hAnsi="黑体" w:eastAsia="黑体" w:cs="Arial"/>
          <w:sz w:val="32"/>
          <w:szCs w:val="32"/>
        </w:rPr>
        <w:t>编号：</w:t>
      </w:r>
      <w:r>
        <w:rPr>
          <w:rFonts w:hint="eastAsia" w:ascii="黑体" w:hAnsi="黑体" w:eastAsia="黑体" w:cs="Arial"/>
          <w:sz w:val="32"/>
          <w:szCs w:val="32"/>
          <w:u w:val="single"/>
        </w:rPr>
        <w:t xml:space="preserve">         </w:t>
      </w:r>
    </w:p>
    <w:p>
      <w:pPr>
        <w:pStyle w:val="19"/>
        <w:ind w:left="119" w:firstLine="0" w:firstLineChars="0"/>
        <w:jc w:val="center"/>
        <w:rPr>
          <w:rFonts w:ascii="宋体" w:hAnsi="宋体" w:cs="Arial"/>
        </w:rPr>
      </w:pPr>
    </w:p>
    <w:p>
      <w:pPr>
        <w:pStyle w:val="19"/>
        <w:ind w:left="0" w:leftChars="0" w:firstLine="0" w:firstLineChars="0"/>
        <w:jc w:val="both"/>
        <w:rPr>
          <w:rFonts w:ascii="宋体" w:hAnsi="宋体" w:cs="Arial"/>
        </w:rPr>
      </w:pPr>
    </w:p>
    <w:p>
      <w:pPr>
        <w:pStyle w:val="19"/>
        <w:ind w:left="119" w:firstLine="0" w:firstLineChars="0"/>
        <w:jc w:val="center"/>
        <w:rPr>
          <w:rFonts w:ascii="宋体" w:hAnsi="宋体" w:cs="Arial"/>
        </w:rPr>
      </w:pPr>
    </w:p>
    <w:p>
      <w:pPr>
        <w:pStyle w:val="19"/>
        <w:ind w:left="119" w:firstLine="0" w:firstLineChars="0"/>
        <w:jc w:val="center"/>
        <w:rPr>
          <w:rFonts w:ascii="宋体" w:hAnsi="宋体" w:cs="Arial"/>
        </w:rPr>
      </w:pPr>
    </w:p>
    <w:p>
      <w:pPr>
        <w:pStyle w:val="19"/>
        <w:ind w:left="119" w:firstLine="0" w:firstLineChars="0"/>
        <w:jc w:val="center"/>
        <w:rPr>
          <w:rFonts w:ascii="宋体" w:hAnsi="宋体" w:cs="Arial"/>
          <w:sz w:val="28"/>
          <w:szCs w:val="28"/>
        </w:rPr>
      </w:pPr>
      <w:r>
        <w:rPr>
          <w:rFonts w:ascii="宋体" w:hAnsi="宋体" w:cs="Arial"/>
          <w:sz w:val="28"/>
          <w:szCs w:val="28"/>
        </w:rPr>
        <w:t>供应商：</w:t>
      </w:r>
      <w:r>
        <w:rPr>
          <w:rFonts w:ascii="宋体" w:hAnsi="宋体" w:cs="Arial"/>
          <w:sz w:val="28"/>
          <w:szCs w:val="28"/>
          <w:u w:val="single"/>
        </w:rPr>
        <w:tab/>
      </w:r>
      <w:r>
        <w:rPr>
          <w:rFonts w:ascii="宋体" w:hAnsi="宋体" w:cs="Arial"/>
          <w:sz w:val="28"/>
          <w:szCs w:val="28"/>
          <w:u w:val="single"/>
        </w:rPr>
        <w:t xml:space="preserve"> </w:t>
      </w:r>
      <w:r>
        <w:rPr>
          <w:rFonts w:hint="eastAsia" w:ascii="宋体" w:hAnsi="宋体" w:cs="Arial"/>
          <w:sz w:val="28"/>
          <w:szCs w:val="28"/>
          <w:u w:val="single"/>
        </w:rPr>
        <w:t xml:space="preserve">       （盖章）</w:t>
      </w:r>
    </w:p>
    <w:p>
      <w:pPr>
        <w:pStyle w:val="19"/>
        <w:ind w:firstLine="0" w:firstLineChars="0"/>
        <w:jc w:val="center"/>
        <w:rPr>
          <w:rFonts w:ascii="宋体" w:hAnsi="宋体" w:cs="Arial"/>
          <w:sz w:val="28"/>
          <w:szCs w:val="28"/>
        </w:rPr>
      </w:pPr>
      <w:r>
        <w:rPr>
          <w:rFonts w:ascii="宋体" w:hAnsi="宋体" w:cs="Arial"/>
          <w:sz w:val="28"/>
          <w:szCs w:val="28"/>
        </w:rPr>
        <w:t xml:space="preserve">日 </w:t>
      </w:r>
      <w:r>
        <w:rPr>
          <w:rFonts w:hint="eastAsia" w:ascii="宋体" w:hAnsi="宋体" w:cs="Arial"/>
          <w:sz w:val="28"/>
          <w:szCs w:val="28"/>
        </w:rPr>
        <w:t xml:space="preserve"> </w:t>
      </w:r>
      <w:r>
        <w:rPr>
          <w:rFonts w:ascii="宋体" w:hAnsi="宋体" w:cs="Arial"/>
          <w:sz w:val="28"/>
          <w:szCs w:val="28"/>
        </w:rPr>
        <w:t>期：</w:t>
      </w:r>
      <w:r>
        <w:rPr>
          <w:rFonts w:hint="eastAsia" w:ascii="宋体" w:hAnsi="宋体" w:cs="Arial"/>
          <w:sz w:val="28"/>
          <w:szCs w:val="28"/>
          <w:u w:val="single"/>
        </w:rPr>
        <w:t xml:space="preserve">  </w:t>
      </w:r>
      <w:r>
        <w:rPr>
          <w:rFonts w:ascii="宋体" w:hAnsi="宋体" w:cs="Arial"/>
          <w:sz w:val="28"/>
          <w:szCs w:val="28"/>
          <w:u w:val="single"/>
        </w:rPr>
        <w:t xml:space="preserve">  </w:t>
      </w:r>
      <w:r>
        <w:rPr>
          <w:rFonts w:ascii="宋体" w:hAnsi="宋体" w:cs="Arial"/>
          <w:sz w:val="28"/>
          <w:szCs w:val="28"/>
        </w:rPr>
        <w:t>年</w:t>
      </w:r>
      <w:r>
        <w:rPr>
          <w:rFonts w:ascii="宋体" w:hAnsi="宋体" w:cs="Arial"/>
          <w:sz w:val="28"/>
          <w:szCs w:val="28"/>
          <w:u w:val="single"/>
        </w:rPr>
        <w:t xml:space="preserve"> </w:t>
      </w:r>
      <w:r>
        <w:rPr>
          <w:rFonts w:hint="eastAsia" w:ascii="宋体" w:hAnsi="宋体" w:cs="Arial"/>
          <w:sz w:val="28"/>
          <w:szCs w:val="28"/>
          <w:u w:val="single"/>
        </w:rPr>
        <w:t xml:space="preserve">  </w:t>
      </w:r>
      <w:r>
        <w:rPr>
          <w:rFonts w:ascii="宋体" w:hAnsi="宋体" w:cs="Arial"/>
          <w:sz w:val="28"/>
          <w:szCs w:val="28"/>
        </w:rPr>
        <w:t>月</w:t>
      </w:r>
      <w:r>
        <w:rPr>
          <w:rFonts w:hint="eastAsia" w:ascii="宋体" w:hAnsi="宋体" w:cs="Arial"/>
          <w:sz w:val="28"/>
          <w:szCs w:val="28"/>
          <w:u w:val="single"/>
        </w:rPr>
        <w:t xml:space="preserve">   </w:t>
      </w:r>
      <w:r>
        <w:rPr>
          <w:rFonts w:ascii="宋体" w:hAnsi="宋体" w:cs="Arial"/>
          <w:sz w:val="28"/>
          <w:szCs w:val="28"/>
        </w:rPr>
        <w:t>日</w:t>
      </w:r>
    </w:p>
    <w:bookmarkEnd w:id="106"/>
    <w:bookmarkEnd w:id="107"/>
    <w:bookmarkEnd w:id="108"/>
    <w:p>
      <w:pPr>
        <w:ind w:firstLine="480"/>
        <w:jc w:val="center"/>
        <w:rPr>
          <w:rFonts w:ascii="黑体" w:hAnsi="黑体" w:eastAsia="黑体"/>
        </w:rPr>
      </w:pPr>
      <w:r>
        <w:rPr>
          <w:rFonts w:hint="eastAsia" w:ascii="黑体" w:hAnsi="黑体" w:eastAsia="黑体"/>
          <w:sz w:val="36"/>
        </w:rPr>
        <w:t>目  录</w:t>
      </w:r>
    </w:p>
    <w:p>
      <w:pPr>
        <w:spacing w:line="540" w:lineRule="exact"/>
        <w:ind w:firstLine="480"/>
        <w:rPr>
          <w:color w:val="000000"/>
        </w:rPr>
      </w:pPr>
    </w:p>
    <w:p>
      <w:pPr>
        <w:ind w:firstLine="480"/>
      </w:pPr>
      <w:r>
        <w:rPr>
          <w:rFonts w:hint="eastAsia"/>
        </w:rPr>
        <w:t>一、</w:t>
      </w:r>
      <w:r>
        <w:t>授权委托</w:t>
      </w:r>
      <w:r>
        <w:rPr>
          <w:color w:val="000000"/>
        </w:rPr>
        <w:t>书</w:t>
      </w:r>
    </w:p>
    <w:p>
      <w:pPr>
        <w:ind w:firstLine="480"/>
      </w:pPr>
      <w:r>
        <w:rPr>
          <w:rFonts w:hint="eastAsia"/>
        </w:rPr>
        <w:t>二、报价部分</w:t>
      </w:r>
    </w:p>
    <w:p>
      <w:pPr>
        <w:ind w:firstLine="480"/>
      </w:pPr>
      <w:r>
        <w:rPr>
          <w:rFonts w:hint="eastAsia"/>
        </w:rPr>
        <w:t>三、商务部分</w:t>
      </w:r>
    </w:p>
    <w:p>
      <w:pPr>
        <w:ind w:firstLine="480"/>
      </w:pPr>
      <w:r>
        <w:rPr>
          <w:rFonts w:hint="eastAsia"/>
        </w:rPr>
        <w:t>四、技术部分</w:t>
      </w:r>
    </w:p>
    <w:p>
      <w:pPr>
        <w:pStyle w:val="3"/>
        <w:spacing w:before="120"/>
        <w:rPr>
          <w:rFonts w:eastAsia="黑体"/>
          <w:color w:val="000000"/>
        </w:rPr>
      </w:pPr>
      <w:r>
        <w:br w:type="page"/>
      </w:r>
      <w:bookmarkStart w:id="109" w:name="_Toc369531695"/>
      <w:bookmarkEnd w:id="109"/>
      <w:bookmarkStart w:id="110" w:name="_Toc352691659"/>
      <w:bookmarkEnd w:id="110"/>
      <w:bookmarkStart w:id="111" w:name="_Toc16824"/>
      <w:bookmarkEnd w:id="111"/>
      <w:bookmarkStart w:id="112" w:name="_Toc352691660"/>
      <w:bookmarkEnd w:id="112"/>
      <w:bookmarkStart w:id="113" w:name="_Toc369531696"/>
      <w:bookmarkEnd w:id="113"/>
      <w:bookmarkStart w:id="114" w:name="_Toc16568"/>
      <w:bookmarkEnd w:id="114"/>
      <w:bookmarkStart w:id="115" w:name="_Toc1032391"/>
      <w:bookmarkStart w:id="116" w:name="_Toc527560962"/>
      <w:r>
        <w:rPr>
          <w:rFonts w:hint="eastAsia"/>
        </w:rPr>
        <w:t>一</w:t>
      </w:r>
      <w:r>
        <w:t>、授权委托书</w:t>
      </w:r>
      <w:bookmarkEnd w:id="115"/>
      <w:bookmarkEnd w:id="116"/>
    </w:p>
    <w:p>
      <w:pPr>
        <w:ind w:firstLine="480"/>
      </w:pPr>
      <w:r>
        <w:rPr>
          <w:rFonts w:hint="eastAsia"/>
        </w:rPr>
        <w:t>本人</w:t>
      </w:r>
      <w:r>
        <w:rPr>
          <w:u w:val="single"/>
        </w:rPr>
        <w:t>（姓名）</w:t>
      </w:r>
      <w:r>
        <w:t>系</w:t>
      </w:r>
      <w:r>
        <w:rPr>
          <w:rFonts w:hint="eastAsia"/>
          <w:u w:val="single"/>
        </w:rPr>
        <w:t>（供应商名称）</w:t>
      </w:r>
      <w:r>
        <w:t>的</w:t>
      </w:r>
      <w:r>
        <w:rPr>
          <w:rFonts w:hint="eastAsia"/>
        </w:rPr>
        <w:t>法定代表人</w:t>
      </w:r>
      <w:r>
        <w:rPr>
          <w:rFonts w:hint="eastAsia"/>
          <w:u w:val="single"/>
        </w:rPr>
        <w:t>（单位负责人）</w:t>
      </w:r>
      <w:r>
        <w:rPr>
          <w:rFonts w:hint="eastAsia"/>
        </w:rPr>
        <w:t>，</w:t>
      </w:r>
      <w:r>
        <w:t>现委托</w:t>
      </w:r>
      <w:r>
        <w:rPr>
          <w:u w:val="single"/>
        </w:rPr>
        <w:t>（姓名）</w:t>
      </w:r>
      <w:r>
        <w:t>为我方代理人。代理人</w:t>
      </w:r>
      <w:r>
        <w:rPr>
          <w:rFonts w:hint="eastAsia"/>
        </w:rPr>
        <w:t>根据授权，</w:t>
      </w:r>
      <w:r>
        <w:t>以我方名义签署、澄清</w:t>
      </w:r>
      <w:r>
        <w:rPr>
          <w:rFonts w:hint="eastAsia"/>
        </w:rPr>
        <w:t>确认</w:t>
      </w:r>
      <w:r>
        <w:t>、递交、撤回、修改</w:t>
      </w:r>
      <w:r>
        <w:rPr>
          <w:rFonts w:hint="eastAsia"/>
        </w:rPr>
        <w:t xml:space="preserve"> </w:t>
      </w:r>
      <w:r>
        <w:rPr>
          <w:rFonts w:hint="eastAsia"/>
          <w:u w:val="single"/>
        </w:rPr>
        <w:t xml:space="preserve">       </w:t>
      </w:r>
      <w:r>
        <w:rPr>
          <w:rFonts w:hint="eastAsia"/>
        </w:rPr>
        <w:t>采购项目</w:t>
      </w:r>
      <w:r>
        <w:t>响应文件、签订合同和处理有关事宜，其法律后果由我方承担。</w:t>
      </w:r>
    </w:p>
    <w:p>
      <w:pPr>
        <w:ind w:firstLine="480"/>
      </w:pPr>
      <w:r>
        <w:t>委托期限：</w:t>
      </w:r>
      <w:r>
        <w:rPr>
          <w:rFonts w:hint="eastAsia"/>
          <w:u w:val="single"/>
        </w:rPr>
        <w:t xml:space="preserve"> </w:t>
      </w:r>
      <w:r>
        <w:rPr>
          <w:u w:val="single"/>
        </w:rPr>
        <w:t xml:space="preserve">                  </w:t>
      </w:r>
      <w:r>
        <w:rPr>
          <w:rFonts w:hint="eastAsia"/>
        </w:rPr>
        <w:t>。</w:t>
      </w:r>
    </w:p>
    <w:p>
      <w:pPr>
        <w:ind w:firstLine="480"/>
      </w:pPr>
      <w:r>
        <w:t>代理人无转委托权。</w:t>
      </w:r>
    </w:p>
    <w:p>
      <w:pPr>
        <w:ind w:firstLine="480"/>
      </w:pPr>
      <w:r>
        <w:rPr>
          <w:rFonts w:hint="eastAsia"/>
        </w:rPr>
        <w:t>附：法定代表人（单位负责人）身份证复印件及委托代理人身份证复印件</w:t>
      </w:r>
    </w:p>
    <w:p>
      <w:pPr>
        <w:ind w:firstLine="480"/>
      </w:pPr>
    </w:p>
    <w:p>
      <w:pPr>
        <w:ind w:firstLine="480"/>
      </w:pPr>
      <w:r>
        <w:rPr>
          <w:rFonts w:hint="eastAsia"/>
        </w:rPr>
        <w:t>注：本授权委托书需由供应商加盖单位公章并由其法定代表人（单位负责人）签字。</w:t>
      </w:r>
    </w:p>
    <w:p>
      <w:pPr>
        <w:ind w:firstLine="480"/>
        <w:rPr>
          <w:color w:val="000000"/>
        </w:rPr>
      </w:pPr>
    </w:p>
    <w:p>
      <w:pPr>
        <w:ind w:firstLine="3076" w:firstLineChars="1282"/>
        <w:rPr>
          <w:color w:val="000000"/>
          <w:u w:val="single"/>
        </w:rPr>
      </w:pPr>
      <w:r>
        <w:rPr>
          <w:color w:val="000000"/>
        </w:rPr>
        <w:t>供应商：</w:t>
      </w:r>
      <w:r>
        <w:rPr>
          <w:color w:val="000000"/>
          <w:u w:val="single"/>
        </w:rPr>
        <w:t>（单位公章）</w:t>
      </w:r>
      <w:r>
        <w:rPr>
          <w:rFonts w:hint="eastAsia"/>
          <w:color w:val="000000"/>
          <w:u w:val="single"/>
        </w:rPr>
        <w:t xml:space="preserve"> </w:t>
      </w:r>
      <w:r>
        <w:rPr>
          <w:color w:val="000000"/>
          <w:u w:val="single"/>
        </w:rPr>
        <w:t xml:space="preserve">                          </w:t>
      </w:r>
    </w:p>
    <w:p>
      <w:pPr>
        <w:ind w:firstLine="3076" w:firstLineChars="1282"/>
        <w:rPr>
          <w:color w:val="000000"/>
        </w:rPr>
      </w:pPr>
    </w:p>
    <w:p>
      <w:pPr>
        <w:ind w:firstLine="3074" w:firstLineChars="1281"/>
        <w:rPr>
          <w:color w:val="000000"/>
        </w:rPr>
      </w:pPr>
      <w:r>
        <w:rPr>
          <w:rFonts w:hint="eastAsia"/>
          <w:color w:val="000000"/>
        </w:rPr>
        <w:t>法定代表人（单位负责人）</w:t>
      </w:r>
      <w:r>
        <w:rPr>
          <w:color w:val="000000"/>
        </w:rPr>
        <w:t>：</w:t>
      </w:r>
      <w:r>
        <w:rPr>
          <w:color w:val="000000"/>
          <w:u w:val="single"/>
        </w:rPr>
        <w:t xml:space="preserve">（签字）              </w:t>
      </w:r>
    </w:p>
    <w:p>
      <w:pPr>
        <w:ind w:firstLine="3076" w:firstLineChars="1282"/>
        <w:rPr>
          <w:color w:val="000000"/>
        </w:rPr>
      </w:pPr>
    </w:p>
    <w:p>
      <w:pPr>
        <w:ind w:firstLine="3076" w:firstLineChars="1282"/>
        <w:rPr>
          <w:color w:val="000000"/>
          <w:u w:val="single"/>
        </w:rPr>
      </w:pPr>
      <w:r>
        <w:rPr>
          <w:color w:val="000000"/>
        </w:rPr>
        <w:t>委托代理人：</w:t>
      </w:r>
      <w:r>
        <w:rPr>
          <w:color w:val="000000"/>
          <w:u w:val="single"/>
        </w:rPr>
        <w:t xml:space="preserve">（签字）                           </w:t>
      </w:r>
    </w:p>
    <w:p>
      <w:pPr>
        <w:ind w:firstLine="3076" w:firstLineChars="1282"/>
        <w:rPr>
          <w:color w:val="000000"/>
        </w:rPr>
      </w:pPr>
    </w:p>
    <w:p>
      <w:pPr>
        <w:ind w:firstLine="3076" w:firstLineChars="1282"/>
        <w:rPr>
          <w:rFonts w:hint="eastAsia"/>
          <w:color w:val="000000"/>
          <w:u w:val="single"/>
        </w:rPr>
      </w:pPr>
      <w:r>
        <w:rPr>
          <w:color w:val="000000"/>
        </w:rPr>
        <w:t>委托代理人</w:t>
      </w:r>
      <w:r>
        <w:rPr>
          <w:rFonts w:hint="eastAsia"/>
          <w:color w:val="000000"/>
        </w:rPr>
        <w:t>联系方式</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p>
    <w:p>
      <w:pPr>
        <w:ind w:firstLine="3076" w:firstLineChars="1282"/>
        <w:rPr>
          <w:color w:val="000000"/>
        </w:rPr>
      </w:pPr>
    </w:p>
    <w:p>
      <w:pPr>
        <w:ind w:firstLine="4876" w:firstLineChars="2032"/>
        <w:rPr>
          <w:color w:val="000000"/>
        </w:rPr>
      </w:pPr>
      <w:r>
        <w:rPr>
          <w:color w:val="000000"/>
          <w:u w:val="single"/>
        </w:rPr>
        <w:t xml:space="preserve">       </w:t>
      </w:r>
      <w:r>
        <w:rPr>
          <w:color w:val="000000"/>
        </w:rPr>
        <w:t>年</w:t>
      </w:r>
      <w:r>
        <w:rPr>
          <w:color w:val="000000"/>
          <w:u w:val="single"/>
        </w:rPr>
        <w:t xml:space="preserve">       </w:t>
      </w:r>
      <w:r>
        <w:rPr>
          <w:color w:val="000000"/>
        </w:rPr>
        <w:t>月</w:t>
      </w:r>
      <w:r>
        <w:rPr>
          <w:color w:val="000000"/>
          <w:u w:val="single"/>
        </w:rPr>
        <w:t xml:space="preserve">       </w:t>
      </w:r>
      <w:r>
        <w:rPr>
          <w:color w:val="000000"/>
        </w:rPr>
        <w:t>日</w:t>
      </w:r>
    </w:p>
    <w:p>
      <w:pPr>
        <w:spacing w:line="400" w:lineRule="exact"/>
        <w:ind w:firstLine="480"/>
        <w:rPr>
          <w:color w:val="000000"/>
        </w:rPr>
      </w:pPr>
    </w:p>
    <w:p>
      <w:pPr>
        <w:spacing w:line="400" w:lineRule="exact"/>
        <w:ind w:firstLine="480"/>
      </w:pPr>
      <w:r>
        <w:rPr>
          <w:rFonts w:hint="eastAsia"/>
        </w:rPr>
        <w:t>注：如供应商法定代表人参加采购行为，只需附其身份证复印件。</w:t>
      </w:r>
    </w:p>
    <w:p>
      <w:pPr>
        <w:pStyle w:val="3"/>
        <w:spacing w:before="120"/>
      </w:pPr>
      <w:bookmarkStart w:id="117" w:name="_Toc510370158"/>
      <w:bookmarkStart w:id="118" w:name="_Toc527560963"/>
      <w:r>
        <w:br w:type="page"/>
      </w:r>
      <w:bookmarkStart w:id="119" w:name="_Toc1032392"/>
      <w:r>
        <w:rPr>
          <w:rFonts w:hint="eastAsia"/>
        </w:rPr>
        <w:t>二、报价部分</w:t>
      </w:r>
      <w:bookmarkEnd w:id="117"/>
      <w:bookmarkEnd w:id="118"/>
      <w:bookmarkEnd w:id="119"/>
    </w:p>
    <w:p>
      <w:pPr>
        <w:ind w:firstLine="480"/>
      </w:pPr>
      <w:r>
        <w:rPr>
          <w:rFonts w:hint="eastAsia"/>
        </w:rPr>
        <w:t>1.报价说明</w:t>
      </w:r>
    </w:p>
    <w:p>
      <w:pPr>
        <w:ind w:firstLine="480"/>
      </w:pPr>
      <w:r>
        <w:rPr>
          <w:rFonts w:hint="eastAsia"/>
        </w:rPr>
        <w:t>1.1 本说明应与供应商须知、合同条款等文件一起参照阅读。</w:t>
      </w:r>
    </w:p>
    <w:p>
      <w:pPr>
        <w:ind w:firstLine="480"/>
      </w:pPr>
      <w:r>
        <w:rPr>
          <w:rFonts w:hint="eastAsia"/>
        </w:rPr>
        <w:t>1.2 除合同另有规定外，报价应包括供应商为完成本合同规定的工作所承担的全部费用，包括成本、税金、利润等，并考虑了应由供应商承担的义务、责任和风险所发生的费用。</w:t>
      </w:r>
    </w:p>
    <w:p>
      <w:pPr>
        <w:ind w:firstLine="480"/>
      </w:pPr>
      <w:bookmarkStart w:id="120" w:name="_Toc354089004"/>
      <w:r>
        <w:rPr>
          <w:rFonts w:hint="eastAsia"/>
        </w:rPr>
        <w:t>2</w:t>
      </w:r>
      <w:r>
        <w:t>.</w:t>
      </w:r>
      <w:r>
        <w:rPr>
          <w:rFonts w:hint="eastAsia"/>
        </w:rPr>
        <w:t>响应报价表</w:t>
      </w:r>
      <w:bookmarkEnd w:id="120"/>
    </w:p>
    <w:p>
      <w:pPr>
        <w:ind w:firstLine="480"/>
      </w:pPr>
      <w:r>
        <w:rPr>
          <w:rFonts w:hint="eastAsia"/>
        </w:rPr>
        <w:t>2.1报价汇总表（格式）</w:t>
      </w:r>
    </w:p>
    <w:p>
      <w:pPr>
        <w:pStyle w:val="85"/>
        <w:tabs>
          <w:tab w:val="left" w:pos="0"/>
          <w:tab w:val="left" w:pos="240"/>
          <w:tab w:val="left" w:pos="840"/>
          <w:tab w:val="left" w:pos="1080"/>
        </w:tabs>
        <w:spacing w:line="360" w:lineRule="auto"/>
        <w:ind w:firstLine="0" w:firstLineChars="0"/>
        <w:jc w:val="center"/>
        <w:rPr>
          <w:rFonts w:ascii="宋体" w:hAnsi="宋体" w:cs="Arial"/>
          <w:sz w:val="21"/>
          <w:szCs w:val="21"/>
        </w:rPr>
      </w:pPr>
      <w:r>
        <w:rPr>
          <w:rFonts w:hint="eastAsia"/>
          <w:b/>
          <w:szCs w:val="21"/>
        </w:rPr>
        <w:t>报价表</w:t>
      </w:r>
    </w:p>
    <w:p>
      <w:pPr>
        <w:ind w:firstLine="420"/>
        <w:jc w:val="right"/>
        <w:rPr>
          <w:b/>
          <w:szCs w:val="21"/>
          <w:u w:val="single"/>
        </w:rPr>
      </w:pPr>
      <w:r>
        <w:rPr>
          <w:rFonts w:hint="eastAsia" w:cs="Arial"/>
          <w:sz w:val="21"/>
          <w:szCs w:val="21"/>
        </w:rPr>
        <w:t>单位：人民币元</w:t>
      </w:r>
    </w:p>
    <w:tbl>
      <w:tblPr>
        <w:tblStyle w:val="44"/>
        <w:tblW w:w="509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64"/>
        <w:gridCol w:w="3931"/>
        <w:gridCol w:w="2067"/>
        <w:gridCol w:w="22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18" w:type="pct"/>
            <w:noWrap w:val="0"/>
            <w:vAlign w:val="center"/>
          </w:tcPr>
          <w:p>
            <w:pPr>
              <w:pStyle w:val="94"/>
            </w:pPr>
            <w:r>
              <w:rPr>
                <w:rFonts w:hint="eastAsia"/>
              </w:rPr>
              <w:t>序号</w:t>
            </w:r>
          </w:p>
        </w:tc>
        <w:tc>
          <w:tcPr>
            <w:tcW w:w="2087" w:type="pct"/>
            <w:noWrap w:val="0"/>
            <w:vAlign w:val="center"/>
          </w:tcPr>
          <w:p>
            <w:pPr>
              <w:pStyle w:val="94"/>
              <w:jc w:val="center"/>
            </w:pPr>
            <w:r>
              <w:rPr>
                <w:rFonts w:hint="eastAsia"/>
              </w:rPr>
              <w:t>项目</w:t>
            </w:r>
          </w:p>
        </w:tc>
        <w:tc>
          <w:tcPr>
            <w:tcW w:w="1097" w:type="pct"/>
            <w:noWrap w:val="0"/>
            <w:vAlign w:val="center"/>
          </w:tcPr>
          <w:p>
            <w:pPr>
              <w:pStyle w:val="94"/>
              <w:jc w:val="center"/>
            </w:pPr>
            <w:r>
              <w:rPr>
                <w:rFonts w:hint="eastAsia"/>
              </w:rPr>
              <w:t>报价</w:t>
            </w:r>
          </w:p>
          <w:p>
            <w:pPr>
              <w:pStyle w:val="94"/>
              <w:jc w:val="center"/>
            </w:pPr>
            <w:r>
              <w:rPr>
                <w:rFonts w:hint="eastAsia"/>
              </w:rPr>
              <w:t>（元）</w:t>
            </w:r>
          </w:p>
        </w:tc>
        <w:tc>
          <w:tcPr>
            <w:tcW w:w="1198" w:type="pct"/>
            <w:noWrap w:val="0"/>
            <w:vAlign w:val="center"/>
          </w:tcPr>
          <w:p>
            <w:pPr>
              <w:pStyle w:val="94"/>
              <w:jc w:val="center"/>
            </w:pPr>
            <w:r>
              <w:rPr>
                <w:rFonts w:hint="eastAsia"/>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18" w:type="pct"/>
            <w:noWrap w:val="0"/>
            <w:vAlign w:val="center"/>
          </w:tcPr>
          <w:p>
            <w:pPr>
              <w:pStyle w:val="94"/>
              <w:jc w:val="center"/>
            </w:pPr>
            <w:r>
              <w:rPr>
                <w:rFonts w:hint="eastAsia"/>
              </w:rPr>
              <w:t>1</w:t>
            </w:r>
          </w:p>
        </w:tc>
        <w:tc>
          <w:tcPr>
            <w:tcW w:w="2087" w:type="pct"/>
            <w:noWrap w:val="0"/>
            <w:vAlign w:val="center"/>
          </w:tcPr>
          <w:p>
            <w:pPr>
              <w:pStyle w:val="94"/>
              <w:jc w:val="center"/>
            </w:pPr>
            <w:r>
              <w:rPr>
                <w:rFonts w:hint="eastAsia"/>
              </w:rPr>
              <w:t>电缆</w:t>
            </w:r>
          </w:p>
        </w:tc>
        <w:tc>
          <w:tcPr>
            <w:tcW w:w="1097" w:type="pct"/>
            <w:noWrap w:val="0"/>
            <w:vAlign w:val="center"/>
          </w:tcPr>
          <w:p>
            <w:pPr>
              <w:pStyle w:val="94"/>
              <w:jc w:val="center"/>
            </w:pPr>
          </w:p>
        </w:tc>
        <w:tc>
          <w:tcPr>
            <w:tcW w:w="1198" w:type="pct"/>
            <w:noWrap w:val="0"/>
            <w:vAlign w:val="center"/>
          </w:tcPr>
          <w:p>
            <w:pPr>
              <w:pStyle w:val="94"/>
              <w:jc w:val="center"/>
            </w:pPr>
            <w:r>
              <w:rPr>
                <w:rFonts w:hint="eastAsia"/>
              </w:rPr>
              <w:t>报价为含税价</w:t>
            </w:r>
          </w:p>
          <w:p>
            <w:pPr>
              <w:pStyle w:val="94"/>
              <w:jc w:val="center"/>
            </w:pPr>
            <w:r>
              <w:rPr>
                <w:rFonts w:hint="eastAsia"/>
                <w:highlight w:val="yellow"/>
              </w:rPr>
              <w:t>税率</w:t>
            </w:r>
            <w:r>
              <w:rPr>
                <w:rFonts w:hint="eastAsia"/>
                <w:highlight w:val="yellow"/>
                <w:u w:val="single"/>
                <w:lang w:val="en-US" w:eastAsia="zh-CN"/>
              </w:rPr>
              <w:t>13</w:t>
            </w:r>
            <w:r>
              <w:rPr>
                <w:rFonts w:hint="eastAsia"/>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618" w:type="pct"/>
            <w:noWrap w:val="0"/>
            <w:vAlign w:val="center"/>
          </w:tcPr>
          <w:p>
            <w:pPr>
              <w:pStyle w:val="94"/>
              <w:jc w:val="center"/>
              <w:rPr>
                <w:rFonts w:hint="default" w:eastAsia="仿宋"/>
                <w:highlight w:val="yellow"/>
                <w:lang w:val="en-US" w:eastAsia="zh-CN"/>
              </w:rPr>
            </w:pPr>
            <w:r>
              <w:rPr>
                <w:rFonts w:hint="eastAsia" w:ascii="仿宋" w:hAnsi="仿宋" w:eastAsia="仿宋" w:cs="仿宋"/>
                <w:b/>
                <w:highlight w:val="yellow"/>
              </w:rPr>
              <w:t>付款方式</w:t>
            </w:r>
            <w:r>
              <w:rPr>
                <w:rFonts w:hint="eastAsia" w:ascii="仿宋" w:hAnsi="仿宋" w:eastAsia="仿宋" w:cs="仿宋"/>
                <w:b/>
                <w:highlight w:val="yellow"/>
                <w:lang w:val="en-US" w:eastAsia="zh-CN"/>
              </w:rPr>
              <w:t>95:5</w:t>
            </w:r>
          </w:p>
        </w:tc>
        <w:tc>
          <w:tcPr>
            <w:tcW w:w="4382" w:type="pct"/>
            <w:gridSpan w:val="3"/>
            <w:noWrap w:val="0"/>
            <w:vAlign w:val="center"/>
          </w:tcPr>
          <w:p>
            <w:pPr>
              <w:pStyle w:val="94"/>
              <w:rPr>
                <w:rFonts w:hint="eastAsia" w:ascii="仿宋_GB2312" w:hAnsi="Times New Roman" w:eastAsia="仿宋_GB2312"/>
                <w:kern w:val="2"/>
                <w:sz w:val="24"/>
                <w:szCs w:val="20"/>
              </w:rPr>
            </w:pPr>
            <w:r>
              <w:rPr>
                <w:rFonts w:hint="eastAsia" w:ascii="仿宋_GB2312" w:hAnsi="Times New Roman" w:eastAsia="仿宋_GB2312"/>
                <w:kern w:val="2"/>
                <w:sz w:val="24"/>
                <w:szCs w:val="20"/>
              </w:rPr>
              <w:t>1）到货验收款：合同标的运抵甲方指定地点验收合格（随货需提供所供电缆的合格证、材质检验单等资质文件），乙方提供所到合同标的总价100%的增值税专用发票(税率13%)，甲方审核无误后付95%到货款。</w:t>
            </w:r>
          </w:p>
          <w:p>
            <w:pPr>
              <w:pStyle w:val="94"/>
              <w:rPr>
                <w:rFonts w:hint="eastAsia"/>
                <w:highlight w:val="yellow"/>
              </w:rPr>
            </w:pPr>
            <w:r>
              <w:rPr>
                <w:rFonts w:hint="eastAsia" w:ascii="仿宋_GB2312" w:hAnsi="Times New Roman" w:eastAsia="仿宋_GB2312"/>
                <w:kern w:val="2"/>
                <w:sz w:val="24"/>
                <w:szCs w:val="20"/>
              </w:rPr>
              <w:t>2）质保金：质保期满无质量缺陷，向乙方支付5%质保金。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5000" w:type="pct"/>
            <w:gridSpan w:val="4"/>
            <w:noWrap w:val="0"/>
            <w:vAlign w:val="center"/>
          </w:tcPr>
          <w:p>
            <w:pPr>
              <w:pStyle w:val="94"/>
            </w:pPr>
            <w:r>
              <w:rPr>
                <w:rFonts w:hint="eastAsia"/>
              </w:rPr>
              <w:t>备注：报价含税费。</w:t>
            </w:r>
          </w:p>
        </w:tc>
      </w:tr>
    </w:tbl>
    <w:p>
      <w:pPr>
        <w:spacing w:line="360" w:lineRule="auto"/>
        <w:ind w:firstLine="480"/>
        <w:jc w:val="center"/>
        <w:rPr>
          <w:rFonts w:cs="Arial"/>
          <w:szCs w:val="21"/>
        </w:rPr>
      </w:pPr>
      <w:r>
        <w:rPr>
          <w:rFonts w:hint="eastAsia" w:cs="Arial"/>
          <w:szCs w:val="21"/>
        </w:rPr>
        <w:t xml:space="preserve">                        </w:t>
      </w:r>
    </w:p>
    <w:p>
      <w:pPr>
        <w:spacing w:line="360" w:lineRule="auto"/>
        <w:ind w:firstLine="480"/>
        <w:jc w:val="center"/>
        <w:rPr>
          <w:rFonts w:cs="Arial"/>
          <w:szCs w:val="21"/>
        </w:rPr>
      </w:pPr>
    </w:p>
    <w:p>
      <w:pPr>
        <w:wordWrap w:val="0"/>
        <w:spacing w:line="360" w:lineRule="auto"/>
        <w:ind w:firstLine="480"/>
        <w:jc w:val="right"/>
        <w:rPr>
          <w:rFonts w:cs="Arial"/>
          <w:szCs w:val="21"/>
          <w:u w:val="single"/>
        </w:rPr>
      </w:pPr>
      <w:r>
        <w:rPr>
          <w:rFonts w:hint="eastAsia" w:cs="Arial"/>
          <w:szCs w:val="21"/>
        </w:rPr>
        <w:t>供应商名称：</w:t>
      </w:r>
      <w:r>
        <w:rPr>
          <w:rFonts w:hint="eastAsia" w:cs="Arial"/>
          <w:szCs w:val="21"/>
          <w:u w:val="single"/>
        </w:rPr>
        <w:t xml:space="preserve"> </w:t>
      </w:r>
      <w:r>
        <w:rPr>
          <w:rFonts w:cs="Arial"/>
          <w:szCs w:val="21"/>
          <w:u w:val="single"/>
        </w:rPr>
        <w:t xml:space="preserve">  </w:t>
      </w:r>
      <w:r>
        <w:rPr>
          <w:rFonts w:hint="eastAsia" w:cs="Arial"/>
          <w:szCs w:val="21"/>
          <w:u w:val="single"/>
        </w:rPr>
        <w:t xml:space="preserve">（盖章） </w:t>
      </w:r>
      <w:r>
        <w:rPr>
          <w:rFonts w:cs="Arial"/>
          <w:szCs w:val="21"/>
          <w:u w:val="single"/>
        </w:rPr>
        <w:t xml:space="preserve">  </w:t>
      </w:r>
    </w:p>
    <w:p>
      <w:pPr>
        <w:spacing w:line="360" w:lineRule="auto"/>
        <w:ind w:firstLine="480"/>
        <w:jc w:val="right"/>
        <w:rPr>
          <w:rFonts w:cs="Arial"/>
          <w:szCs w:val="21"/>
        </w:rPr>
      </w:pPr>
      <w:r>
        <w:rPr>
          <w:rFonts w:hint="eastAsia" w:cs="Arial"/>
          <w:szCs w:val="21"/>
          <w:u w:val="single"/>
        </w:rPr>
        <w:t xml:space="preserve"> </w:t>
      </w:r>
      <w:r>
        <w:rPr>
          <w:rFonts w:cs="Arial"/>
          <w:szCs w:val="21"/>
          <w:u w:val="single"/>
        </w:rPr>
        <w:t xml:space="preserve">           </w:t>
      </w:r>
      <w:r>
        <w:rPr>
          <w:rFonts w:hint="eastAsia" w:cs="Arial"/>
          <w:szCs w:val="21"/>
        </w:rPr>
        <w:t>年</w:t>
      </w:r>
      <w:r>
        <w:rPr>
          <w:rFonts w:hint="eastAsia" w:cs="Arial"/>
          <w:szCs w:val="21"/>
          <w:u w:val="single"/>
        </w:rPr>
        <w:t xml:space="preserve">     </w:t>
      </w:r>
      <w:r>
        <w:rPr>
          <w:rFonts w:hint="eastAsia" w:cs="Arial"/>
          <w:szCs w:val="21"/>
        </w:rPr>
        <w:t>月</w:t>
      </w:r>
      <w:r>
        <w:rPr>
          <w:rFonts w:hint="eastAsia" w:cs="Arial"/>
          <w:szCs w:val="21"/>
          <w:u w:val="single"/>
        </w:rPr>
        <w:t xml:space="preserve">     </w:t>
      </w:r>
      <w:r>
        <w:rPr>
          <w:rFonts w:hint="eastAsia" w:cs="Arial"/>
          <w:szCs w:val="21"/>
        </w:rPr>
        <w:t>日</w:t>
      </w:r>
    </w:p>
    <w:p>
      <w:pPr>
        <w:ind w:firstLine="480"/>
      </w:pPr>
      <w:r>
        <w:rPr>
          <w:rFonts w:hint="eastAsia"/>
        </w:rPr>
        <w:t>2.2分项报价表</w:t>
      </w:r>
    </w:p>
    <w:p>
      <w:pPr>
        <w:ind w:firstLine="480"/>
        <w:rPr>
          <w:rFonts w:hint="eastAsia"/>
        </w:rPr>
      </w:pPr>
      <w:r>
        <w:rPr>
          <w:rFonts w:hint="eastAsia"/>
          <w:highlight w:val="yellow"/>
        </w:rPr>
        <w:t>按供货范围格式自拟（必须有分项报价）。</w:t>
      </w:r>
    </w:p>
    <w:p>
      <w:pPr>
        <w:ind w:firstLine="480"/>
        <w:rPr>
          <w:rFonts w:hint="eastAsia"/>
        </w:rPr>
      </w:pPr>
    </w:p>
    <w:tbl>
      <w:tblPr>
        <w:tblStyle w:val="44"/>
        <w:tblW w:w="5000" w:type="pct"/>
        <w:jc w:val="center"/>
        <w:tblLayout w:type="autofit"/>
        <w:tblCellMar>
          <w:top w:w="0" w:type="dxa"/>
          <w:left w:w="108" w:type="dxa"/>
          <w:bottom w:w="0" w:type="dxa"/>
          <w:right w:w="108" w:type="dxa"/>
        </w:tblCellMar>
      </w:tblPr>
      <w:tblGrid>
        <w:gridCol w:w="701"/>
        <w:gridCol w:w="2780"/>
        <w:gridCol w:w="3244"/>
        <w:gridCol w:w="1817"/>
        <w:gridCol w:w="701"/>
      </w:tblGrid>
      <w:tr>
        <w:tblPrEx>
          <w:tblCellMar>
            <w:top w:w="0" w:type="dxa"/>
            <w:left w:w="108" w:type="dxa"/>
            <w:bottom w:w="0" w:type="dxa"/>
            <w:right w:w="108" w:type="dxa"/>
          </w:tblCellMar>
        </w:tblPrEx>
        <w:trPr>
          <w:trHeight w:val="20"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b/>
                <w:bCs/>
                <w:sz w:val="21"/>
                <w:szCs w:val="21"/>
              </w:rPr>
            </w:pPr>
            <w:r>
              <w:rPr>
                <w:b/>
                <w:bCs/>
                <w:sz w:val="21"/>
                <w:szCs w:val="21"/>
              </w:rPr>
              <w:t>序号</w:t>
            </w:r>
          </w:p>
        </w:tc>
        <w:tc>
          <w:tcPr>
            <w:tcW w:w="1504"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b/>
                <w:bCs/>
                <w:sz w:val="21"/>
                <w:szCs w:val="21"/>
              </w:rPr>
            </w:pPr>
            <w:r>
              <w:rPr>
                <w:b/>
                <w:bCs/>
                <w:sz w:val="21"/>
                <w:szCs w:val="21"/>
              </w:rPr>
              <w:t>电缆形式规范</w:t>
            </w:r>
          </w:p>
        </w:tc>
        <w:tc>
          <w:tcPr>
            <w:tcW w:w="1755"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b/>
                <w:bCs/>
                <w:kern w:val="0"/>
                <w:sz w:val="21"/>
                <w:szCs w:val="21"/>
              </w:rPr>
            </w:pPr>
            <w:r>
              <w:rPr>
                <w:b/>
                <w:bCs/>
                <w:sz w:val="21"/>
                <w:szCs w:val="21"/>
              </w:rPr>
              <w:t>电缆形式规范</w:t>
            </w:r>
          </w:p>
        </w:tc>
        <w:tc>
          <w:tcPr>
            <w:tcW w:w="983" w:type="pct"/>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b/>
                <w:bCs/>
                <w:sz w:val="21"/>
                <w:szCs w:val="21"/>
              </w:rPr>
            </w:pPr>
            <w:r>
              <w:rPr>
                <w:b/>
                <w:bCs/>
                <w:sz w:val="21"/>
                <w:szCs w:val="21"/>
              </w:rPr>
              <w:t>电缆长度（m）</w:t>
            </w:r>
          </w:p>
        </w:tc>
        <w:tc>
          <w:tcPr>
            <w:tcW w:w="379" w:type="pct"/>
            <w:tcBorders>
              <w:top w:val="single" w:color="auto" w:sz="4" w:space="0"/>
              <w:left w:val="nil"/>
              <w:bottom w:val="single" w:color="auto" w:sz="4" w:space="0"/>
              <w:right w:val="single" w:color="auto" w:sz="4" w:space="0"/>
            </w:tcBorders>
            <w:noWrap w:val="0"/>
            <w:vAlign w:val="center"/>
          </w:tcPr>
          <w:p>
            <w:pPr>
              <w:spacing w:line="240" w:lineRule="auto"/>
              <w:ind w:firstLine="0" w:firstLineChars="0"/>
              <w:jc w:val="center"/>
              <w:rPr>
                <w:b/>
                <w:bCs/>
                <w:sz w:val="21"/>
                <w:szCs w:val="21"/>
              </w:rPr>
            </w:pPr>
            <w:r>
              <w:rPr>
                <w:b/>
                <w:bCs/>
                <w:sz w:val="21"/>
                <w:szCs w:val="21"/>
              </w:rPr>
              <w:t>备注</w:t>
            </w:r>
          </w:p>
        </w:tc>
      </w:tr>
      <w:tr>
        <w:tblPrEx>
          <w:tblCellMar>
            <w:top w:w="0" w:type="dxa"/>
            <w:left w:w="108" w:type="dxa"/>
            <w:bottom w:w="0" w:type="dxa"/>
            <w:right w:w="108" w:type="dxa"/>
          </w:tblCellMar>
        </w:tblPrEx>
        <w:trPr>
          <w:trHeight w:val="20" w:hRule="atLeast"/>
          <w:jc w:val="center"/>
        </w:trPr>
        <w:tc>
          <w:tcPr>
            <w:tcW w:w="5000" w:type="pct"/>
            <w:gridSpan w:val="5"/>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SQ</w:t>
            </w:r>
          </w:p>
        </w:tc>
      </w:tr>
      <w:tr>
        <w:tblPrEx>
          <w:tblCellMar>
            <w:top w:w="0" w:type="dxa"/>
            <w:left w:w="108" w:type="dxa"/>
            <w:bottom w:w="0" w:type="dxa"/>
            <w:right w:w="108" w:type="dxa"/>
          </w:tblCellMar>
        </w:tblPrEx>
        <w:trPr>
          <w:trHeight w:val="20" w:hRule="atLeast"/>
          <w:jc w:val="center"/>
        </w:trPr>
        <w:tc>
          <w:tcPr>
            <w:tcW w:w="379"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w:t>
            </w:r>
          </w:p>
        </w:tc>
        <w:tc>
          <w:tcPr>
            <w:tcW w:w="1504" w:type="pct"/>
            <w:tcBorders>
              <w:top w:val="single" w:color="auto" w:sz="4" w:space="0"/>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ZR-KVV 4×2.5</w:t>
            </w:r>
          </w:p>
        </w:tc>
        <w:tc>
          <w:tcPr>
            <w:tcW w:w="983" w:type="pct"/>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6000</w:t>
            </w:r>
          </w:p>
        </w:tc>
        <w:tc>
          <w:tcPr>
            <w:tcW w:w="379" w:type="pct"/>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补偿电缆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ZR-KX-HA-FFP2 1×2×1.5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1200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ZR-DJYVP2 1x2x1.0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3000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ZR-DJYVP2 1x3x1.0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4000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总屏加分屏计算机电缆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ZR-DJYP2VP2 3x2x1.0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9500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总屏加分屏计算机电缆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ZR-DJYP2VP2 5x2x1.0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9000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总屏加分屏计算机电缆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ZR-DJYP2VP2 4x3x1.0</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color w:val="000000"/>
                <w:sz w:val="21"/>
                <w:szCs w:val="21"/>
              </w:rPr>
              <w:t>600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热缩管</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5000" w:type="pct"/>
            <w:gridSpan w:val="5"/>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HT</w:t>
            </w: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1×2×1.5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5910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2×2×1.5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1285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5×2×1.5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425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19×1.5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340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30×1.5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170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5580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5×1.5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8×1.5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3025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9</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补偿电缆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ZRC-KX-HA-FPFP22 1×2×1.5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3630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10</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ZRC-YJV22 2×2.5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555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ZRC-YJV22 4×2.5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3085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10×3×1.5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165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ZRC-DJYPVP22 1×3×1.5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1050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14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ZRC-KVVP22 14×1.5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sz w:val="21"/>
                <w:szCs w:val="21"/>
              </w:rPr>
              <w:t>255</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ZR-YJV22-10kV 3x95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80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3x185+1x95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40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3x185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3x35+1x16</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19</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4x4</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250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20</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ZR-YJV22-1kV 2x4</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150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控制电缆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ZR-KVVP</w:t>
            </w:r>
            <w:r>
              <w:rPr>
                <w:kern w:val="0"/>
                <w:sz w:val="21"/>
                <w:szCs w:val="21"/>
              </w:rPr>
              <w:t xml:space="preserve"> </w:t>
            </w:r>
            <w:r>
              <w:rPr>
                <w:rFonts w:hint="eastAsia"/>
                <w:kern w:val="0"/>
                <w:sz w:val="21"/>
                <w:szCs w:val="21"/>
              </w:rPr>
              <w:t>7x1.5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300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控制电缆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ZR-KVVP</w:t>
            </w:r>
            <w:r>
              <w:rPr>
                <w:kern w:val="0"/>
                <w:sz w:val="21"/>
                <w:szCs w:val="21"/>
              </w:rPr>
              <w:t xml:space="preserve"> </w:t>
            </w:r>
            <w:r>
              <w:rPr>
                <w:rFonts w:hint="eastAsia"/>
                <w:kern w:val="0"/>
                <w:sz w:val="21"/>
                <w:szCs w:val="21"/>
              </w:rPr>
              <w:t>4x1.5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650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总屏计算机电缆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ZR-DJYVP</w:t>
            </w:r>
            <w:r>
              <w:rPr>
                <w:kern w:val="0"/>
                <w:sz w:val="21"/>
                <w:szCs w:val="21"/>
              </w:rPr>
              <w:t xml:space="preserve"> </w:t>
            </w:r>
            <w:r>
              <w:rPr>
                <w:rFonts w:hint="eastAsia"/>
                <w:kern w:val="0"/>
                <w:sz w:val="21"/>
                <w:szCs w:val="21"/>
              </w:rPr>
              <w:t>1x2x1.0</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sz w:val="21"/>
                <w:szCs w:val="21"/>
              </w:rPr>
              <w:t>总屏计算机电缆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ZR-DJYVP</w:t>
            </w:r>
            <w:r>
              <w:rPr>
                <w:kern w:val="0"/>
                <w:sz w:val="21"/>
                <w:szCs w:val="21"/>
              </w:rPr>
              <w:t xml:space="preserve"> </w:t>
            </w:r>
            <w:r>
              <w:rPr>
                <w:rFonts w:hint="eastAsia"/>
                <w:kern w:val="0"/>
                <w:sz w:val="21"/>
                <w:szCs w:val="21"/>
              </w:rPr>
              <w:t>2x2x1.0</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ZR-YJV22</w:t>
            </w:r>
            <w:r>
              <w:rPr>
                <w:kern w:val="0"/>
                <w:sz w:val="21"/>
                <w:szCs w:val="21"/>
              </w:rPr>
              <w:t xml:space="preserve"> </w:t>
            </w:r>
            <w:r>
              <w:rPr>
                <w:rFonts w:hint="eastAsia"/>
                <w:kern w:val="0"/>
                <w:sz w:val="21"/>
                <w:szCs w:val="21"/>
              </w:rPr>
              <w:t>10kV 3x95</w:t>
            </w:r>
          </w:p>
        </w:tc>
        <w:tc>
          <w:tcPr>
            <w:tcW w:w="983" w:type="pct"/>
            <w:tcBorders>
              <w:top w:val="nil"/>
              <w:left w:val="nil"/>
              <w:bottom w:val="single" w:color="auto" w:sz="4" w:space="0"/>
              <w:right w:val="single" w:color="auto" w:sz="4" w:space="0"/>
            </w:tcBorders>
            <w:noWrap/>
            <w:vAlign w:val="bottom"/>
          </w:tcPr>
          <w:p>
            <w:pPr>
              <w:widowControl/>
              <w:adjustRightInd/>
              <w:snapToGrid/>
              <w:spacing w:line="240" w:lineRule="auto"/>
              <w:ind w:firstLine="0" w:firstLineChars="0"/>
              <w:jc w:val="center"/>
              <w:rPr>
                <w:kern w:val="0"/>
                <w:sz w:val="21"/>
                <w:szCs w:val="21"/>
              </w:rPr>
            </w:pPr>
            <w:r>
              <w:rPr>
                <w:rFonts w:hint="eastAsia"/>
                <w:kern w:val="0"/>
                <w:sz w:val="21"/>
                <w:szCs w:val="21"/>
              </w:rPr>
              <w:t>800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5000" w:type="pct"/>
            <w:gridSpan w:val="5"/>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SYS</w:t>
            </w: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ZRC-YJV22-0.6/1KV-4*16</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800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ZRC-YJV22-0.6/1KV-4*2.5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1000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ZRC-KVVP 7*1.5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ZRC-KVVP 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200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5</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电源电缆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ZRC-YJV22 4*2.5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800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6</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ZRC-DJYPVP 2*2*1.5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600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kern w:val="0"/>
                <w:sz w:val="21"/>
                <w:szCs w:val="21"/>
              </w:rPr>
              <w:t>7</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控制电缆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ZRC-KVVP 14*1.5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1000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r>
        <w:tblPrEx>
          <w:tblCellMar>
            <w:top w:w="0" w:type="dxa"/>
            <w:left w:w="108" w:type="dxa"/>
            <w:bottom w:w="0" w:type="dxa"/>
            <w:right w:w="108" w:type="dxa"/>
          </w:tblCellMar>
        </w:tblPrEx>
        <w:trPr>
          <w:trHeight w:val="20" w:hRule="atLeast"/>
          <w:jc w:val="center"/>
        </w:trPr>
        <w:tc>
          <w:tcPr>
            <w:tcW w:w="379"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8</w:t>
            </w:r>
          </w:p>
        </w:tc>
        <w:tc>
          <w:tcPr>
            <w:tcW w:w="1504" w:type="pct"/>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center"/>
              <w:rPr>
                <w:kern w:val="0"/>
                <w:sz w:val="21"/>
                <w:szCs w:val="21"/>
              </w:rPr>
            </w:pPr>
            <w:r>
              <w:rPr>
                <w:color w:val="000000"/>
                <w:sz w:val="21"/>
                <w:szCs w:val="21"/>
              </w:rPr>
              <w:t>总屏计算机电缆</w:t>
            </w:r>
          </w:p>
        </w:tc>
        <w:tc>
          <w:tcPr>
            <w:tcW w:w="1755" w:type="pct"/>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ZRC-DJYPVP 4*2*1.5</w:t>
            </w:r>
          </w:p>
        </w:tc>
        <w:tc>
          <w:tcPr>
            <w:tcW w:w="983"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r>
              <w:rPr>
                <w:kern w:val="0"/>
                <w:sz w:val="21"/>
                <w:szCs w:val="21"/>
              </w:rPr>
              <w:t>400</w:t>
            </w:r>
          </w:p>
        </w:tc>
        <w:tc>
          <w:tcPr>
            <w:tcW w:w="379" w:type="pct"/>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kern w:val="0"/>
                <w:sz w:val="21"/>
                <w:szCs w:val="21"/>
              </w:rPr>
            </w:pPr>
          </w:p>
        </w:tc>
      </w:tr>
    </w:tbl>
    <w:p>
      <w:pPr>
        <w:ind w:firstLine="480"/>
      </w:pPr>
    </w:p>
    <w:p>
      <w:pPr>
        <w:pStyle w:val="3"/>
        <w:spacing w:before="120"/>
      </w:pPr>
      <w:r>
        <w:br w:type="page"/>
      </w:r>
      <w:bookmarkStart w:id="121" w:name="_Toc1032393"/>
      <w:bookmarkStart w:id="122" w:name="_Toc527560964"/>
      <w:r>
        <w:rPr>
          <w:rFonts w:hint="eastAsia"/>
        </w:rPr>
        <w:t>三、商务部分</w:t>
      </w:r>
      <w:bookmarkEnd w:id="121"/>
    </w:p>
    <w:p>
      <w:pPr>
        <w:ind w:firstLine="480"/>
        <w:jc w:val="center"/>
      </w:pPr>
      <w:r>
        <w:rPr>
          <w:rFonts w:hint="eastAsia"/>
        </w:rPr>
        <w:t>商务部分摘要表</w:t>
      </w:r>
      <w:bookmarkEnd w:id="122"/>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173"/>
        <w:gridCol w:w="1172"/>
        <w:gridCol w:w="981"/>
        <w:gridCol w:w="385"/>
        <w:gridCol w:w="195"/>
        <w:gridCol w:w="1367"/>
        <w:gridCol w:w="42"/>
        <w:gridCol w:w="30"/>
        <w:gridCol w:w="1098"/>
        <w:gridCol w:w="9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exact"/>
          <w:jc w:val="center"/>
        </w:trPr>
        <w:tc>
          <w:tcPr>
            <w:tcW w:w="1785" w:type="dxa"/>
            <w:noWrap w:val="0"/>
            <w:vAlign w:val="center"/>
          </w:tcPr>
          <w:p>
            <w:pPr>
              <w:pStyle w:val="94"/>
            </w:pPr>
            <w:r>
              <w:rPr>
                <w:rFonts w:hint="eastAsia"/>
              </w:rPr>
              <w:t>供应商</w:t>
            </w:r>
            <w:r>
              <w:t>名称</w:t>
            </w:r>
          </w:p>
        </w:tc>
        <w:tc>
          <w:tcPr>
            <w:tcW w:w="7077" w:type="dxa"/>
            <w:gridSpan w:val="10"/>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注册地址</w:t>
            </w:r>
          </w:p>
        </w:tc>
        <w:tc>
          <w:tcPr>
            <w:tcW w:w="3745" w:type="dxa"/>
            <w:gridSpan w:val="5"/>
            <w:noWrap w:val="0"/>
            <w:vAlign w:val="center"/>
          </w:tcPr>
          <w:p>
            <w:pPr>
              <w:pStyle w:val="94"/>
            </w:pPr>
          </w:p>
        </w:tc>
        <w:tc>
          <w:tcPr>
            <w:tcW w:w="1311" w:type="dxa"/>
            <w:noWrap w:val="0"/>
            <w:vAlign w:val="center"/>
          </w:tcPr>
          <w:p>
            <w:pPr>
              <w:pStyle w:val="94"/>
            </w:pPr>
            <w:r>
              <w:t>邮政编码</w:t>
            </w:r>
          </w:p>
        </w:tc>
        <w:tc>
          <w:tcPr>
            <w:tcW w:w="2021" w:type="dxa"/>
            <w:gridSpan w:val="4"/>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exact"/>
          <w:jc w:val="center"/>
        </w:trPr>
        <w:tc>
          <w:tcPr>
            <w:tcW w:w="1785" w:type="dxa"/>
            <w:vMerge w:val="restart"/>
            <w:noWrap w:val="0"/>
            <w:vAlign w:val="center"/>
          </w:tcPr>
          <w:p>
            <w:pPr>
              <w:pStyle w:val="94"/>
            </w:pPr>
            <w:r>
              <w:t>联系方式</w:t>
            </w:r>
          </w:p>
        </w:tc>
        <w:tc>
          <w:tcPr>
            <w:tcW w:w="1124" w:type="dxa"/>
            <w:noWrap w:val="0"/>
            <w:vAlign w:val="center"/>
          </w:tcPr>
          <w:p>
            <w:pPr>
              <w:pStyle w:val="94"/>
            </w:pPr>
            <w:r>
              <w:t>联系人</w:t>
            </w:r>
          </w:p>
        </w:tc>
        <w:tc>
          <w:tcPr>
            <w:tcW w:w="2621" w:type="dxa"/>
            <w:gridSpan w:val="4"/>
            <w:noWrap w:val="0"/>
            <w:vAlign w:val="center"/>
          </w:tcPr>
          <w:p>
            <w:pPr>
              <w:pStyle w:val="94"/>
            </w:pPr>
          </w:p>
        </w:tc>
        <w:tc>
          <w:tcPr>
            <w:tcW w:w="1311" w:type="dxa"/>
            <w:noWrap w:val="0"/>
            <w:vAlign w:val="center"/>
          </w:tcPr>
          <w:p>
            <w:pPr>
              <w:pStyle w:val="94"/>
            </w:pPr>
            <w:r>
              <w:t>电话</w:t>
            </w:r>
          </w:p>
        </w:tc>
        <w:tc>
          <w:tcPr>
            <w:tcW w:w="2021" w:type="dxa"/>
            <w:gridSpan w:val="4"/>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vMerge w:val="continue"/>
            <w:noWrap w:val="0"/>
            <w:vAlign w:val="center"/>
          </w:tcPr>
          <w:p>
            <w:pPr>
              <w:pStyle w:val="94"/>
            </w:pPr>
          </w:p>
        </w:tc>
        <w:tc>
          <w:tcPr>
            <w:tcW w:w="1124" w:type="dxa"/>
            <w:noWrap w:val="0"/>
            <w:vAlign w:val="center"/>
          </w:tcPr>
          <w:p>
            <w:pPr>
              <w:pStyle w:val="94"/>
            </w:pPr>
            <w:r>
              <w:t>传真</w:t>
            </w:r>
          </w:p>
        </w:tc>
        <w:tc>
          <w:tcPr>
            <w:tcW w:w="2621" w:type="dxa"/>
            <w:gridSpan w:val="4"/>
            <w:noWrap w:val="0"/>
            <w:vAlign w:val="center"/>
          </w:tcPr>
          <w:p>
            <w:pPr>
              <w:pStyle w:val="94"/>
            </w:pPr>
          </w:p>
        </w:tc>
        <w:tc>
          <w:tcPr>
            <w:tcW w:w="1311" w:type="dxa"/>
            <w:noWrap w:val="0"/>
            <w:vAlign w:val="center"/>
          </w:tcPr>
          <w:p>
            <w:pPr>
              <w:pStyle w:val="94"/>
            </w:pPr>
            <w:r>
              <w:t>网址</w:t>
            </w:r>
          </w:p>
        </w:tc>
        <w:tc>
          <w:tcPr>
            <w:tcW w:w="2021" w:type="dxa"/>
            <w:gridSpan w:val="4"/>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股权结构</w:t>
            </w:r>
          </w:p>
        </w:tc>
        <w:tc>
          <w:tcPr>
            <w:tcW w:w="7077" w:type="dxa"/>
            <w:gridSpan w:val="10"/>
            <w:noWrap w:val="0"/>
            <w:vAlign w:val="center"/>
          </w:tcPr>
          <w:p>
            <w:pPr>
              <w:pStyle w:val="94"/>
            </w:pPr>
            <w:r>
              <w:t>XX：A%；</w:t>
            </w:r>
          </w:p>
          <w:p>
            <w:pPr>
              <w:pStyle w:val="94"/>
            </w:pPr>
            <w:r>
              <w:t>YY：B%；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法定代表人</w:t>
            </w:r>
          </w:p>
        </w:tc>
        <w:tc>
          <w:tcPr>
            <w:tcW w:w="1124" w:type="dxa"/>
            <w:noWrap w:val="0"/>
            <w:vAlign w:val="center"/>
          </w:tcPr>
          <w:p>
            <w:pPr>
              <w:pStyle w:val="94"/>
            </w:pPr>
            <w:r>
              <w:t>姓名</w:t>
            </w:r>
          </w:p>
        </w:tc>
        <w:tc>
          <w:tcPr>
            <w:tcW w:w="1124" w:type="dxa"/>
            <w:noWrap w:val="0"/>
            <w:vAlign w:val="center"/>
          </w:tcPr>
          <w:p>
            <w:pPr>
              <w:pStyle w:val="94"/>
            </w:pPr>
          </w:p>
        </w:tc>
        <w:tc>
          <w:tcPr>
            <w:tcW w:w="1310" w:type="dxa"/>
            <w:gridSpan w:val="2"/>
            <w:noWrap w:val="0"/>
            <w:vAlign w:val="center"/>
          </w:tcPr>
          <w:p>
            <w:pPr>
              <w:pStyle w:val="94"/>
            </w:pPr>
            <w:r>
              <w:t>技术职称</w:t>
            </w:r>
          </w:p>
        </w:tc>
        <w:tc>
          <w:tcPr>
            <w:tcW w:w="1538" w:type="dxa"/>
            <w:gridSpan w:val="3"/>
            <w:noWrap w:val="0"/>
            <w:vAlign w:val="center"/>
          </w:tcPr>
          <w:p>
            <w:pPr>
              <w:pStyle w:val="94"/>
            </w:pPr>
          </w:p>
        </w:tc>
        <w:tc>
          <w:tcPr>
            <w:tcW w:w="1082" w:type="dxa"/>
            <w:gridSpan w:val="2"/>
            <w:noWrap w:val="0"/>
            <w:vAlign w:val="center"/>
          </w:tcPr>
          <w:p>
            <w:pPr>
              <w:pStyle w:val="94"/>
            </w:pPr>
            <w:r>
              <w:t>电话</w:t>
            </w:r>
          </w:p>
        </w:tc>
        <w:tc>
          <w:tcPr>
            <w:tcW w:w="899" w:type="dxa"/>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技术负责人</w:t>
            </w:r>
          </w:p>
        </w:tc>
        <w:tc>
          <w:tcPr>
            <w:tcW w:w="1124" w:type="dxa"/>
            <w:noWrap w:val="0"/>
            <w:vAlign w:val="center"/>
          </w:tcPr>
          <w:p>
            <w:pPr>
              <w:pStyle w:val="94"/>
            </w:pPr>
            <w:r>
              <w:t>姓名</w:t>
            </w:r>
          </w:p>
        </w:tc>
        <w:tc>
          <w:tcPr>
            <w:tcW w:w="1124" w:type="dxa"/>
            <w:noWrap w:val="0"/>
            <w:vAlign w:val="center"/>
          </w:tcPr>
          <w:p>
            <w:pPr>
              <w:pStyle w:val="94"/>
            </w:pPr>
          </w:p>
        </w:tc>
        <w:tc>
          <w:tcPr>
            <w:tcW w:w="1310" w:type="dxa"/>
            <w:gridSpan w:val="2"/>
            <w:noWrap w:val="0"/>
            <w:vAlign w:val="center"/>
          </w:tcPr>
          <w:p>
            <w:pPr>
              <w:pStyle w:val="94"/>
            </w:pPr>
            <w:r>
              <w:t>技术职称</w:t>
            </w:r>
          </w:p>
        </w:tc>
        <w:tc>
          <w:tcPr>
            <w:tcW w:w="1538" w:type="dxa"/>
            <w:gridSpan w:val="3"/>
            <w:noWrap w:val="0"/>
            <w:vAlign w:val="center"/>
          </w:tcPr>
          <w:p>
            <w:pPr>
              <w:pStyle w:val="94"/>
            </w:pPr>
          </w:p>
        </w:tc>
        <w:tc>
          <w:tcPr>
            <w:tcW w:w="1082" w:type="dxa"/>
            <w:gridSpan w:val="2"/>
            <w:noWrap w:val="0"/>
            <w:vAlign w:val="center"/>
          </w:tcPr>
          <w:p>
            <w:pPr>
              <w:pStyle w:val="94"/>
            </w:pPr>
            <w:r>
              <w:t>电话</w:t>
            </w:r>
          </w:p>
        </w:tc>
        <w:tc>
          <w:tcPr>
            <w:tcW w:w="899" w:type="dxa"/>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成立时间</w:t>
            </w:r>
          </w:p>
        </w:tc>
        <w:tc>
          <w:tcPr>
            <w:tcW w:w="2248" w:type="dxa"/>
            <w:gridSpan w:val="2"/>
            <w:noWrap w:val="0"/>
            <w:vAlign w:val="center"/>
          </w:tcPr>
          <w:p>
            <w:pPr>
              <w:pStyle w:val="94"/>
            </w:pPr>
          </w:p>
        </w:tc>
        <w:tc>
          <w:tcPr>
            <w:tcW w:w="4829" w:type="dxa"/>
            <w:gridSpan w:val="8"/>
            <w:noWrap w:val="0"/>
            <w:vAlign w:val="center"/>
          </w:tcPr>
          <w:p>
            <w:pPr>
              <w:pStyle w:val="94"/>
            </w:pPr>
            <w: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企业资质等级</w:t>
            </w:r>
          </w:p>
        </w:tc>
        <w:tc>
          <w:tcPr>
            <w:tcW w:w="2248" w:type="dxa"/>
            <w:gridSpan w:val="2"/>
            <w:noWrap w:val="0"/>
            <w:vAlign w:val="center"/>
          </w:tcPr>
          <w:p>
            <w:pPr>
              <w:pStyle w:val="94"/>
            </w:pPr>
          </w:p>
        </w:tc>
        <w:tc>
          <w:tcPr>
            <w:tcW w:w="941" w:type="dxa"/>
            <w:vMerge w:val="restart"/>
            <w:noWrap w:val="0"/>
            <w:vAlign w:val="center"/>
          </w:tcPr>
          <w:p>
            <w:pPr>
              <w:pStyle w:val="94"/>
              <w:jc w:val="center"/>
            </w:pPr>
            <w:r>
              <w:t>其中</w:t>
            </w:r>
          </w:p>
        </w:tc>
        <w:tc>
          <w:tcPr>
            <w:tcW w:w="1936" w:type="dxa"/>
            <w:gridSpan w:val="5"/>
            <w:noWrap w:val="0"/>
            <w:vAlign w:val="center"/>
          </w:tcPr>
          <w:p>
            <w:pPr>
              <w:pStyle w:val="94"/>
            </w:pPr>
            <w:r>
              <w:t>项目经理</w:t>
            </w:r>
          </w:p>
        </w:tc>
        <w:tc>
          <w:tcPr>
            <w:tcW w:w="1952" w:type="dxa"/>
            <w:gridSpan w:val="2"/>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营业执照号</w:t>
            </w:r>
          </w:p>
        </w:tc>
        <w:tc>
          <w:tcPr>
            <w:tcW w:w="2248" w:type="dxa"/>
            <w:gridSpan w:val="2"/>
            <w:noWrap w:val="0"/>
            <w:vAlign w:val="center"/>
          </w:tcPr>
          <w:p>
            <w:pPr>
              <w:pStyle w:val="94"/>
            </w:pPr>
          </w:p>
        </w:tc>
        <w:tc>
          <w:tcPr>
            <w:tcW w:w="941" w:type="dxa"/>
            <w:vMerge w:val="continue"/>
            <w:noWrap w:val="0"/>
            <w:vAlign w:val="center"/>
          </w:tcPr>
          <w:p>
            <w:pPr>
              <w:pStyle w:val="94"/>
            </w:pPr>
          </w:p>
        </w:tc>
        <w:tc>
          <w:tcPr>
            <w:tcW w:w="1936" w:type="dxa"/>
            <w:gridSpan w:val="5"/>
            <w:noWrap w:val="0"/>
            <w:vAlign w:val="center"/>
          </w:tcPr>
          <w:p>
            <w:pPr>
              <w:pStyle w:val="94"/>
            </w:pPr>
            <w:r>
              <w:t>高级职称人员</w:t>
            </w:r>
          </w:p>
        </w:tc>
        <w:tc>
          <w:tcPr>
            <w:tcW w:w="1952" w:type="dxa"/>
            <w:gridSpan w:val="2"/>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注册资</w:t>
            </w:r>
            <w:r>
              <w:rPr>
                <w:rFonts w:hint="eastAsia"/>
              </w:rPr>
              <w:t>本</w:t>
            </w:r>
            <w:r>
              <w:t>金</w:t>
            </w:r>
          </w:p>
        </w:tc>
        <w:tc>
          <w:tcPr>
            <w:tcW w:w="2248" w:type="dxa"/>
            <w:gridSpan w:val="2"/>
            <w:noWrap w:val="0"/>
            <w:vAlign w:val="center"/>
          </w:tcPr>
          <w:p>
            <w:pPr>
              <w:pStyle w:val="94"/>
            </w:pPr>
          </w:p>
        </w:tc>
        <w:tc>
          <w:tcPr>
            <w:tcW w:w="941" w:type="dxa"/>
            <w:vMerge w:val="continue"/>
            <w:noWrap w:val="0"/>
            <w:vAlign w:val="center"/>
          </w:tcPr>
          <w:p>
            <w:pPr>
              <w:pStyle w:val="94"/>
            </w:pPr>
          </w:p>
        </w:tc>
        <w:tc>
          <w:tcPr>
            <w:tcW w:w="1936" w:type="dxa"/>
            <w:gridSpan w:val="5"/>
            <w:noWrap w:val="0"/>
            <w:vAlign w:val="center"/>
          </w:tcPr>
          <w:p>
            <w:pPr>
              <w:pStyle w:val="94"/>
            </w:pPr>
            <w:r>
              <w:t>中级职称人员</w:t>
            </w:r>
          </w:p>
        </w:tc>
        <w:tc>
          <w:tcPr>
            <w:tcW w:w="1952" w:type="dxa"/>
            <w:gridSpan w:val="2"/>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开户银行</w:t>
            </w:r>
          </w:p>
        </w:tc>
        <w:tc>
          <w:tcPr>
            <w:tcW w:w="2248" w:type="dxa"/>
            <w:gridSpan w:val="2"/>
            <w:noWrap w:val="0"/>
            <w:vAlign w:val="center"/>
          </w:tcPr>
          <w:p>
            <w:pPr>
              <w:pStyle w:val="94"/>
            </w:pPr>
          </w:p>
        </w:tc>
        <w:tc>
          <w:tcPr>
            <w:tcW w:w="941" w:type="dxa"/>
            <w:vMerge w:val="continue"/>
            <w:noWrap w:val="0"/>
            <w:vAlign w:val="center"/>
          </w:tcPr>
          <w:p>
            <w:pPr>
              <w:pStyle w:val="94"/>
            </w:pPr>
          </w:p>
        </w:tc>
        <w:tc>
          <w:tcPr>
            <w:tcW w:w="1936" w:type="dxa"/>
            <w:gridSpan w:val="5"/>
            <w:noWrap w:val="0"/>
            <w:vAlign w:val="center"/>
          </w:tcPr>
          <w:p>
            <w:pPr>
              <w:pStyle w:val="94"/>
            </w:pPr>
            <w:r>
              <w:t>初级职称人员</w:t>
            </w:r>
          </w:p>
        </w:tc>
        <w:tc>
          <w:tcPr>
            <w:tcW w:w="1952" w:type="dxa"/>
            <w:gridSpan w:val="2"/>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账号</w:t>
            </w:r>
          </w:p>
        </w:tc>
        <w:tc>
          <w:tcPr>
            <w:tcW w:w="2248" w:type="dxa"/>
            <w:gridSpan w:val="2"/>
            <w:noWrap w:val="0"/>
            <w:vAlign w:val="center"/>
          </w:tcPr>
          <w:p>
            <w:pPr>
              <w:pStyle w:val="94"/>
            </w:pPr>
          </w:p>
        </w:tc>
        <w:tc>
          <w:tcPr>
            <w:tcW w:w="941" w:type="dxa"/>
            <w:vMerge w:val="continue"/>
            <w:noWrap w:val="0"/>
            <w:vAlign w:val="center"/>
          </w:tcPr>
          <w:p>
            <w:pPr>
              <w:pStyle w:val="94"/>
            </w:pPr>
          </w:p>
        </w:tc>
        <w:tc>
          <w:tcPr>
            <w:tcW w:w="1936" w:type="dxa"/>
            <w:gridSpan w:val="5"/>
            <w:noWrap w:val="0"/>
            <w:vAlign w:val="center"/>
          </w:tcPr>
          <w:p>
            <w:pPr>
              <w:pStyle w:val="94"/>
            </w:pPr>
            <w:r>
              <w:t>技工</w:t>
            </w:r>
          </w:p>
        </w:tc>
        <w:tc>
          <w:tcPr>
            <w:tcW w:w="1952" w:type="dxa"/>
            <w:gridSpan w:val="2"/>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经营范围</w:t>
            </w:r>
          </w:p>
        </w:tc>
        <w:tc>
          <w:tcPr>
            <w:tcW w:w="7077" w:type="dxa"/>
            <w:gridSpan w:val="10"/>
            <w:noWrap w:val="0"/>
            <w:vAlign w:val="center"/>
          </w:tcPr>
          <w:p>
            <w:pPr>
              <w:pStyle w:val="94"/>
            </w:pPr>
          </w:p>
          <w:p>
            <w:pPr>
              <w:pStyle w:val="94"/>
            </w:pPr>
          </w:p>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rPr>
                <w:rFonts w:hint="eastAsia"/>
              </w:rPr>
              <w:t>类似业绩列表</w:t>
            </w:r>
          </w:p>
        </w:tc>
        <w:tc>
          <w:tcPr>
            <w:tcW w:w="7077" w:type="dxa"/>
            <w:gridSpan w:val="10"/>
            <w:noWrap w:val="0"/>
            <w:vAlign w:val="center"/>
          </w:tcPr>
          <w:p>
            <w:pPr>
              <w:pStyle w:val="94"/>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85" w:type="dxa"/>
            <w:noWrap w:val="0"/>
            <w:vAlign w:val="center"/>
          </w:tcPr>
          <w:p>
            <w:pPr>
              <w:pStyle w:val="94"/>
            </w:pPr>
            <w:r>
              <w:t>备注</w:t>
            </w:r>
          </w:p>
        </w:tc>
        <w:tc>
          <w:tcPr>
            <w:tcW w:w="7077" w:type="dxa"/>
            <w:gridSpan w:val="10"/>
            <w:noWrap w:val="0"/>
            <w:vAlign w:val="center"/>
          </w:tcPr>
          <w:p>
            <w:pPr>
              <w:pStyle w:val="94"/>
            </w:pPr>
          </w:p>
        </w:tc>
      </w:tr>
    </w:tbl>
    <w:p>
      <w:pPr>
        <w:ind w:firstLine="480"/>
        <w:rPr>
          <w:color w:val="000000"/>
          <w:highlight w:val="yellow"/>
        </w:rPr>
      </w:pPr>
      <w:r>
        <w:rPr>
          <w:rFonts w:cs="Arial"/>
          <w:color w:val="000000"/>
          <w:szCs w:val="21"/>
          <w:highlight w:val="yellow"/>
        </w:rPr>
        <w:t>后附企业法人营业执照副本、资质证书、安全生产许可证</w:t>
      </w:r>
      <w:r>
        <w:rPr>
          <w:rFonts w:hint="eastAsia" w:cs="Arial"/>
          <w:color w:val="000000"/>
          <w:szCs w:val="21"/>
          <w:highlight w:val="yellow"/>
        </w:rPr>
        <w:t>、类似业绩合同扫描件</w:t>
      </w:r>
      <w:r>
        <w:rPr>
          <w:rFonts w:cs="Arial"/>
          <w:color w:val="000000"/>
          <w:szCs w:val="21"/>
          <w:highlight w:val="yellow"/>
        </w:rPr>
        <w:t>等资料影印件。</w:t>
      </w:r>
    </w:p>
    <w:p>
      <w:pPr>
        <w:widowControl/>
        <w:tabs>
          <w:tab w:val="left" w:pos="3846"/>
          <w:tab w:val="left" w:pos="5376"/>
          <w:tab w:val="left" w:pos="7077"/>
          <w:tab w:val="left" w:pos="8636"/>
        </w:tabs>
        <w:ind w:firstLine="4815" w:firstLineChars="2398"/>
        <w:rPr>
          <w:rFonts w:cs="宋体"/>
          <w:b/>
          <w:color w:val="000000"/>
          <w:kern w:val="0"/>
          <w:sz w:val="20"/>
        </w:rPr>
      </w:pPr>
    </w:p>
    <w:p>
      <w:pPr>
        <w:widowControl/>
        <w:tabs>
          <w:tab w:val="left" w:pos="3846"/>
          <w:tab w:val="left" w:pos="5376"/>
          <w:tab w:val="left" w:pos="7077"/>
          <w:tab w:val="left" w:pos="8636"/>
        </w:tabs>
        <w:ind w:firstLine="4819" w:firstLineChars="2008"/>
        <w:rPr>
          <w:rFonts w:cs="宋体"/>
          <w:color w:val="000000"/>
          <w:kern w:val="0"/>
          <w:szCs w:val="24"/>
        </w:rPr>
      </w:pPr>
      <w:r>
        <w:rPr>
          <w:rFonts w:hint="eastAsia" w:cs="宋体"/>
          <w:color w:val="000000"/>
          <w:kern w:val="0"/>
          <w:szCs w:val="24"/>
        </w:rPr>
        <w:t>供应商全称：</w:t>
      </w:r>
      <w:r>
        <w:rPr>
          <w:rFonts w:hint="eastAsia" w:cs="宋体"/>
          <w:color w:val="000000"/>
          <w:kern w:val="0"/>
          <w:szCs w:val="24"/>
          <w:u w:val="single"/>
        </w:rPr>
        <w:t xml:space="preserve">      </w:t>
      </w:r>
      <w:r>
        <w:rPr>
          <w:rFonts w:hint="eastAsia" w:cs="Arial"/>
          <w:szCs w:val="21"/>
          <w:u w:val="single"/>
        </w:rPr>
        <w:t xml:space="preserve">（盖章） </w:t>
      </w:r>
      <w:r>
        <w:rPr>
          <w:rFonts w:hint="eastAsia" w:cs="宋体"/>
          <w:color w:val="000000"/>
          <w:kern w:val="0"/>
          <w:szCs w:val="24"/>
          <w:u w:val="single"/>
        </w:rPr>
        <w:t xml:space="preserve">       </w:t>
      </w:r>
    </w:p>
    <w:p>
      <w:pPr>
        <w:widowControl/>
        <w:tabs>
          <w:tab w:val="left" w:pos="3846"/>
          <w:tab w:val="left" w:pos="5376"/>
          <w:tab w:val="left" w:pos="7077"/>
          <w:tab w:val="left" w:pos="8636"/>
        </w:tabs>
        <w:ind w:firstLine="5755" w:firstLineChars="2398"/>
        <w:rPr>
          <w:rFonts w:cs="宋体"/>
          <w:color w:val="000000"/>
          <w:kern w:val="0"/>
          <w:szCs w:val="24"/>
        </w:rPr>
      </w:pPr>
    </w:p>
    <w:p>
      <w:pPr>
        <w:widowControl/>
        <w:tabs>
          <w:tab w:val="left" w:pos="3846"/>
          <w:tab w:val="left" w:pos="5376"/>
          <w:tab w:val="left" w:pos="7077"/>
          <w:tab w:val="left" w:pos="8636"/>
        </w:tabs>
        <w:ind w:firstLine="4819" w:firstLineChars="2008"/>
        <w:rPr>
          <w:rFonts w:cs="宋体"/>
          <w:b/>
          <w:color w:val="000000"/>
          <w:kern w:val="0"/>
          <w:sz w:val="22"/>
        </w:rPr>
      </w:pPr>
      <w:r>
        <w:rPr>
          <w:rFonts w:hint="eastAsia" w:cs="宋体"/>
          <w:color w:val="000000"/>
          <w:kern w:val="0"/>
          <w:szCs w:val="24"/>
        </w:rPr>
        <w:t>日     期：</w:t>
      </w:r>
      <w:r>
        <w:rPr>
          <w:rFonts w:hint="eastAsia" w:cs="宋体"/>
          <w:color w:val="000000"/>
          <w:kern w:val="0"/>
          <w:szCs w:val="24"/>
          <w:u w:val="single"/>
        </w:rPr>
        <w:t xml:space="preserve">                     </w:t>
      </w:r>
      <w:r>
        <w:rPr>
          <w:rFonts w:cs="宋体"/>
          <w:color w:val="000000"/>
          <w:kern w:val="0"/>
          <w:szCs w:val="24"/>
        </w:rPr>
        <w:tab/>
      </w:r>
      <w:r>
        <w:rPr>
          <w:rFonts w:cs="宋体"/>
          <w:b/>
          <w:color w:val="000000"/>
          <w:kern w:val="0"/>
          <w:sz w:val="22"/>
        </w:rPr>
        <w:tab/>
      </w:r>
      <w:r>
        <w:rPr>
          <w:rFonts w:cs="宋体"/>
          <w:b/>
          <w:color w:val="000000"/>
          <w:kern w:val="0"/>
          <w:sz w:val="22"/>
        </w:rPr>
        <w:tab/>
      </w:r>
      <w:r>
        <w:rPr>
          <w:rFonts w:cs="宋体"/>
          <w:b/>
          <w:color w:val="000000"/>
          <w:kern w:val="0"/>
          <w:sz w:val="22"/>
        </w:rPr>
        <w:tab/>
      </w:r>
    </w:p>
    <w:p>
      <w:pPr>
        <w:pStyle w:val="3"/>
        <w:spacing w:before="120"/>
      </w:pPr>
      <w:r>
        <w:rPr>
          <w:rFonts w:ascii="宋体" w:cs="宋体"/>
          <w:b/>
          <w:color w:val="000000"/>
          <w:sz w:val="22"/>
        </w:rPr>
        <w:br w:type="page"/>
      </w:r>
      <w:bookmarkStart w:id="123" w:name="_Toc527560965"/>
      <w:bookmarkStart w:id="124" w:name="_Toc1032394"/>
      <w:r>
        <w:rPr>
          <w:rFonts w:hint="eastAsia"/>
        </w:rPr>
        <w:t>四、技术部分</w:t>
      </w:r>
      <w:bookmarkEnd w:id="123"/>
      <w:bookmarkEnd w:id="124"/>
    </w:p>
    <w:p>
      <w:pPr>
        <w:ind w:firstLine="480"/>
        <w:rPr>
          <w:rFonts w:cs="宋体"/>
          <w:color w:val="000000"/>
          <w:kern w:val="0"/>
          <w:sz w:val="20"/>
        </w:rPr>
      </w:pPr>
      <w:r>
        <w:rPr>
          <w:rFonts w:hint="eastAsia"/>
        </w:rPr>
        <w:t>供应商根据采购需求自行编制，格式自拟。</w:t>
      </w:r>
    </w:p>
    <w:p>
      <w:pPr>
        <w:spacing w:line="360" w:lineRule="auto"/>
        <w:ind w:right="360" w:rightChars="150" w:firstLine="480"/>
        <w:jc w:val="center"/>
        <w:rPr>
          <w:rFonts w:hint="eastAsia" w:ascii="宋体" w:hAnsi="宋体" w:cs="Arial"/>
          <w:szCs w:val="24"/>
        </w:rPr>
      </w:pPr>
      <w:r>
        <w:rPr>
          <w:rFonts w:hint="eastAsia" w:ascii="宋体" w:hAnsi="宋体" w:cs="Arial"/>
          <w:szCs w:val="24"/>
        </w:rPr>
        <w:t>1、请认真阅读采购文件及相关附件，必须按文件要求上传加盖公章的响应文件，响应文件报价为含税总价（报价单位为元）。2、由于供应商原因导致采购失败的，将纳入供应商考核：如发现参与报价供应商之间有关联关系或其他违规行为的，将废止本次采购，并按集团相关办法对供应商进行评价考核，实施处罚；如出现“IP地址相同”等特别严重不良行为的，将供应商列入黑名单，并且五年之内不得参与我院及院属公司的所有采购业务。</w:t>
      </w:r>
    </w:p>
    <w:p>
      <w:pPr>
        <w:spacing w:line="360" w:lineRule="auto"/>
        <w:ind w:right="360" w:rightChars="150" w:firstLine="480"/>
        <w:jc w:val="both"/>
        <w:rPr>
          <w:rFonts w:hint="eastAsia" w:ascii="宋体" w:hAnsi="宋体" w:cs="Arial"/>
          <w:szCs w:val="24"/>
        </w:rPr>
      </w:pPr>
      <w:r>
        <w:rPr>
          <w:rFonts w:hint="eastAsia" w:ascii="微软雅黑" w:hAnsi="微软雅黑" w:eastAsia="微软雅黑" w:cs="微软雅黑"/>
          <w:i w:val="0"/>
          <w:caps w:val="0"/>
          <w:color w:val="333333"/>
          <w:spacing w:val="0"/>
          <w:sz w:val="12"/>
          <w:szCs w:val="12"/>
          <w:shd w:val="clear" w:fill="FFFFFF"/>
        </w:rPr>
        <w:t>本次电缆采购包含控制电缆，补偿电缆，总屏计算机电缆，总屏加分屏计算机电缆，热缩管及电源电缆。</w:t>
      </w:r>
      <w:bookmarkStart w:id="125" w:name="_GoBack"/>
      <w:bookmarkEnd w:id="125"/>
    </w:p>
    <w:sectPr>
      <w:headerReference r:id="rId15" w:type="first"/>
      <w:headerReference r:id="rId13" w:type="default"/>
      <w:footerReference r:id="rId16" w:type="default"/>
      <w:headerReference r:id="rId14" w:type="even"/>
      <w:pgSz w:w="11907" w:h="16839"/>
      <w:pgMar w:top="1797" w:right="1440" w:bottom="1797" w:left="1440" w:header="1135" w:footer="992"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Century Gothic">
    <w:altName w:val="Yu Gothic UI"/>
    <w:panose1 w:val="020B0502020202020204"/>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T64E9BFA0tCID-WinCharSetFFFF-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lang w:val="zh-CN"/>
      </w:rPr>
      <w:t>4</w:t>
    </w:r>
    <w:r>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pPr>
    <w:r>
      <w:fldChar w:fldCharType="begin"/>
    </w:r>
    <w:r>
      <w:rPr>
        <w:rStyle w:val="48"/>
      </w:rPr>
      <w:instrText xml:space="preserve"> PAGE </w:instrText>
    </w:r>
    <w:r>
      <w:fldChar w:fldCharType="separate"/>
    </w:r>
    <w:r>
      <w:rPr>
        <w:rStyle w:val="48"/>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jc w:val="center"/>
    </w:pPr>
    <w:r>
      <w:fldChar w:fldCharType="begin"/>
    </w:r>
    <w:r>
      <w:rPr>
        <w:rStyle w:val="48"/>
      </w:rPr>
      <w:instrText xml:space="preserve"> PAGE </w:instrText>
    </w:r>
    <w:r>
      <w:fldChar w:fldCharType="separate"/>
    </w:r>
    <w:r>
      <w:rPr>
        <w:rStyle w:val="48"/>
        <w:lang w:val="zh-CN"/>
      </w:rPr>
      <w:t>41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0" w:firstLineChars="0"/>
      <w:jc w:val="left"/>
      <w:rPr>
        <w:rFonts w:ascii="宋体" w:hAnsi="宋体"/>
        <w:szCs w:val="18"/>
      </w:rPr>
    </w:pPr>
    <w:r>
      <w:rPr>
        <w:rFonts w:hint="eastAsia"/>
        <w:szCs w:val="18"/>
      </w:rPr>
      <w:t>西安热工研究院有限公司</w:t>
    </w:r>
    <w:r>
      <w:rPr>
        <w:rFonts w:hint="eastAsia" w:ascii="宋体" w:hAnsi="宋体"/>
        <w:szCs w:val="18"/>
        <w:lang w:val="zh-CN"/>
      </w:rPr>
      <w:t>简明</w:t>
    </w:r>
    <w:r>
      <w:rPr>
        <w:rFonts w:hint="eastAsia" w:ascii="宋体" w:hAnsi="宋体"/>
        <w:szCs w:val="18"/>
      </w:rPr>
      <w:t>标准询价采购文件</w:t>
    </w:r>
  </w:p>
  <w:p>
    <w:r>
      <w:pict>
        <v:shape id="_x0000_s4098" o:spid="_x0000_s4098" o:spt="136" type="#_x0000_t136" style="position:absolute;left:0pt;height:36pt;width:324pt;mso-position-horizontal:center;mso-position-horizontal-relative:page;mso-position-vertical:center;mso-position-vertical-relative:page;rotation:-2621440f;z-index:251659264;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p>
    <w:r>
      <w:pict>
        <v:shape id="_x0000_s4099" o:spid="_x0000_s4099" o:spt="136" type="#_x0000_t136" style="position:absolute;left:0pt;height:36pt;width:324pt;mso-position-horizontal:center;mso-position-horizontal-relative:page;mso-position-vertical:center;mso-position-vertical-relative:page;rotation:-2621440f;z-index:251660288;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ind w:firstLine="360"/>
    </w:pPr>
  </w:p>
  <w:p>
    <w:r>
      <w:pict>
        <v:shape id="_x0000_s4097" o:spid="_x0000_s4097" o:spt="136" type="#_x0000_t136" style="position:absolute;left:0pt;height:36pt;width:324pt;mso-position-horizontal:center;mso-position-horizontal-relative:page;mso-position-vertical:center;mso-position-vertical-relative:page;rotation:-2621440f;z-index:251658240;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1" o:spid="_x0000_s4101" o:spt="136" type="#_x0000_t136" style="position:absolute;left:0pt;height:36pt;width:324pt;mso-position-horizontal:center;mso-position-horizontal-relative:page;mso-position-vertical:center;mso-position-vertical-relative:page;rotation:-2621440f;z-index:251661312;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2" o:spid="_x0000_s4102" o:spt="136" type="#_x0000_t136" style="position:absolute;left:0pt;height:36pt;width:324pt;mso-position-horizontal:center;mso-position-horizontal-relative:page;mso-position-vertical:center;mso-position-vertical-relative:page;rotation:-2621440f;z-index:251663360;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0" o:spid="_x0000_s4100" o:spt="136" type="#_x0000_t136" style="position:absolute;left:0pt;height:36pt;width:324pt;mso-position-horizontal:center;mso-position-horizontal-relative:page;mso-position-vertical:center;mso-position-vertical-relative:page;rotation:-2621440f;z-index:251662336;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4" o:spid="_x0000_s4104" o:spt="136" type="#_x0000_t136" style="position:absolute;left:0pt;height:36pt;width:324pt;mso-position-horizontal:center;mso-position-horizontal-relative:page;mso-position-vertical:center;mso-position-vertical-relative:page;rotation:-2621440f;z-index:251664384;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5" o:spid="_x0000_s4105" o:spt="136" type="#_x0000_t136" style="position:absolute;left:0pt;height:36pt;width:324pt;mso-position-horizontal:center;mso-position-horizontal-relative:page;mso-position-vertical:center;mso-position-vertical-relative:page;rotation:-2621440f;z-index:251666432;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4103" o:spid="_x0000_s4103" o:spt="136" type="#_x0000_t136" style="position:absolute;left:0pt;height:36pt;width:324pt;mso-position-horizontal:center;mso-position-horizontal-relative:page;mso-position-vertical:center;mso-position-vertical-relative:page;rotation:-2621440f;z-index:251665408;mso-width-relative:page;mso-height-relative:page;" fillcolor="#000000" filled="t" stroked="f" coordsize="21600,21600">
          <v:path/>
          <v:fill on="t" opacity="15420f" focussize="0,0"/>
          <v:stroke on="f"/>
          <v:imagedata o:title=""/>
          <o:lock v:ext="edit"/>
          <v:textpath on="t" fitshape="t" fitpath="t" trim="f" xscale="f" string="202100335"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F8B"/>
    <w:multiLevelType w:val="multilevel"/>
    <w:tmpl w:val="00590F8B"/>
    <w:lvl w:ilvl="0" w:tentative="0">
      <w:start w:val="1"/>
      <w:numFmt w:val="decimal"/>
      <w:lvlText w:val="4.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20E793D"/>
    <w:multiLevelType w:val="multilevel"/>
    <w:tmpl w:val="020E793D"/>
    <w:lvl w:ilvl="0" w:tentative="0">
      <w:start w:val="1"/>
      <w:numFmt w:val="decimal"/>
      <w:lvlText w:val="1.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782521"/>
    <w:multiLevelType w:val="multilevel"/>
    <w:tmpl w:val="04782521"/>
    <w:lvl w:ilvl="0" w:tentative="0">
      <w:start w:val="1"/>
      <w:numFmt w:val="japaneseCounting"/>
      <w:lvlText w:val="%1、"/>
      <w:lvlJc w:val="left"/>
      <w:pPr>
        <w:ind w:left="504" w:hanging="504"/>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pStyle w:val="76"/>
      <w:lvlText w:val="%3."/>
      <w:lvlJc w:val="right"/>
      <w:pPr>
        <w:ind w:left="1260" w:hanging="420"/>
      </w:pPr>
      <w:rPr>
        <w:rFonts w:cs="Times New Roman"/>
      </w:rPr>
    </w:lvl>
    <w:lvl w:ilvl="3" w:tentative="0">
      <w:start w:val="1"/>
      <w:numFmt w:val="decimal"/>
      <w:pStyle w:val="95"/>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08B951AC"/>
    <w:multiLevelType w:val="multilevel"/>
    <w:tmpl w:val="08B951AC"/>
    <w:lvl w:ilvl="0" w:tentative="0">
      <w:start w:val="1"/>
      <w:numFmt w:val="decimal"/>
      <w:lvlText w:val="5.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AC50235"/>
    <w:multiLevelType w:val="multilevel"/>
    <w:tmpl w:val="2AC50235"/>
    <w:lvl w:ilvl="0" w:tentative="0">
      <w:start w:val="1"/>
      <w:numFmt w:val="decimal"/>
      <w:lvlText w:val="1.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A933CC"/>
    <w:multiLevelType w:val="multilevel"/>
    <w:tmpl w:val="2EA933CC"/>
    <w:lvl w:ilvl="0" w:tentative="0">
      <w:start w:val="1"/>
      <w:numFmt w:val="decimal"/>
      <w:lvlText w:val="5.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4B4395"/>
    <w:multiLevelType w:val="multilevel"/>
    <w:tmpl w:val="444B439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6"/>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C98037D"/>
    <w:multiLevelType w:val="multilevel"/>
    <w:tmpl w:val="5C98037D"/>
    <w:lvl w:ilvl="0" w:tentative="0">
      <w:start w:val="1"/>
      <w:numFmt w:val="decimal"/>
      <w:lvlText w:val="1.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CE20DC9"/>
    <w:multiLevelType w:val="multilevel"/>
    <w:tmpl w:val="5CE20DC9"/>
    <w:lvl w:ilvl="0" w:tentative="0">
      <w:start w:val="1"/>
      <w:numFmt w:val="decimal"/>
      <w:lvlText w:val="1.3.1.%1"/>
      <w:lvlJc w:val="left"/>
      <w:pPr>
        <w:ind w:left="127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EA64895"/>
    <w:multiLevelType w:val="multilevel"/>
    <w:tmpl w:val="5EA64895"/>
    <w:lvl w:ilvl="0" w:tentative="0">
      <w:start w:val="1"/>
      <w:numFmt w:val="decimal"/>
      <w:lvlText w:val="（%1）"/>
      <w:lvlJc w:val="left"/>
      <w:pPr>
        <w:ind w:left="420" w:hanging="420"/>
      </w:pPr>
      <w:rPr>
        <w:rFonts w:ascii="Times New Roman" w:hAnsi="Times New Roman" w:eastAsia="宋体" w:cs="Times New Roman"/>
        <w:b w:val="0"/>
      </w:rPr>
    </w:lvl>
    <w:lvl w:ilvl="1" w:tentative="0">
      <w:start w:val="1"/>
      <w:numFmt w:val="lowerLetter"/>
      <w:pStyle w:val="81"/>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66952BBF"/>
    <w:multiLevelType w:val="multilevel"/>
    <w:tmpl w:val="66952BBF"/>
    <w:lvl w:ilvl="0" w:tentative="0">
      <w:start w:val="1"/>
      <w:numFmt w:val="decimal"/>
      <w:lvlText w:val="1.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D65F86"/>
    <w:multiLevelType w:val="multilevel"/>
    <w:tmpl w:val="66D65F86"/>
    <w:lvl w:ilvl="0" w:tentative="0">
      <w:start w:val="1"/>
      <w:numFmt w:val="decimal"/>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3B54121"/>
    <w:multiLevelType w:val="multilevel"/>
    <w:tmpl w:val="73B54121"/>
    <w:lvl w:ilvl="0" w:tentative="0">
      <w:start w:val="1"/>
      <w:numFmt w:val="decimal"/>
      <w:lvlText w:val="4.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D35E2D"/>
    <w:multiLevelType w:val="multilevel"/>
    <w:tmpl w:val="79D35E2D"/>
    <w:lvl w:ilvl="0" w:tentative="0">
      <w:start w:val="1"/>
      <w:numFmt w:val="decimal"/>
      <w:lvlText w:val="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9"/>
  </w:num>
  <w:num w:numId="4">
    <w:abstractNumId w:val="11"/>
  </w:num>
  <w:num w:numId="5">
    <w:abstractNumId w:val="4"/>
  </w:num>
  <w:num w:numId="6">
    <w:abstractNumId w:val="1"/>
  </w:num>
  <w:num w:numId="7">
    <w:abstractNumId w:val="8"/>
  </w:num>
  <w:num w:numId="8">
    <w:abstractNumId w:val="7"/>
  </w:num>
  <w:num w:numId="9">
    <w:abstractNumId w:val="10"/>
  </w:num>
  <w:num w:numId="10">
    <w:abstractNumId w:val="13"/>
  </w:num>
  <w:num w:numId="11">
    <w:abstractNumId w:val="0"/>
  </w:num>
  <w:num w:numId="12">
    <w:abstractNumId w:val="12"/>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封面(内部).doc"/>
    <w:docVar w:name="VTBOLDON" w:val="0"/>
    <w:docVar w:name="VTCASE" w:val="4"/>
    <w:docVar w:name="VTCommandPending" w:val="NONE"/>
    <w:docVar w:name="VTCurMacroFlags$" w:val="NNNN"/>
    <w:docVar w:name="VTINIT" w:val="1"/>
    <w:docVar w:name="VTITALICON" w:val="0"/>
    <w:docVar w:name="VTUNDERLINEON" w:val="0"/>
    <w:docVar w:name="VTypeCAPFlag$" w:val="FALSE"/>
    <w:docVar w:name="VTypeJoinDigitFlag$" w:val="FALSE"/>
    <w:docVar w:name="VTypeLCFlag$" w:val="FALSE"/>
    <w:docVar w:name="VTypeNoSpaceFlag$" w:val="TRUE"/>
    <w:docVar w:name="VTypeSpaceFlag$" w:val="FALSE"/>
    <w:docVar w:name="VTypeUCFlag$" w:val="FALSE"/>
  </w:docVars>
  <w:rsids>
    <w:rsidRoot w:val="00172A27"/>
    <w:rsid w:val="000021B9"/>
    <w:rsid w:val="00003571"/>
    <w:rsid w:val="000047B8"/>
    <w:rsid w:val="000108F2"/>
    <w:rsid w:val="000125E2"/>
    <w:rsid w:val="00013C22"/>
    <w:rsid w:val="0001422E"/>
    <w:rsid w:val="00014A9B"/>
    <w:rsid w:val="00014D41"/>
    <w:rsid w:val="00016C62"/>
    <w:rsid w:val="0001707A"/>
    <w:rsid w:val="00022477"/>
    <w:rsid w:val="00022596"/>
    <w:rsid w:val="0002296E"/>
    <w:rsid w:val="00025507"/>
    <w:rsid w:val="00026363"/>
    <w:rsid w:val="000313DF"/>
    <w:rsid w:val="000313FE"/>
    <w:rsid w:val="00031B08"/>
    <w:rsid w:val="00031CB2"/>
    <w:rsid w:val="00033390"/>
    <w:rsid w:val="0003497E"/>
    <w:rsid w:val="0003497F"/>
    <w:rsid w:val="00036802"/>
    <w:rsid w:val="0003692C"/>
    <w:rsid w:val="00041363"/>
    <w:rsid w:val="00041A97"/>
    <w:rsid w:val="00042DBE"/>
    <w:rsid w:val="0004712B"/>
    <w:rsid w:val="00051291"/>
    <w:rsid w:val="00051D29"/>
    <w:rsid w:val="00053234"/>
    <w:rsid w:val="00054490"/>
    <w:rsid w:val="000544D3"/>
    <w:rsid w:val="00056707"/>
    <w:rsid w:val="00060488"/>
    <w:rsid w:val="00065FEF"/>
    <w:rsid w:val="00071028"/>
    <w:rsid w:val="0007754E"/>
    <w:rsid w:val="0008057D"/>
    <w:rsid w:val="00081252"/>
    <w:rsid w:val="0008251F"/>
    <w:rsid w:val="000830F3"/>
    <w:rsid w:val="00083780"/>
    <w:rsid w:val="000921B9"/>
    <w:rsid w:val="0009338C"/>
    <w:rsid w:val="00093726"/>
    <w:rsid w:val="00093728"/>
    <w:rsid w:val="00095FEE"/>
    <w:rsid w:val="00096F03"/>
    <w:rsid w:val="000A0036"/>
    <w:rsid w:val="000A77B4"/>
    <w:rsid w:val="000B1CE0"/>
    <w:rsid w:val="000B2B09"/>
    <w:rsid w:val="000B365A"/>
    <w:rsid w:val="000B4E3B"/>
    <w:rsid w:val="000B4F8E"/>
    <w:rsid w:val="000B5D7E"/>
    <w:rsid w:val="000B681A"/>
    <w:rsid w:val="000B6E31"/>
    <w:rsid w:val="000B7877"/>
    <w:rsid w:val="000C1918"/>
    <w:rsid w:val="000C2C38"/>
    <w:rsid w:val="000C447A"/>
    <w:rsid w:val="000C4679"/>
    <w:rsid w:val="000C4A6B"/>
    <w:rsid w:val="000C4F4D"/>
    <w:rsid w:val="000C6186"/>
    <w:rsid w:val="000D0598"/>
    <w:rsid w:val="000D25EA"/>
    <w:rsid w:val="000D2EC6"/>
    <w:rsid w:val="000D5618"/>
    <w:rsid w:val="000D6D94"/>
    <w:rsid w:val="000E4CAC"/>
    <w:rsid w:val="000E5E6D"/>
    <w:rsid w:val="000E70DF"/>
    <w:rsid w:val="000E78F2"/>
    <w:rsid w:val="000E7F0A"/>
    <w:rsid w:val="000F05D2"/>
    <w:rsid w:val="000F2551"/>
    <w:rsid w:val="000F2F1F"/>
    <w:rsid w:val="000F5D86"/>
    <w:rsid w:val="00100D3A"/>
    <w:rsid w:val="00103C02"/>
    <w:rsid w:val="001102A5"/>
    <w:rsid w:val="00110DD3"/>
    <w:rsid w:val="00114528"/>
    <w:rsid w:val="00115C38"/>
    <w:rsid w:val="001164E5"/>
    <w:rsid w:val="001174EE"/>
    <w:rsid w:val="00117AFE"/>
    <w:rsid w:val="0012003A"/>
    <w:rsid w:val="0012180F"/>
    <w:rsid w:val="00122555"/>
    <w:rsid w:val="00123794"/>
    <w:rsid w:val="0012494A"/>
    <w:rsid w:val="0012551E"/>
    <w:rsid w:val="00125532"/>
    <w:rsid w:val="001258D7"/>
    <w:rsid w:val="00125C65"/>
    <w:rsid w:val="00125E16"/>
    <w:rsid w:val="00127C49"/>
    <w:rsid w:val="001369F2"/>
    <w:rsid w:val="00136B17"/>
    <w:rsid w:val="00141AAC"/>
    <w:rsid w:val="001459EF"/>
    <w:rsid w:val="00154090"/>
    <w:rsid w:val="001619FD"/>
    <w:rsid w:val="00162292"/>
    <w:rsid w:val="00166B07"/>
    <w:rsid w:val="00167EDF"/>
    <w:rsid w:val="00170667"/>
    <w:rsid w:val="001706BB"/>
    <w:rsid w:val="001715F2"/>
    <w:rsid w:val="00172A27"/>
    <w:rsid w:val="00172DF8"/>
    <w:rsid w:val="0018203D"/>
    <w:rsid w:val="0018285C"/>
    <w:rsid w:val="00182C43"/>
    <w:rsid w:val="00186477"/>
    <w:rsid w:val="00193505"/>
    <w:rsid w:val="00194B3F"/>
    <w:rsid w:val="0019565D"/>
    <w:rsid w:val="001A08A7"/>
    <w:rsid w:val="001A0DBF"/>
    <w:rsid w:val="001A49BA"/>
    <w:rsid w:val="001A55C0"/>
    <w:rsid w:val="001A5D87"/>
    <w:rsid w:val="001A5FD7"/>
    <w:rsid w:val="001A7404"/>
    <w:rsid w:val="001B12B4"/>
    <w:rsid w:val="001B1EE0"/>
    <w:rsid w:val="001B422E"/>
    <w:rsid w:val="001B47BE"/>
    <w:rsid w:val="001B57E4"/>
    <w:rsid w:val="001B67DE"/>
    <w:rsid w:val="001C0492"/>
    <w:rsid w:val="001C14CF"/>
    <w:rsid w:val="001C299F"/>
    <w:rsid w:val="001C6006"/>
    <w:rsid w:val="001C6391"/>
    <w:rsid w:val="001D2221"/>
    <w:rsid w:val="001D35F1"/>
    <w:rsid w:val="001D3E90"/>
    <w:rsid w:val="001D3E97"/>
    <w:rsid w:val="001D4053"/>
    <w:rsid w:val="001D6523"/>
    <w:rsid w:val="001E286B"/>
    <w:rsid w:val="001E2DB4"/>
    <w:rsid w:val="001E2E83"/>
    <w:rsid w:val="001E4C55"/>
    <w:rsid w:val="001E674A"/>
    <w:rsid w:val="001F19B9"/>
    <w:rsid w:val="001F4BAE"/>
    <w:rsid w:val="00200C02"/>
    <w:rsid w:val="002012C9"/>
    <w:rsid w:val="0020199A"/>
    <w:rsid w:val="00204B94"/>
    <w:rsid w:val="00205341"/>
    <w:rsid w:val="00207C0F"/>
    <w:rsid w:val="00210B44"/>
    <w:rsid w:val="00212FF2"/>
    <w:rsid w:val="0021516B"/>
    <w:rsid w:val="00215EA4"/>
    <w:rsid w:val="002206D1"/>
    <w:rsid w:val="00221107"/>
    <w:rsid w:val="002212CE"/>
    <w:rsid w:val="002214CF"/>
    <w:rsid w:val="00222CC9"/>
    <w:rsid w:val="00222DB1"/>
    <w:rsid w:val="00225C9F"/>
    <w:rsid w:val="00225DC9"/>
    <w:rsid w:val="002264D2"/>
    <w:rsid w:val="00226888"/>
    <w:rsid w:val="0022783A"/>
    <w:rsid w:val="0023068F"/>
    <w:rsid w:val="00232EA3"/>
    <w:rsid w:val="002338C9"/>
    <w:rsid w:val="00233FAE"/>
    <w:rsid w:val="002375CE"/>
    <w:rsid w:val="002379E2"/>
    <w:rsid w:val="00240482"/>
    <w:rsid w:val="00241CD3"/>
    <w:rsid w:val="00243337"/>
    <w:rsid w:val="00247395"/>
    <w:rsid w:val="00247C74"/>
    <w:rsid w:val="002518D3"/>
    <w:rsid w:val="00251ECE"/>
    <w:rsid w:val="002526F2"/>
    <w:rsid w:val="00254633"/>
    <w:rsid w:val="00255B1F"/>
    <w:rsid w:val="00262ACD"/>
    <w:rsid w:val="002634DE"/>
    <w:rsid w:val="00270BD1"/>
    <w:rsid w:val="00272535"/>
    <w:rsid w:val="00275F81"/>
    <w:rsid w:val="00277BDB"/>
    <w:rsid w:val="00281AEB"/>
    <w:rsid w:val="00281DC0"/>
    <w:rsid w:val="00283657"/>
    <w:rsid w:val="00284DEF"/>
    <w:rsid w:val="00290DB3"/>
    <w:rsid w:val="00293035"/>
    <w:rsid w:val="00296A81"/>
    <w:rsid w:val="002A0CED"/>
    <w:rsid w:val="002A2768"/>
    <w:rsid w:val="002A2D55"/>
    <w:rsid w:val="002A6639"/>
    <w:rsid w:val="002A7F39"/>
    <w:rsid w:val="002B0D0C"/>
    <w:rsid w:val="002B57AB"/>
    <w:rsid w:val="002B65D6"/>
    <w:rsid w:val="002C1AC2"/>
    <w:rsid w:val="002C4E1F"/>
    <w:rsid w:val="002C76EA"/>
    <w:rsid w:val="002C7E11"/>
    <w:rsid w:val="002D0088"/>
    <w:rsid w:val="002D0636"/>
    <w:rsid w:val="002D0936"/>
    <w:rsid w:val="002D0C07"/>
    <w:rsid w:val="002D2539"/>
    <w:rsid w:val="002D30CB"/>
    <w:rsid w:val="002D48D5"/>
    <w:rsid w:val="002D5CDB"/>
    <w:rsid w:val="002D7179"/>
    <w:rsid w:val="002D7DB8"/>
    <w:rsid w:val="002E12CE"/>
    <w:rsid w:val="002E19C4"/>
    <w:rsid w:val="002E2743"/>
    <w:rsid w:val="002E31F0"/>
    <w:rsid w:val="002E4D99"/>
    <w:rsid w:val="002E56C8"/>
    <w:rsid w:val="002F090E"/>
    <w:rsid w:val="002F0EC2"/>
    <w:rsid w:val="002F1E2C"/>
    <w:rsid w:val="002F1E44"/>
    <w:rsid w:val="002F3200"/>
    <w:rsid w:val="002F497E"/>
    <w:rsid w:val="002F4B50"/>
    <w:rsid w:val="002F705A"/>
    <w:rsid w:val="002F70C9"/>
    <w:rsid w:val="00302E29"/>
    <w:rsid w:val="00303D65"/>
    <w:rsid w:val="00303EB2"/>
    <w:rsid w:val="00304F4E"/>
    <w:rsid w:val="003067CB"/>
    <w:rsid w:val="003117CC"/>
    <w:rsid w:val="00312714"/>
    <w:rsid w:val="00314672"/>
    <w:rsid w:val="0031598B"/>
    <w:rsid w:val="00316DCD"/>
    <w:rsid w:val="00316E0C"/>
    <w:rsid w:val="00317B1A"/>
    <w:rsid w:val="00317E72"/>
    <w:rsid w:val="0032024F"/>
    <w:rsid w:val="00320B62"/>
    <w:rsid w:val="003224E2"/>
    <w:rsid w:val="00327667"/>
    <w:rsid w:val="00330EA4"/>
    <w:rsid w:val="00331046"/>
    <w:rsid w:val="003318AD"/>
    <w:rsid w:val="00333519"/>
    <w:rsid w:val="0033648E"/>
    <w:rsid w:val="003374D6"/>
    <w:rsid w:val="0034023A"/>
    <w:rsid w:val="0034159D"/>
    <w:rsid w:val="00343846"/>
    <w:rsid w:val="00343C27"/>
    <w:rsid w:val="00344496"/>
    <w:rsid w:val="003465C2"/>
    <w:rsid w:val="0035003C"/>
    <w:rsid w:val="00350E3A"/>
    <w:rsid w:val="00354C68"/>
    <w:rsid w:val="00355E43"/>
    <w:rsid w:val="003616A2"/>
    <w:rsid w:val="003637B2"/>
    <w:rsid w:val="00364DCA"/>
    <w:rsid w:val="00365AA6"/>
    <w:rsid w:val="003701DC"/>
    <w:rsid w:val="00371A7C"/>
    <w:rsid w:val="0037346F"/>
    <w:rsid w:val="003736F7"/>
    <w:rsid w:val="00374F15"/>
    <w:rsid w:val="00375E19"/>
    <w:rsid w:val="00381036"/>
    <w:rsid w:val="003810AE"/>
    <w:rsid w:val="0038118A"/>
    <w:rsid w:val="00382F12"/>
    <w:rsid w:val="003832CE"/>
    <w:rsid w:val="00386686"/>
    <w:rsid w:val="00387265"/>
    <w:rsid w:val="00387FAE"/>
    <w:rsid w:val="00390547"/>
    <w:rsid w:val="00391199"/>
    <w:rsid w:val="00391588"/>
    <w:rsid w:val="003925D2"/>
    <w:rsid w:val="0039620A"/>
    <w:rsid w:val="003968ED"/>
    <w:rsid w:val="003977BF"/>
    <w:rsid w:val="003B336A"/>
    <w:rsid w:val="003B38EA"/>
    <w:rsid w:val="003B66EC"/>
    <w:rsid w:val="003C0498"/>
    <w:rsid w:val="003C3139"/>
    <w:rsid w:val="003C3426"/>
    <w:rsid w:val="003C77E4"/>
    <w:rsid w:val="003C7A80"/>
    <w:rsid w:val="003C7E9B"/>
    <w:rsid w:val="003D0355"/>
    <w:rsid w:val="003D67E9"/>
    <w:rsid w:val="003E08B1"/>
    <w:rsid w:val="003E1364"/>
    <w:rsid w:val="003E19FD"/>
    <w:rsid w:val="003E1C20"/>
    <w:rsid w:val="003E1F82"/>
    <w:rsid w:val="003E5162"/>
    <w:rsid w:val="003E589B"/>
    <w:rsid w:val="003E6881"/>
    <w:rsid w:val="003F26DB"/>
    <w:rsid w:val="003F2F07"/>
    <w:rsid w:val="003F4D17"/>
    <w:rsid w:val="003F56AF"/>
    <w:rsid w:val="00400CBE"/>
    <w:rsid w:val="0040127E"/>
    <w:rsid w:val="0040251F"/>
    <w:rsid w:val="00403E70"/>
    <w:rsid w:val="00404F96"/>
    <w:rsid w:val="004050AA"/>
    <w:rsid w:val="00406656"/>
    <w:rsid w:val="004068AC"/>
    <w:rsid w:val="00407009"/>
    <w:rsid w:val="004078C0"/>
    <w:rsid w:val="004104CC"/>
    <w:rsid w:val="004119E7"/>
    <w:rsid w:val="004179EC"/>
    <w:rsid w:val="0042004B"/>
    <w:rsid w:val="00423D0A"/>
    <w:rsid w:val="00425611"/>
    <w:rsid w:val="00425C60"/>
    <w:rsid w:val="00425F7B"/>
    <w:rsid w:val="00431016"/>
    <w:rsid w:val="004313F2"/>
    <w:rsid w:val="004320A5"/>
    <w:rsid w:val="00435C52"/>
    <w:rsid w:val="00440720"/>
    <w:rsid w:val="004417CA"/>
    <w:rsid w:val="004429DF"/>
    <w:rsid w:val="00444E16"/>
    <w:rsid w:val="00447E90"/>
    <w:rsid w:val="0045097B"/>
    <w:rsid w:val="004536F3"/>
    <w:rsid w:val="00457247"/>
    <w:rsid w:val="00461F32"/>
    <w:rsid w:val="0046219D"/>
    <w:rsid w:val="00462258"/>
    <w:rsid w:val="00464C03"/>
    <w:rsid w:val="00464CD5"/>
    <w:rsid w:val="00464F26"/>
    <w:rsid w:val="004659D1"/>
    <w:rsid w:val="00466907"/>
    <w:rsid w:val="00467ACF"/>
    <w:rsid w:val="00467C7D"/>
    <w:rsid w:val="004716A0"/>
    <w:rsid w:val="004737E2"/>
    <w:rsid w:val="004738C4"/>
    <w:rsid w:val="0047634C"/>
    <w:rsid w:val="00476C9E"/>
    <w:rsid w:val="00482D1B"/>
    <w:rsid w:val="004840FD"/>
    <w:rsid w:val="004854FB"/>
    <w:rsid w:val="00491453"/>
    <w:rsid w:val="0049220B"/>
    <w:rsid w:val="00496FD1"/>
    <w:rsid w:val="004A0231"/>
    <w:rsid w:val="004A0866"/>
    <w:rsid w:val="004A1924"/>
    <w:rsid w:val="004A1997"/>
    <w:rsid w:val="004A2971"/>
    <w:rsid w:val="004A389C"/>
    <w:rsid w:val="004B0688"/>
    <w:rsid w:val="004B0FF5"/>
    <w:rsid w:val="004B38F2"/>
    <w:rsid w:val="004B4473"/>
    <w:rsid w:val="004B57E7"/>
    <w:rsid w:val="004C11D3"/>
    <w:rsid w:val="004C2D93"/>
    <w:rsid w:val="004C3C65"/>
    <w:rsid w:val="004C3F61"/>
    <w:rsid w:val="004D158E"/>
    <w:rsid w:val="004D2DFC"/>
    <w:rsid w:val="004D2EF6"/>
    <w:rsid w:val="004D597E"/>
    <w:rsid w:val="004D6808"/>
    <w:rsid w:val="004D70B4"/>
    <w:rsid w:val="004F6E4D"/>
    <w:rsid w:val="005061B6"/>
    <w:rsid w:val="00506F55"/>
    <w:rsid w:val="00513C07"/>
    <w:rsid w:val="00514BCD"/>
    <w:rsid w:val="00514D19"/>
    <w:rsid w:val="00515622"/>
    <w:rsid w:val="00516A65"/>
    <w:rsid w:val="005229CC"/>
    <w:rsid w:val="00523A2A"/>
    <w:rsid w:val="00525393"/>
    <w:rsid w:val="0053205F"/>
    <w:rsid w:val="00532A99"/>
    <w:rsid w:val="0053372F"/>
    <w:rsid w:val="005450B6"/>
    <w:rsid w:val="00546092"/>
    <w:rsid w:val="00550FBC"/>
    <w:rsid w:val="0055221E"/>
    <w:rsid w:val="00557240"/>
    <w:rsid w:val="00572F2E"/>
    <w:rsid w:val="00573CBA"/>
    <w:rsid w:val="0057401F"/>
    <w:rsid w:val="00581839"/>
    <w:rsid w:val="0058292F"/>
    <w:rsid w:val="00587CB3"/>
    <w:rsid w:val="00592464"/>
    <w:rsid w:val="005943C0"/>
    <w:rsid w:val="0059617D"/>
    <w:rsid w:val="00596C42"/>
    <w:rsid w:val="00597605"/>
    <w:rsid w:val="005A091C"/>
    <w:rsid w:val="005A45F4"/>
    <w:rsid w:val="005A4B24"/>
    <w:rsid w:val="005A4F95"/>
    <w:rsid w:val="005A53EC"/>
    <w:rsid w:val="005A672F"/>
    <w:rsid w:val="005B2CF3"/>
    <w:rsid w:val="005B30F3"/>
    <w:rsid w:val="005B51AB"/>
    <w:rsid w:val="005B670D"/>
    <w:rsid w:val="005B7FC2"/>
    <w:rsid w:val="005C17CB"/>
    <w:rsid w:val="005C4559"/>
    <w:rsid w:val="005C4C90"/>
    <w:rsid w:val="005C585F"/>
    <w:rsid w:val="005C677F"/>
    <w:rsid w:val="005D2A00"/>
    <w:rsid w:val="005D3F5B"/>
    <w:rsid w:val="005D50C3"/>
    <w:rsid w:val="005E1863"/>
    <w:rsid w:val="005E211C"/>
    <w:rsid w:val="005E3AE9"/>
    <w:rsid w:val="005E7B7E"/>
    <w:rsid w:val="005F0512"/>
    <w:rsid w:val="005F1CD6"/>
    <w:rsid w:val="005F21E8"/>
    <w:rsid w:val="005F379F"/>
    <w:rsid w:val="005F645E"/>
    <w:rsid w:val="006000A4"/>
    <w:rsid w:val="00601047"/>
    <w:rsid w:val="00604003"/>
    <w:rsid w:val="00605739"/>
    <w:rsid w:val="00612BA7"/>
    <w:rsid w:val="0061348D"/>
    <w:rsid w:val="00613BAF"/>
    <w:rsid w:val="006146F2"/>
    <w:rsid w:val="006204C9"/>
    <w:rsid w:val="006209E8"/>
    <w:rsid w:val="00622492"/>
    <w:rsid w:val="00622DAD"/>
    <w:rsid w:val="0062440F"/>
    <w:rsid w:val="00624D3F"/>
    <w:rsid w:val="00625ADE"/>
    <w:rsid w:val="00626D4D"/>
    <w:rsid w:val="006270B4"/>
    <w:rsid w:val="006275A0"/>
    <w:rsid w:val="00630BA7"/>
    <w:rsid w:val="00634BB3"/>
    <w:rsid w:val="00634EC6"/>
    <w:rsid w:val="00635366"/>
    <w:rsid w:val="0063726E"/>
    <w:rsid w:val="00637515"/>
    <w:rsid w:val="00641922"/>
    <w:rsid w:val="006437E4"/>
    <w:rsid w:val="00650941"/>
    <w:rsid w:val="00652457"/>
    <w:rsid w:val="006553AB"/>
    <w:rsid w:val="00656779"/>
    <w:rsid w:val="006602E1"/>
    <w:rsid w:val="00662BC7"/>
    <w:rsid w:val="00670DE6"/>
    <w:rsid w:val="00672A57"/>
    <w:rsid w:val="00675E3D"/>
    <w:rsid w:val="0067637E"/>
    <w:rsid w:val="006776E7"/>
    <w:rsid w:val="0068011E"/>
    <w:rsid w:val="00686CF1"/>
    <w:rsid w:val="00687C4F"/>
    <w:rsid w:val="006916AF"/>
    <w:rsid w:val="00693D67"/>
    <w:rsid w:val="00694C75"/>
    <w:rsid w:val="006A134E"/>
    <w:rsid w:val="006A1D00"/>
    <w:rsid w:val="006A23A1"/>
    <w:rsid w:val="006A7345"/>
    <w:rsid w:val="006A742A"/>
    <w:rsid w:val="006A7F8E"/>
    <w:rsid w:val="006B4185"/>
    <w:rsid w:val="006B4547"/>
    <w:rsid w:val="006B5A75"/>
    <w:rsid w:val="006B5FD6"/>
    <w:rsid w:val="006C1444"/>
    <w:rsid w:val="006C3B54"/>
    <w:rsid w:val="006C489C"/>
    <w:rsid w:val="006C4A05"/>
    <w:rsid w:val="006C6BA4"/>
    <w:rsid w:val="006C7D3F"/>
    <w:rsid w:val="006D06BF"/>
    <w:rsid w:val="006D1BA9"/>
    <w:rsid w:val="006D1E2C"/>
    <w:rsid w:val="006D54BE"/>
    <w:rsid w:val="006E5AB8"/>
    <w:rsid w:val="006F3B7B"/>
    <w:rsid w:val="006F4930"/>
    <w:rsid w:val="006F7156"/>
    <w:rsid w:val="006F7D1F"/>
    <w:rsid w:val="006F7EAF"/>
    <w:rsid w:val="00702067"/>
    <w:rsid w:val="00703EC7"/>
    <w:rsid w:val="00704D79"/>
    <w:rsid w:val="00704F54"/>
    <w:rsid w:val="00707373"/>
    <w:rsid w:val="007076B6"/>
    <w:rsid w:val="0070798B"/>
    <w:rsid w:val="007113ED"/>
    <w:rsid w:val="00711F94"/>
    <w:rsid w:val="00713051"/>
    <w:rsid w:val="0071334C"/>
    <w:rsid w:val="00713A1B"/>
    <w:rsid w:val="00714EE5"/>
    <w:rsid w:val="00715DDD"/>
    <w:rsid w:val="0071673B"/>
    <w:rsid w:val="007176C9"/>
    <w:rsid w:val="00721A27"/>
    <w:rsid w:val="0072228D"/>
    <w:rsid w:val="0072288B"/>
    <w:rsid w:val="00723D12"/>
    <w:rsid w:val="007244E3"/>
    <w:rsid w:val="00727460"/>
    <w:rsid w:val="0072760C"/>
    <w:rsid w:val="00732D43"/>
    <w:rsid w:val="007346AD"/>
    <w:rsid w:val="0073512F"/>
    <w:rsid w:val="00735BE2"/>
    <w:rsid w:val="00743106"/>
    <w:rsid w:val="007436AB"/>
    <w:rsid w:val="00744425"/>
    <w:rsid w:val="007446B3"/>
    <w:rsid w:val="007452DF"/>
    <w:rsid w:val="00745A03"/>
    <w:rsid w:val="00747E0F"/>
    <w:rsid w:val="007506D2"/>
    <w:rsid w:val="00751066"/>
    <w:rsid w:val="0075664E"/>
    <w:rsid w:val="0075674B"/>
    <w:rsid w:val="0075704C"/>
    <w:rsid w:val="00760E98"/>
    <w:rsid w:val="007610CE"/>
    <w:rsid w:val="00761708"/>
    <w:rsid w:val="00762D60"/>
    <w:rsid w:val="007635C4"/>
    <w:rsid w:val="007635D2"/>
    <w:rsid w:val="00763BDF"/>
    <w:rsid w:val="00765C2C"/>
    <w:rsid w:val="007714EA"/>
    <w:rsid w:val="0077532D"/>
    <w:rsid w:val="00776079"/>
    <w:rsid w:val="0077647B"/>
    <w:rsid w:val="00782699"/>
    <w:rsid w:val="0078284C"/>
    <w:rsid w:val="00782B67"/>
    <w:rsid w:val="00783D25"/>
    <w:rsid w:val="00785DA9"/>
    <w:rsid w:val="00787BEA"/>
    <w:rsid w:val="00790DA7"/>
    <w:rsid w:val="007938D2"/>
    <w:rsid w:val="007943AC"/>
    <w:rsid w:val="007A25CA"/>
    <w:rsid w:val="007A274E"/>
    <w:rsid w:val="007A3450"/>
    <w:rsid w:val="007A6009"/>
    <w:rsid w:val="007A6980"/>
    <w:rsid w:val="007B0CBA"/>
    <w:rsid w:val="007B13EB"/>
    <w:rsid w:val="007B2667"/>
    <w:rsid w:val="007B2D48"/>
    <w:rsid w:val="007B310D"/>
    <w:rsid w:val="007B32D8"/>
    <w:rsid w:val="007B5232"/>
    <w:rsid w:val="007C07F5"/>
    <w:rsid w:val="007C139C"/>
    <w:rsid w:val="007C3DC3"/>
    <w:rsid w:val="007C4025"/>
    <w:rsid w:val="007C6EBC"/>
    <w:rsid w:val="007D08CB"/>
    <w:rsid w:val="007D2C53"/>
    <w:rsid w:val="007D2D72"/>
    <w:rsid w:val="007D354F"/>
    <w:rsid w:val="007D3961"/>
    <w:rsid w:val="007D5E13"/>
    <w:rsid w:val="007D6635"/>
    <w:rsid w:val="007E1DC5"/>
    <w:rsid w:val="007E54C2"/>
    <w:rsid w:val="007F19E1"/>
    <w:rsid w:val="007F2710"/>
    <w:rsid w:val="007F473A"/>
    <w:rsid w:val="007F6898"/>
    <w:rsid w:val="007F6A39"/>
    <w:rsid w:val="007F6EDB"/>
    <w:rsid w:val="00800CF9"/>
    <w:rsid w:val="00801645"/>
    <w:rsid w:val="0080275D"/>
    <w:rsid w:val="008034D6"/>
    <w:rsid w:val="00806866"/>
    <w:rsid w:val="008070EE"/>
    <w:rsid w:val="0081127A"/>
    <w:rsid w:val="00811C78"/>
    <w:rsid w:val="0081293B"/>
    <w:rsid w:val="00813679"/>
    <w:rsid w:val="00813983"/>
    <w:rsid w:val="00820B1C"/>
    <w:rsid w:val="00826D63"/>
    <w:rsid w:val="008305FC"/>
    <w:rsid w:val="00830AF9"/>
    <w:rsid w:val="008312CF"/>
    <w:rsid w:val="0083368D"/>
    <w:rsid w:val="00833B99"/>
    <w:rsid w:val="008351A8"/>
    <w:rsid w:val="008416CC"/>
    <w:rsid w:val="00843BF3"/>
    <w:rsid w:val="008440C7"/>
    <w:rsid w:val="00845310"/>
    <w:rsid w:val="0084626F"/>
    <w:rsid w:val="00850890"/>
    <w:rsid w:val="00852F17"/>
    <w:rsid w:val="00853D3B"/>
    <w:rsid w:val="00856A17"/>
    <w:rsid w:val="00866C89"/>
    <w:rsid w:val="008705F8"/>
    <w:rsid w:val="00870B3D"/>
    <w:rsid w:val="00872B02"/>
    <w:rsid w:val="00873173"/>
    <w:rsid w:val="00874297"/>
    <w:rsid w:val="008751C9"/>
    <w:rsid w:val="0088324F"/>
    <w:rsid w:val="0088459D"/>
    <w:rsid w:val="0088560D"/>
    <w:rsid w:val="0088766A"/>
    <w:rsid w:val="00891AED"/>
    <w:rsid w:val="00891D67"/>
    <w:rsid w:val="00894C42"/>
    <w:rsid w:val="0089515C"/>
    <w:rsid w:val="00897AAD"/>
    <w:rsid w:val="008A073E"/>
    <w:rsid w:val="008B054C"/>
    <w:rsid w:val="008B3F85"/>
    <w:rsid w:val="008B5F85"/>
    <w:rsid w:val="008B7E42"/>
    <w:rsid w:val="008C1DBD"/>
    <w:rsid w:val="008C561B"/>
    <w:rsid w:val="008C66F8"/>
    <w:rsid w:val="008C6ACF"/>
    <w:rsid w:val="008D0408"/>
    <w:rsid w:val="008D078C"/>
    <w:rsid w:val="008D2634"/>
    <w:rsid w:val="008D2F39"/>
    <w:rsid w:val="008D45EA"/>
    <w:rsid w:val="008D521C"/>
    <w:rsid w:val="008E2BCE"/>
    <w:rsid w:val="008E49E5"/>
    <w:rsid w:val="008E5BC0"/>
    <w:rsid w:val="008E666E"/>
    <w:rsid w:val="008E70C1"/>
    <w:rsid w:val="008E7315"/>
    <w:rsid w:val="008F1F5E"/>
    <w:rsid w:val="008F430B"/>
    <w:rsid w:val="008F7A5C"/>
    <w:rsid w:val="00900600"/>
    <w:rsid w:val="009016BB"/>
    <w:rsid w:val="009044AC"/>
    <w:rsid w:val="0090556A"/>
    <w:rsid w:val="0090572F"/>
    <w:rsid w:val="00907261"/>
    <w:rsid w:val="009132C9"/>
    <w:rsid w:val="0091355B"/>
    <w:rsid w:val="00913E74"/>
    <w:rsid w:val="00916BFD"/>
    <w:rsid w:val="00921361"/>
    <w:rsid w:val="00923DA1"/>
    <w:rsid w:val="00923FC5"/>
    <w:rsid w:val="0092531E"/>
    <w:rsid w:val="00926C4B"/>
    <w:rsid w:val="00927158"/>
    <w:rsid w:val="00927619"/>
    <w:rsid w:val="0092799D"/>
    <w:rsid w:val="0093162F"/>
    <w:rsid w:val="00931DFA"/>
    <w:rsid w:val="0093293C"/>
    <w:rsid w:val="00935812"/>
    <w:rsid w:val="00936B34"/>
    <w:rsid w:val="00942117"/>
    <w:rsid w:val="00955D5D"/>
    <w:rsid w:val="0095672D"/>
    <w:rsid w:val="00957682"/>
    <w:rsid w:val="00962AC4"/>
    <w:rsid w:val="00965EDA"/>
    <w:rsid w:val="0096715D"/>
    <w:rsid w:val="00967778"/>
    <w:rsid w:val="009678BE"/>
    <w:rsid w:val="00967CB3"/>
    <w:rsid w:val="00975D50"/>
    <w:rsid w:val="00975EE3"/>
    <w:rsid w:val="00976206"/>
    <w:rsid w:val="00977AEF"/>
    <w:rsid w:val="00980E15"/>
    <w:rsid w:val="009818BE"/>
    <w:rsid w:val="00981F08"/>
    <w:rsid w:val="00981F59"/>
    <w:rsid w:val="00982699"/>
    <w:rsid w:val="00982B92"/>
    <w:rsid w:val="00985FCB"/>
    <w:rsid w:val="00987B0A"/>
    <w:rsid w:val="00993B26"/>
    <w:rsid w:val="00997992"/>
    <w:rsid w:val="009A0C0B"/>
    <w:rsid w:val="009A15B9"/>
    <w:rsid w:val="009A342E"/>
    <w:rsid w:val="009A54C1"/>
    <w:rsid w:val="009A6174"/>
    <w:rsid w:val="009B234E"/>
    <w:rsid w:val="009B5181"/>
    <w:rsid w:val="009B67D6"/>
    <w:rsid w:val="009B777B"/>
    <w:rsid w:val="009C3A04"/>
    <w:rsid w:val="009C4166"/>
    <w:rsid w:val="009C5942"/>
    <w:rsid w:val="009D45D3"/>
    <w:rsid w:val="009D4E1A"/>
    <w:rsid w:val="009E1A96"/>
    <w:rsid w:val="009E2532"/>
    <w:rsid w:val="009E3D12"/>
    <w:rsid w:val="009E6D2D"/>
    <w:rsid w:val="009F161A"/>
    <w:rsid w:val="009F3332"/>
    <w:rsid w:val="009F4A18"/>
    <w:rsid w:val="009F556A"/>
    <w:rsid w:val="009F5E5F"/>
    <w:rsid w:val="00A007C2"/>
    <w:rsid w:val="00A03669"/>
    <w:rsid w:val="00A04667"/>
    <w:rsid w:val="00A04AB3"/>
    <w:rsid w:val="00A05E6A"/>
    <w:rsid w:val="00A066C5"/>
    <w:rsid w:val="00A07C2C"/>
    <w:rsid w:val="00A10C3C"/>
    <w:rsid w:val="00A1539C"/>
    <w:rsid w:val="00A1639C"/>
    <w:rsid w:val="00A16ED9"/>
    <w:rsid w:val="00A17D98"/>
    <w:rsid w:val="00A205A4"/>
    <w:rsid w:val="00A21FA5"/>
    <w:rsid w:val="00A2761B"/>
    <w:rsid w:val="00A30488"/>
    <w:rsid w:val="00A305EC"/>
    <w:rsid w:val="00A3135C"/>
    <w:rsid w:val="00A340FE"/>
    <w:rsid w:val="00A352B7"/>
    <w:rsid w:val="00A357F0"/>
    <w:rsid w:val="00A40CC4"/>
    <w:rsid w:val="00A464C7"/>
    <w:rsid w:val="00A47BF1"/>
    <w:rsid w:val="00A5033C"/>
    <w:rsid w:val="00A504BF"/>
    <w:rsid w:val="00A51EB6"/>
    <w:rsid w:val="00A52194"/>
    <w:rsid w:val="00A524F3"/>
    <w:rsid w:val="00A56A83"/>
    <w:rsid w:val="00A6075D"/>
    <w:rsid w:val="00A61BBD"/>
    <w:rsid w:val="00A61C13"/>
    <w:rsid w:val="00A627EC"/>
    <w:rsid w:val="00A635DA"/>
    <w:rsid w:val="00A6376F"/>
    <w:rsid w:val="00A648A2"/>
    <w:rsid w:val="00A65E9B"/>
    <w:rsid w:val="00A67AE7"/>
    <w:rsid w:val="00A73BE6"/>
    <w:rsid w:val="00A73FA3"/>
    <w:rsid w:val="00A75B08"/>
    <w:rsid w:val="00A75D77"/>
    <w:rsid w:val="00A75E84"/>
    <w:rsid w:val="00A76003"/>
    <w:rsid w:val="00A7689E"/>
    <w:rsid w:val="00A82146"/>
    <w:rsid w:val="00A839EB"/>
    <w:rsid w:val="00A84527"/>
    <w:rsid w:val="00A850E8"/>
    <w:rsid w:val="00A8574D"/>
    <w:rsid w:val="00A85A44"/>
    <w:rsid w:val="00A864B1"/>
    <w:rsid w:val="00A900C6"/>
    <w:rsid w:val="00A904AB"/>
    <w:rsid w:val="00A90DA3"/>
    <w:rsid w:val="00A924DC"/>
    <w:rsid w:val="00A9283F"/>
    <w:rsid w:val="00A92BE2"/>
    <w:rsid w:val="00A92EE3"/>
    <w:rsid w:val="00A92FF7"/>
    <w:rsid w:val="00A93911"/>
    <w:rsid w:val="00A947FE"/>
    <w:rsid w:val="00A952F7"/>
    <w:rsid w:val="00A95661"/>
    <w:rsid w:val="00A9613C"/>
    <w:rsid w:val="00A97F45"/>
    <w:rsid w:val="00AA08AD"/>
    <w:rsid w:val="00AA6A69"/>
    <w:rsid w:val="00AA7CF3"/>
    <w:rsid w:val="00AB0FF8"/>
    <w:rsid w:val="00AB3821"/>
    <w:rsid w:val="00AB7DC6"/>
    <w:rsid w:val="00AC00F6"/>
    <w:rsid w:val="00AC09D4"/>
    <w:rsid w:val="00AC2132"/>
    <w:rsid w:val="00AC21FB"/>
    <w:rsid w:val="00AC2538"/>
    <w:rsid w:val="00AC2BF9"/>
    <w:rsid w:val="00AC2C00"/>
    <w:rsid w:val="00AC3C97"/>
    <w:rsid w:val="00AC533F"/>
    <w:rsid w:val="00AC650C"/>
    <w:rsid w:val="00AC7EF4"/>
    <w:rsid w:val="00AD15C8"/>
    <w:rsid w:val="00AD16C9"/>
    <w:rsid w:val="00AD2ACC"/>
    <w:rsid w:val="00AD43F8"/>
    <w:rsid w:val="00AD560C"/>
    <w:rsid w:val="00AE155F"/>
    <w:rsid w:val="00AE3603"/>
    <w:rsid w:val="00AF3455"/>
    <w:rsid w:val="00AF5A78"/>
    <w:rsid w:val="00AF7E62"/>
    <w:rsid w:val="00B05597"/>
    <w:rsid w:val="00B10041"/>
    <w:rsid w:val="00B13BF0"/>
    <w:rsid w:val="00B14BF9"/>
    <w:rsid w:val="00B158C7"/>
    <w:rsid w:val="00B20425"/>
    <w:rsid w:val="00B2071F"/>
    <w:rsid w:val="00B20A1B"/>
    <w:rsid w:val="00B215AB"/>
    <w:rsid w:val="00B216A7"/>
    <w:rsid w:val="00B244E6"/>
    <w:rsid w:val="00B254AD"/>
    <w:rsid w:val="00B30059"/>
    <w:rsid w:val="00B3017F"/>
    <w:rsid w:val="00B3049D"/>
    <w:rsid w:val="00B305EE"/>
    <w:rsid w:val="00B30F5C"/>
    <w:rsid w:val="00B317E0"/>
    <w:rsid w:val="00B339A7"/>
    <w:rsid w:val="00B3463F"/>
    <w:rsid w:val="00B35589"/>
    <w:rsid w:val="00B37017"/>
    <w:rsid w:val="00B37BFD"/>
    <w:rsid w:val="00B405BB"/>
    <w:rsid w:val="00B4113D"/>
    <w:rsid w:val="00B415DE"/>
    <w:rsid w:val="00B51267"/>
    <w:rsid w:val="00B519B5"/>
    <w:rsid w:val="00B51ACA"/>
    <w:rsid w:val="00B51FDC"/>
    <w:rsid w:val="00B56F49"/>
    <w:rsid w:val="00B605CB"/>
    <w:rsid w:val="00B62E48"/>
    <w:rsid w:val="00B63616"/>
    <w:rsid w:val="00B641C8"/>
    <w:rsid w:val="00B7049A"/>
    <w:rsid w:val="00B71A67"/>
    <w:rsid w:val="00B723FC"/>
    <w:rsid w:val="00B74BCD"/>
    <w:rsid w:val="00B77B8F"/>
    <w:rsid w:val="00B805A9"/>
    <w:rsid w:val="00B823E4"/>
    <w:rsid w:val="00B831AB"/>
    <w:rsid w:val="00B840F7"/>
    <w:rsid w:val="00B85698"/>
    <w:rsid w:val="00B85750"/>
    <w:rsid w:val="00B87DD5"/>
    <w:rsid w:val="00B918CD"/>
    <w:rsid w:val="00B9212B"/>
    <w:rsid w:val="00B927EB"/>
    <w:rsid w:val="00B92B6E"/>
    <w:rsid w:val="00B92FCF"/>
    <w:rsid w:val="00B94A87"/>
    <w:rsid w:val="00B964C0"/>
    <w:rsid w:val="00B97102"/>
    <w:rsid w:val="00BA23E8"/>
    <w:rsid w:val="00BA435C"/>
    <w:rsid w:val="00BA4E94"/>
    <w:rsid w:val="00BA5E5B"/>
    <w:rsid w:val="00BB375E"/>
    <w:rsid w:val="00BB5665"/>
    <w:rsid w:val="00BB579C"/>
    <w:rsid w:val="00BB5C2E"/>
    <w:rsid w:val="00BB7B9B"/>
    <w:rsid w:val="00BC0C1B"/>
    <w:rsid w:val="00BC0D40"/>
    <w:rsid w:val="00BC3B30"/>
    <w:rsid w:val="00BC604A"/>
    <w:rsid w:val="00BC71FF"/>
    <w:rsid w:val="00BC7394"/>
    <w:rsid w:val="00BC761E"/>
    <w:rsid w:val="00BE10E6"/>
    <w:rsid w:val="00BE252E"/>
    <w:rsid w:val="00BE461D"/>
    <w:rsid w:val="00BE5972"/>
    <w:rsid w:val="00BF04DF"/>
    <w:rsid w:val="00BF2F15"/>
    <w:rsid w:val="00BF4928"/>
    <w:rsid w:val="00BF58C8"/>
    <w:rsid w:val="00BF7713"/>
    <w:rsid w:val="00C01D9C"/>
    <w:rsid w:val="00C05DCB"/>
    <w:rsid w:val="00C1021E"/>
    <w:rsid w:val="00C1549B"/>
    <w:rsid w:val="00C23005"/>
    <w:rsid w:val="00C25966"/>
    <w:rsid w:val="00C25B7A"/>
    <w:rsid w:val="00C27CB2"/>
    <w:rsid w:val="00C315EC"/>
    <w:rsid w:val="00C32262"/>
    <w:rsid w:val="00C3254F"/>
    <w:rsid w:val="00C33FE5"/>
    <w:rsid w:val="00C35265"/>
    <w:rsid w:val="00C35D84"/>
    <w:rsid w:val="00C36340"/>
    <w:rsid w:val="00C36840"/>
    <w:rsid w:val="00C36DA9"/>
    <w:rsid w:val="00C4025A"/>
    <w:rsid w:val="00C40CFB"/>
    <w:rsid w:val="00C41E69"/>
    <w:rsid w:val="00C4234F"/>
    <w:rsid w:val="00C42F3B"/>
    <w:rsid w:val="00C43CA4"/>
    <w:rsid w:val="00C43F91"/>
    <w:rsid w:val="00C4451A"/>
    <w:rsid w:val="00C45816"/>
    <w:rsid w:val="00C45E9D"/>
    <w:rsid w:val="00C461AD"/>
    <w:rsid w:val="00C51AFE"/>
    <w:rsid w:val="00C529F5"/>
    <w:rsid w:val="00C6136A"/>
    <w:rsid w:val="00C620B7"/>
    <w:rsid w:val="00C62DE5"/>
    <w:rsid w:val="00C63198"/>
    <w:rsid w:val="00C64F36"/>
    <w:rsid w:val="00C65C46"/>
    <w:rsid w:val="00C665F7"/>
    <w:rsid w:val="00C67BA3"/>
    <w:rsid w:val="00C72F54"/>
    <w:rsid w:val="00C73D29"/>
    <w:rsid w:val="00C756A4"/>
    <w:rsid w:val="00C7571C"/>
    <w:rsid w:val="00C75FFA"/>
    <w:rsid w:val="00C766E8"/>
    <w:rsid w:val="00C76ACF"/>
    <w:rsid w:val="00C77268"/>
    <w:rsid w:val="00C773B7"/>
    <w:rsid w:val="00C801EE"/>
    <w:rsid w:val="00C83E42"/>
    <w:rsid w:val="00C84589"/>
    <w:rsid w:val="00C94A54"/>
    <w:rsid w:val="00C95E67"/>
    <w:rsid w:val="00C96F0E"/>
    <w:rsid w:val="00C976B4"/>
    <w:rsid w:val="00CA204D"/>
    <w:rsid w:val="00CA55D6"/>
    <w:rsid w:val="00CA6C9A"/>
    <w:rsid w:val="00CB0038"/>
    <w:rsid w:val="00CB4FA0"/>
    <w:rsid w:val="00CB57A4"/>
    <w:rsid w:val="00CC049E"/>
    <w:rsid w:val="00CC6CFC"/>
    <w:rsid w:val="00CC769A"/>
    <w:rsid w:val="00CC7E35"/>
    <w:rsid w:val="00CC7F52"/>
    <w:rsid w:val="00CD028E"/>
    <w:rsid w:val="00CD1C9A"/>
    <w:rsid w:val="00CD3C93"/>
    <w:rsid w:val="00CD46C5"/>
    <w:rsid w:val="00CD4ABC"/>
    <w:rsid w:val="00CD50FB"/>
    <w:rsid w:val="00CE37C1"/>
    <w:rsid w:val="00CE759D"/>
    <w:rsid w:val="00CF00CA"/>
    <w:rsid w:val="00CF0E62"/>
    <w:rsid w:val="00CF4FD7"/>
    <w:rsid w:val="00CF5147"/>
    <w:rsid w:val="00D02E63"/>
    <w:rsid w:val="00D03530"/>
    <w:rsid w:val="00D04030"/>
    <w:rsid w:val="00D04211"/>
    <w:rsid w:val="00D04CC5"/>
    <w:rsid w:val="00D0731C"/>
    <w:rsid w:val="00D07E57"/>
    <w:rsid w:val="00D11293"/>
    <w:rsid w:val="00D140D3"/>
    <w:rsid w:val="00D153F5"/>
    <w:rsid w:val="00D160A0"/>
    <w:rsid w:val="00D1703C"/>
    <w:rsid w:val="00D17AF8"/>
    <w:rsid w:val="00D2188E"/>
    <w:rsid w:val="00D23B20"/>
    <w:rsid w:val="00D23DD7"/>
    <w:rsid w:val="00D271A9"/>
    <w:rsid w:val="00D313E6"/>
    <w:rsid w:val="00D36750"/>
    <w:rsid w:val="00D37714"/>
    <w:rsid w:val="00D41B02"/>
    <w:rsid w:val="00D42484"/>
    <w:rsid w:val="00D43288"/>
    <w:rsid w:val="00D45FC0"/>
    <w:rsid w:val="00D460CA"/>
    <w:rsid w:val="00D47389"/>
    <w:rsid w:val="00D5032B"/>
    <w:rsid w:val="00D50C8C"/>
    <w:rsid w:val="00D5180D"/>
    <w:rsid w:val="00D53621"/>
    <w:rsid w:val="00D536CB"/>
    <w:rsid w:val="00D53731"/>
    <w:rsid w:val="00D63D58"/>
    <w:rsid w:val="00D64888"/>
    <w:rsid w:val="00D662A3"/>
    <w:rsid w:val="00D66FAC"/>
    <w:rsid w:val="00D70E6F"/>
    <w:rsid w:val="00D71C71"/>
    <w:rsid w:val="00D71CC2"/>
    <w:rsid w:val="00D721C9"/>
    <w:rsid w:val="00D72DE1"/>
    <w:rsid w:val="00D81848"/>
    <w:rsid w:val="00D81F53"/>
    <w:rsid w:val="00D8265E"/>
    <w:rsid w:val="00D8468E"/>
    <w:rsid w:val="00D861B9"/>
    <w:rsid w:val="00D86587"/>
    <w:rsid w:val="00D90689"/>
    <w:rsid w:val="00D90B95"/>
    <w:rsid w:val="00D923EE"/>
    <w:rsid w:val="00D932DC"/>
    <w:rsid w:val="00D95D8A"/>
    <w:rsid w:val="00DA2274"/>
    <w:rsid w:val="00DA2FFD"/>
    <w:rsid w:val="00DA6175"/>
    <w:rsid w:val="00DA7B7B"/>
    <w:rsid w:val="00DA7D42"/>
    <w:rsid w:val="00DB0573"/>
    <w:rsid w:val="00DC2852"/>
    <w:rsid w:val="00DC33F6"/>
    <w:rsid w:val="00DC390C"/>
    <w:rsid w:val="00DC4BA9"/>
    <w:rsid w:val="00DD0E68"/>
    <w:rsid w:val="00DD1D23"/>
    <w:rsid w:val="00DD6D45"/>
    <w:rsid w:val="00DD7239"/>
    <w:rsid w:val="00DD7F44"/>
    <w:rsid w:val="00DE0F96"/>
    <w:rsid w:val="00DE2ACE"/>
    <w:rsid w:val="00DE335E"/>
    <w:rsid w:val="00DE35AA"/>
    <w:rsid w:val="00DE39E2"/>
    <w:rsid w:val="00DE53F9"/>
    <w:rsid w:val="00DE71B8"/>
    <w:rsid w:val="00DF127E"/>
    <w:rsid w:val="00DF28F8"/>
    <w:rsid w:val="00DF4F25"/>
    <w:rsid w:val="00DF534C"/>
    <w:rsid w:val="00E01F1B"/>
    <w:rsid w:val="00E0291F"/>
    <w:rsid w:val="00E03874"/>
    <w:rsid w:val="00E03C64"/>
    <w:rsid w:val="00E0719A"/>
    <w:rsid w:val="00E0769B"/>
    <w:rsid w:val="00E100A4"/>
    <w:rsid w:val="00E1027B"/>
    <w:rsid w:val="00E11813"/>
    <w:rsid w:val="00E13F73"/>
    <w:rsid w:val="00E1410B"/>
    <w:rsid w:val="00E1553D"/>
    <w:rsid w:val="00E15FBA"/>
    <w:rsid w:val="00E22A4D"/>
    <w:rsid w:val="00E240ED"/>
    <w:rsid w:val="00E25A8E"/>
    <w:rsid w:val="00E27005"/>
    <w:rsid w:val="00E3004D"/>
    <w:rsid w:val="00E31CA4"/>
    <w:rsid w:val="00E31ED9"/>
    <w:rsid w:val="00E32D62"/>
    <w:rsid w:val="00E33E27"/>
    <w:rsid w:val="00E34BE3"/>
    <w:rsid w:val="00E42F5F"/>
    <w:rsid w:val="00E42FC7"/>
    <w:rsid w:val="00E4501E"/>
    <w:rsid w:val="00E50249"/>
    <w:rsid w:val="00E52090"/>
    <w:rsid w:val="00E53CA1"/>
    <w:rsid w:val="00E54306"/>
    <w:rsid w:val="00E55BE0"/>
    <w:rsid w:val="00E55C1B"/>
    <w:rsid w:val="00E57F06"/>
    <w:rsid w:val="00E603B9"/>
    <w:rsid w:val="00E60C0F"/>
    <w:rsid w:val="00E6109F"/>
    <w:rsid w:val="00E630DA"/>
    <w:rsid w:val="00E644EA"/>
    <w:rsid w:val="00E66838"/>
    <w:rsid w:val="00E668F9"/>
    <w:rsid w:val="00E66EA6"/>
    <w:rsid w:val="00E67983"/>
    <w:rsid w:val="00E7219E"/>
    <w:rsid w:val="00E73525"/>
    <w:rsid w:val="00E76861"/>
    <w:rsid w:val="00E76B1F"/>
    <w:rsid w:val="00E76F24"/>
    <w:rsid w:val="00E80B94"/>
    <w:rsid w:val="00E822A7"/>
    <w:rsid w:val="00E824E1"/>
    <w:rsid w:val="00E8362C"/>
    <w:rsid w:val="00E847EE"/>
    <w:rsid w:val="00E86B05"/>
    <w:rsid w:val="00E9324B"/>
    <w:rsid w:val="00E93A2C"/>
    <w:rsid w:val="00E9528D"/>
    <w:rsid w:val="00E95DCF"/>
    <w:rsid w:val="00E969E7"/>
    <w:rsid w:val="00E97DE3"/>
    <w:rsid w:val="00EA081B"/>
    <w:rsid w:val="00EA5FF5"/>
    <w:rsid w:val="00EB1098"/>
    <w:rsid w:val="00EB1FDB"/>
    <w:rsid w:val="00EB2783"/>
    <w:rsid w:val="00EB59EB"/>
    <w:rsid w:val="00EB7E03"/>
    <w:rsid w:val="00EC531F"/>
    <w:rsid w:val="00EC56AB"/>
    <w:rsid w:val="00ED1E78"/>
    <w:rsid w:val="00ED41DD"/>
    <w:rsid w:val="00ED6989"/>
    <w:rsid w:val="00ED6E23"/>
    <w:rsid w:val="00EE08F1"/>
    <w:rsid w:val="00EF5604"/>
    <w:rsid w:val="00EF58AD"/>
    <w:rsid w:val="00F00CBF"/>
    <w:rsid w:val="00F035E9"/>
    <w:rsid w:val="00F036C3"/>
    <w:rsid w:val="00F12565"/>
    <w:rsid w:val="00F16112"/>
    <w:rsid w:val="00F1796E"/>
    <w:rsid w:val="00F22ED8"/>
    <w:rsid w:val="00F24BF9"/>
    <w:rsid w:val="00F31CBB"/>
    <w:rsid w:val="00F32104"/>
    <w:rsid w:val="00F32B03"/>
    <w:rsid w:val="00F3322D"/>
    <w:rsid w:val="00F34DB3"/>
    <w:rsid w:val="00F35829"/>
    <w:rsid w:val="00F37B82"/>
    <w:rsid w:val="00F4050A"/>
    <w:rsid w:val="00F40FE4"/>
    <w:rsid w:val="00F424B0"/>
    <w:rsid w:val="00F434B1"/>
    <w:rsid w:val="00F44C42"/>
    <w:rsid w:val="00F4775F"/>
    <w:rsid w:val="00F53560"/>
    <w:rsid w:val="00F55425"/>
    <w:rsid w:val="00F5741A"/>
    <w:rsid w:val="00F61DF5"/>
    <w:rsid w:val="00F621D4"/>
    <w:rsid w:val="00F6365C"/>
    <w:rsid w:val="00F64236"/>
    <w:rsid w:val="00F64FB1"/>
    <w:rsid w:val="00F662AE"/>
    <w:rsid w:val="00F6768D"/>
    <w:rsid w:val="00F72FA9"/>
    <w:rsid w:val="00F73060"/>
    <w:rsid w:val="00F76938"/>
    <w:rsid w:val="00F77AFB"/>
    <w:rsid w:val="00F77E30"/>
    <w:rsid w:val="00F8085F"/>
    <w:rsid w:val="00F80F5D"/>
    <w:rsid w:val="00F8381B"/>
    <w:rsid w:val="00F84440"/>
    <w:rsid w:val="00F928B7"/>
    <w:rsid w:val="00F930E4"/>
    <w:rsid w:val="00F93AD8"/>
    <w:rsid w:val="00F93F6A"/>
    <w:rsid w:val="00F97837"/>
    <w:rsid w:val="00FA1774"/>
    <w:rsid w:val="00FA1A75"/>
    <w:rsid w:val="00FA2F8A"/>
    <w:rsid w:val="00FA5404"/>
    <w:rsid w:val="00FB101D"/>
    <w:rsid w:val="00FB28A8"/>
    <w:rsid w:val="00FB2A36"/>
    <w:rsid w:val="00FB6547"/>
    <w:rsid w:val="00FC180F"/>
    <w:rsid w:val="00FC4D71"/>
    <w:rsid w:val="00FD2A66"/>
    <w:rsid w:val="00FD5256"/>
    <w:rsid w:val="00FE0665"/>
    <w:rsid w:val="00FE2EDA"/>
    <w:rsid w:val="00FE2F5E"/>
    <w:rsid w:val="00FE6F88"/>
    <w:rsid w:val="00FE73E8"/>
    <w:rsid w:val="00FF1581"/>
    <w:rsid w:val="00FF2406"/>
    <w:rsid w:val="00FF29CE"/>
    <w:rsid w:val="00FF4A52"/>
    <w:rsid w:val="00FF5BE7"/>
    <w:rsid w:val="027E3668"/>
    <w:rsid w:val="08DE597C"/>
    <w:rsid w:val="0AD96AC3"/>
    <w:rsid w:val="0AE3660F"/>
    <w:rsid w:val="1771419D"/>
    <w:rsid w:val="1AF632C8"/>
    <w:rsid w:val="1E687610"/>
    <w:rsid w:val="204E0D01"/>
    <w:rsid w:val="21823D3D"/>
    <w:rsid w:val="23E440A0"/>
    <w:rsid w:val="3B740170"/>
    <w:rsid w:val="3DDD2412"/>
    <w:rsid w:val="49562187"/>
    <w:rsid w:val="56FE7A1E"/>
    <w:rsid w:val="59350572"/>
    <w:rsid w:val="63FC3DBE"/>
    <w:rsid w:val="67954DBA"/>
    <w:rsid w:val="6AF87D9E"/>
    <w:rsid w:val="6C410CA1"/>
    <w:rsid w:val="76676614"/>
    <w:rsid w:val="7A5747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uiPriority="39"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200" w:line="44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1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1"/>
    <w:qFormat/>
    <w:uiPriority w:val="0"/>
    <w:pPr>
      <w:keepNext/>
      <w:keepLines/>
      <w:spacing w:before="50" w:beforeLines="50" w:line="360" w:lineRule="auto"/>
      <w:ind w:firstLine="0" w:firstLineChars="0"/>
      <w:jc w:val="left"/>
      <w:outlineLvl w:val="1"/>
    </w:pPr>
    <w:rPr>
      <w:rFonts w:ascii="Arial" w:hAnsi="Arial" w:eastAsia="黑体"/>
      <w:bCs/>
      <w:kern w:val="0"/>
      <w:sz w:val="28"/>
      <w:szCs w:val="32"/>
    </w:rPr>
  </w:style>
  <w:style w:type="paragraph" w:styleId="4">
    <w:name w:val="heading 3"/>
    <w:basedOn w:val="1"/>
    <w:next w:val="1"/>
    <w:link w:val="133"/>
    <w:qFormat/>
    <w:uiPriority w:val="0"/>
    <w:pPr>
      <w:keepNext/>
      <w:keepLines/>
      <w:spacing w:before="120" w:after="120"/>
      <w:outlineLvl w:val="2"/>
    </w:pPr>
    <w:rPr>
      <w:b/>
      <w:bCs/>
      <w:sz w:val="21"/>
      <w:szCs w:val="32"/>
    </w:rPr>
  </w:style>
  <w:style w:type="paragraph" w:styleId="5">
    <w:name w:val="heading 4"/>
    <w:basedOn w:val="1"/>
    <w:next w:val="1"/>
    <w:link w:val="158"/>
    <w:qFormat/>
    <w:uiPriority w:val="0"/>
    <w:pPr>
      <w:keepNext/>
      <w:keepLines/>
      <w:spacing w:line="360" w:lineRule="auto"/>
      <w:jc w:val="left"/>
      <w:outlineLvl w:val="3"/>
    </w:pPr>
    <w:rPr>
      <w:rFonts w:ascii="Cambria" w:hAnsi="Cambria" w:eastAsia="黑体"/>
      <w:bCs/>
      <w:szCs w:val="28"/>
    </w:rPr>
  </w:style>
  <w:style w:type="paragraph" w:styleId="6">
    <w:name w:val="heading 5"/>
    <w:basedOn w:val="1"/>
    <w:next w:val="7"/>
    <w:link w:val="166"/>
    <w:qFormat/>
    <w:uiPriority w:val="0"/>
    <w:pPr>
      <w:keepNext/>
      <w:keepLines/>
      <w:numPr>
        <w:ilvl w:val="4"/>
        <w:numId w:val="1"/>
      </w:numPr>
      <w:tabs>
        <w:tab w:val="left" w:pos="1008"/>
        <w:tab w:val="left" w:pos="2400"/>
      </w:tabs>
      <w:adjustRightInd/>
      <w:snapToGrid/>
      <w:spacing w:after="120" w:line="360" w:lineRule="auto"/>
      <w:ind w:firstLineChars="0"/>
      <w:outlineLvl w:val="4"/>
    </w:pPr>
    <w:rPr>
      <w:b/>
      <w:sz w:val="28"/>
    </w:rPr>
  </w:style>
  <w:style w:type="paragraph" w:styleId="8">
    <w:name w:val="heading 6"/>
    <w:basedOn w:val="1"/>
    <w:next w:val="1"/>
    <w:link w:val="144"/>
    <w:qFormat/>
    <w:uiPriority w:val="0"/>
    <w:pPr>
      <w:keepNext/>
      <w:keepLines/>
      <w:widowControl/>
      <w:tabs>
        <w:tab w:val="left" w:pos="1440"/>
      </w:tabs>
      <w:adjustRightInd/>
      <w:snapToGrid/>
      <w:spacing w:before="240" w:after="64" w:line="320" w:lineRule="auto"/>
      <w:ind w:left="1152" w:hanging="1152" w:firstLineChars="0"/>
      <w:jc w:val="left"/>
      <w:outlineLvl w:val="5"/>
    </w:pPr>
    <w:rPr>
      <w:rFonts w:ascii="Arial" w:hAnsi="Arial" w:eastAsia="黑体"/>
      <w:b/>
      <w:bCs/>
      <w:kern w:val="0"/>
      <w:szCs w:val="24"/>
    </w:rPr>
  </w:style>
  <w:style w:type="paragraph" w:styleId="9">
    <w:name w:val="heading 7"/>
    <w:basedOn w:val="1"/>
    <w:next w:val="1"/>
    <w:link w:val="125"/>
    <w:qFormat/>
    <w:uiPriority w:val="0"/>
    <w:pPr>
      <w:keepNext/>
      <w:keepLines/>
      <w:widowControl/>
      <w:tabs>
        <w:tab w:val="left" w:pos="2520"/>
      </w:tabs>
      <w:adjustRightInd/>
      <w:snapToGrid/>
      <w:spacing w:before="240" w:after="64" w:line="320" w:lineRule="auto"/>
      <w:ind w:left="1296" w:hanging="1296" w:firstLineChars="0"/>
      <w:jc w:val="left"/>
      <w:outlineLvl w:val="6"/>
    </w:pPr>
    <w:rPr>
      <w:b/>
      <w:bCs/>
      <w:kern w:val="0"/>
      <w:szCs w:val="24"/>
    </w:rPr>
  </w:style>
  <w:style w:type="paragraph" w:styleId="10">
    <w:name w:val="heading 8"/>
    <w:basedOn w:val="1"/>
    <w:next w:val="1"/>
    <w:link w:val="149"/>
    <w:qFormat/>
    <w:uiPriority w:val="0"/>
    <w:pPr>
      <w:keepNext/>
      <w:keepLines/>
      <w:spacing w:before="240" w:after="64" w:line="320" w:lineRule="auto"/>
      <w:outlineLvl w:val="7"/>
    </w:pPr>
    <w:rPr>
      <w:rFonts w:ascii="Cambria" w:hAnsi="Cambria"/>
      <w:szCs w:val="24"/>
    </w:rPr>
  </w:style>
  <w:style w:type="paragraph" w:styleId="11">
    <w:name w:val="heading 9"/>
    <w:basedOn w:val="1"/>
    <w:next w:val="1"/>
    <w:link w:val="145"/>
    <w:qFormat/>
    <w:uiPriority w:val="0"/>
    <w:pPr>
      <w:keepNext/>
      <w:keepLines/>
      <w:widowControl/>
      <w:tabs>
        <w:tab w:val="left" w:pos="1584"/>
      </w:tabs>
      <w:adjustRightInd/>
      <w:snapToGrid/>
      <w:spacing w:before="240" w:after="64" w:line="320" w:lineRule="auto"/>
      <w:ind w:left="1584" w:hanging="1584" w:firstLineChars="0"/>
      <w:jc w:val="left"/>
      <w:outlineLvl w:val="8"/>
    </w:pPr>
    <w:rPr>
      <w:rFonts w:ascii="Arial" w:hAnsi="Arial" w:eastAsia="黑体"/>
      <w:kern w:val="0"/>
      <w:sz w:val="21"/>
      <w:szCs w:val="21"/>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7">
    <w:name w:val="Normal Indent"/>
    <w:basedOn w:val="1"/>
    <w:link w:val="152"/>
    <w:qFormat/>
    <w:uiPriority w:val="0"/>
    <w:pPr>
      <w:ind w:firstLine="420"/>
    </w:pPr>
  </w:style>
  <w:style w:type="paragraph" w:styleId="12">
    <w:name w:val="index 8"/>
    <w:basedOn w:val="1"/>
    <w:next w:val="1"/>
    <w:semiHidden/>
    <w:qFormat/>
    <w:uiPriority w:val="0"/>
    <w:pPr>
      <w:snapToGrid/>
      <w:spacing w:line="240" w:lineRule="atLeast"/>
      <w:ind w:left="1920" w:hanging="240" w:firstLineChars="0"/>
      <w:jc w:val="left"/>
      <w:textAlignment w:val="baseline"/>
    </w:pPr>
    <w:rPr>
      <w:kern w:val="0"/>
      <w:szCs w:val="21"/>
    </w:rPr>
  </w:style>
  <w:style w:type="paragraph" w:styleId="13">
    <w:name w:val="caption"/>
    <w:basedOn w:val="1"/>
    <w:next w:val="1"/>
    <w:qFormat/>
    <w:uiPriority w:val="0"/>
    <w:pPr>
      <w:spacing w:line="480" w:lineRule="auto"/>
    </w:pPr>
    <w:rPr>
      <w:rFonts w:ascii="华文中宋" w:hAnsi="华文中宋" w:eastAsia="华文中宋"/>
      <w:sz w:val="36"/>
    </w:rPr>
  </w:style>
  <w:style w:type="paragraph" w:styleId="14">
    <w:name w:val="index 5"/>
    <w:basedOn w:val="1"/>
    <w:next w:val="1"/>
    <w:semiHidden/>
    <w:qFormat/>
    <w:uiPriority w:val="0"/>
    <w:pPr>
      <w:snapToGrid/>
      <w:spacing w:line="240" w:lineRule="atLeast"/>
      <w:ind w:left="1200" w:hanging="240" w:firstLineChars="0"/>
      <w:jc w:val="left"/>
      <w:textAlignment w:val="baseline"/>
    </w:pPr>
    <w:rPr>
      <w:kern w:val="0"/>
      <w:szCs w:val="21"/>
    </w:rPr>
  </w:style>
  <w:style w:type="paragraph" w:styleId="15">
    <w:name w:val="Document Map"/>
    <w:basedOn w:val="1"/>
    <w:link w:val="165"/>
    <w:qFormat/>
    <w:uiPriority w:val="0"/>
    <w:pPr>
      <w:shd w:val="clear" w:color="auto" w:fill="000080"/>
    </w:pPr>
  </w:style>
  <w:style w:type="paragraph" w:styleId="16">
    <w:name w:val="annotation text"/>
    <w:basedOn w:val="1"/>
    <w:link w:val="134"/>
    <w:qFormat/>
    <w:uiPriority w:val="0"/>
    <w:pPr>
      <w:jc w:val="left"/>
    </w:pPr>
    <w:rPr>
      <w:sz w:val="21"/>
    </w:rPr>
  </w:style>
  <w:style w:type="paragraph" w:styleId="17">
    <w:name w:val="index 6"/>
    <w:basedOn w:val="1"/>
    <w:next w:val="1"/>
    <w:semiHidden/>
    <w:qFormat/>
    <w:uiPriority w:val="0"/>
    <w:pPr>
      <w:snapToGrid/>
      <w:spacing w:line="240" w:lineRule="atLeast"/>
      <w:ind w:left="1440" w:hanging="240" w:firstLineChars="0"/>
      <w:jc w:val="left"/>
      <w:textAlignment w:val="baseline"/>
    </w:pPr>
    <w:rPr>
      <w:kern w:val="0"/>
      <w:szCs w:val="21"/>
    </w:rPr>
  </w:style>
  <w:style w:type="paragraph" w:styleId="18">
    <w:name w:val="Body Text 3"/>
    <w:basedOn w:val="1"/>
    <w:link w:val="127"/>
    <w:qFormat/>
    <w:uiPriority w:val="0"/>
    <w:pPr>
      <w:spacing w:after="120" w:line="360" w:lineRule="auto"/>
    </w:pPr>
    <w:rPr>
      <w:kern w:val="0"/>
      <w:sz w:val="16"/>
      <w:szCs w:val="16"/>
    </w:rPr>
  </w:style>
  <w:style w:type="paragraph" w:styleId="19">
    <w:name w:val="Body Text"/>
    <w:basedOn w:val="1"/>
    <w:link w:val="159"/>
    <w:qFormat/>
    <w:uiPriority w:val="0"/>
    <w:pPr>
      <w:spacing w:line="360" w:lineRule="auto"/>
    </w:pPr>
  </w:style>
  <w:style w:type="paragraph" w:styleId="20">
    <w:name w:val="Body Text Indent"/>
    <w:basedOn w:val="1"/>
    <w:link w:val="164"/>
    <w:qFormat/>
    <w:uiPriority w:val="0"/>
    <w:pPr>
      <w:ind w:firstLine="444"/>
    </w:pPr>
    <w:rPr>
      <w:b/>
    </w:rPr>
  </w:style>
  <w:style w:type="paragraph" w:styleId="21">
    <w:name w:val="index 4"/>
    <w:basedOn w:val="1"/>
    <w:next w:val="1"/>
    <w:semiHidden/>
    <w:qFormat/>
    <w:uiPriority w:val="0"/>
    <w:pPr>
      <w:snapToGrid/>
      <w:spacing w:line="240" w:lineRule="atLeast"/>
      <w:ind w:left="960" w:hanging="240" w:firstLineChars="0"/>
      <w:jc w:val="left"/>
      <w:textAlignment w:val="baseline"/>
    </w:pPr>
    <w:rPr>
      <w:kern w:val="0"/>
      <w:szCs w:val="21"/>
    </w:rPr>
  </w:style>
  <w:style w:type="paragraph" w:styleId="22">
    <w:name w:val="Plain Text"/>
    <w:basedOn w:val="1"/>
    <w:link w:val="147"/>
    <w:qFormat/>
    <w:uiPriority w:val="99"/>
    <w:rPr>
      <w:rFonts w:ascii="宋体" w:hAnsi="Courier New"/>
      <w:sz w:val="21"/>
    </w:rPr>
  </w:style>
  <w:style w:type="paragraph" w:styleId="23">
    <w:name w:val="index 3"/>
    <w:basedOn w:val="1"/>
    <w:next w:val="1"/>
    <w:semiHidden/>
    <w:qFormat/>
    <w:uiPriority w:val="0"/>
    <w:pPr>
      <w:snapToGrid/>
      <w:spacing w:line="240" w:lineRule="atLeast"/>
      <w:ind w:left="720" w:hanging="240" w:firstLineChars="0"/>
      <w:jc w:val="left"/>
      <w:textAlignment w:val="baseline"/>
    </w:pPr>
    <w:rPr>
      <w:kern w:val="0"/>
      <w:szCs w:val="21"/>
    </w:rPr>
  </w:style>
  <w:style w:type="paragraph" w:styleId="24">
    <w:name w:val="Date"/>
    <w:basedOn w:val="1"/>
    <w:next w:val="1"/>
    <w:link w:val="141"/>
    <w:qFormat/>
    <w:uiPriority w:val="0"/>
  </w:style>
  <w:style w:type="paragraph" w:styleId="25">
    <w:name w:val="Body Text Indent 2"/>
    <w:basedOn w:val="1"/>
    <w:link w:val="136"/>
    <w:qFormat/>
    <w:uiPriority w:val="0"/>
    <w:pPr>
      <w:spacing w:line="360" w:lineRule="auto"/>
      <w:ind w:firstLine="420" w:firstLineChars="175"/>
    </w:pPr>
    <w:rPr>
      <w:rFonts w:ascii="宋体" w:hAnsi="宋体"/>
      <w:b/>
      <w:bCs/>
    </w:rPr>
  </w:style>
  <w:style w:type="paragraph" w:styleId="26">
    <w:name w:val="endnote text"/>
    <w:basedOn w:val="1"/>
    <w:link w:val="131"/>
    <w:semiHidden/>
    <w:qFormat/>
    <w:uiPriority w:val="0"/>
    <w:pPr>
      <w:snapToGrid/>
      <w:spacing w:line="360" w:lineRule="atLeast"/>
      <w:ind w:firstLine="0" w:firstLineChars="0"/>
      <w:jc w:val="left"/>
      <w:textAlignment w:val="baseline"/>
    </w:pPr>
    <w:rPr>
      <w:rFonts w:ascii="宋体"/>
      <w:kern w:val="0"/>
    </w:rPr>
  </w:style>
  <w:style w:type="paragraph" w:styleId="27">
    <w:name w:val="Balloon Text"/>
    <w:basedOn w:val="1"/>
    <w:link w:val="162"/>
    <w:qFormat/>
    <w:uiPriority w:val="0"/>
    <w:rPr>
      <w:sz w:val="18"/>
      <w:szCs w:val="18"/>
    </w:rPr>
  </w:style>
  <w:style w:type="paragraph" w:styleId="28">
    <w:name w:val="footer"/>
    <w:basedOn w:val="1"/>
    <w:link w:val="126"/>
    <w:qFormat/>
    <w:uiPriority w:val="0"/>
    <w:pPr>
      <w:tabs>
        <w:tab w:val="center" w:pos="4153"/>
        <w:tab w:val="right" w:pos="8306"/>
      </w:tabs>
      <w:jc w:val="left"/>
    </w:pPr>
    <w:rPr>
      <w:sz w:val="18"/>
    </w:rPr>
  </w:style>
  <w:style w:type="paragraph" w:styleId="29">
    <w:name w:val="header"/>
    <w:basedOn w:val="1"/>
    <w:link w:val="132"/>
    <w:qFormat/>
    <w:uiPriority w:val="0"/>
    <w:pPr>
      <w:pBdr>
        <w:bottom w:val="single" w:color="auto" w:sz="6" w:space="1"/>
      </w:pBdr>
      <w:tabs>
        <w:tab w:val="center" w:pos="4153"/>
        <w:tab w:val="right" w:pos="8306"/>
      </w:tabs>
      <w:jc w:val="center"/>
    </w:pPr>
    <w:rPr>
      <w:sz w:val="18"/>
    </w:rPr>
  </w:style>
  <w:style w:type="paragraph" w:styleId="30">
    <w:name w:val="toc 1"/>
    <w:basedOn w:val="1"/>
    <w:next w:val="1"/>
    <w:qFormat/>
    <w:uiPriority w:val="39"/>
  </w:style>
  <w:style w:type="paragraph" w:styleId="31">
    <w:name w:val="index heading"/>
    <w:basedOn w:val="1"/>
    <w:next w:val="32"/>
    <w:semiHidden/>
    <w:qFormat/>
    <w:uiPriority w:val="0"/>
    <w:pPr>
      <w:pBdr>
        <w:top w:val="single" w:color="auto" w:sz="12" w:space="0"/>
      </w:pBdr>
      <w:tabs>
        <w:tab w:val="right" w:pos="737"/>
      </w:tabs>
      <w:snapToGrid/>
      <w:spacing w:before="360" w:after="240" w:line="240" w:lineRule="atLeast"/>
      <w:ind w:firstLine="0" w:firstLineChars="0"/>
      <w:jc w:val="left"/>
      <w:textAlignment w:val="baseline"/>
    </w:pPr>
    <w:rPr>
      <w:b/>
      <w:bCs/>
      <w:i/>
      <w:iCs/>
      <w:kern w:val="0"/>
      <w:szCs w:val="31"/>
    </w:rPr>
  </w:style>
  <w:style w:type="paragraph" w:styleId="32">
    <w:name w:val="index 1"/>
    <w:basedOn w:val="1"/>
    <w:next w:val="1"/>
    <w:semiHidden/>
    <w:qFormat/>
    <w:uiPriority w:val="0"/>
    <w:pPr>
      <w:snapToGrid/>
      <w:spacing w:line="240" w:lineRule="atLeast"/>
      <w:ind w:left="240" w:hanging="240" w:firstLineChars="0"/>
      <w:jc w:val="left"/>
      <w:textAlignment w:val="baseline"/>
    </w:pPr>
    <w:rPr>
      <w:kern w:val="0"/>
      <w:szCs w:val="21"/>
    </w:rPr>
  </w:style>
  <w:style w:type="paragraph" w:styleId="33">
    <w:name w:val="footnote text"/>
    <w:basedOn w:val="1"/>
    <w:link w:val="146"/>
    <w:semiHidden/>
    <w:qFormat/>
    <w:uiPriority w:val="0"/>
    <w:pPr>
      <w:spacing w:line="360" w:lineRule="atLeast"/>
      <w:ind w:firstLine="0" w:firstLineChars="0"/>
      <w:jc w:val="left"/>
      <w:textAlignment w:val="baseline"/>
    </w:pPr>
    <w:rPr>
      <w:kern w:val="0"/>
      <w:sz w:val="18"/>
    </w:rPr>
  </w:style>
  <w:style w:type="paragraph" w:styleId="34">
    <w:name w:val="Body Text Indent 3"/>
    <w:basedOn w:val="1"/>
    <w:link w:val="167"/>
    <w:qFormat/>
    <w:uiPriority w:val="0"/>
    <w:pPr>
      <w:spacing w:after="156" w:afterLines="50"/>
      <w:ind w:firstLine="420"/>
    </w:pPr>
    <w:rPr>
      <w:szCs w:val="21"/>
    </w:rPr>
  </w:style>
  <w:style w:type="paragraph" w:styleId="35">
    <w:name w:val="index 7"/>
    <w:basedOn w:val="1"/>
    <w:next w:val="1"/>
    <w:semiHidden/>
    <w:qFormat/>
    <w:uiPriority w:val="0"/>
    <w:pPr>
      <w:snapToGrid/>
      <w:spacing w:line="240" w:lineRule="atLeast"/>
      <w:ind w:left="1680" w:hanging="240" w:firstLineChars="0"/>
      <w:jc w:val="left"/>
      <w:textAlignment w:val="baseline"/>
    </w:pPr>
    <w:rPr>
      <w:kern w:val="0"/>
      <w:szCs w:val="21"/>
    </w:rPr>
  </w:style>
  <w:style w:type="paragraph" w:styleId="36">
    <w:name w:val="index 9"/>
    <w:basedOn w:val="1"/>
    <w:next w:val="1"/>
    <w:semiHidden/>
    <w:qFormat/>
    <w:uiPriority w:val="0"/>
    <w:pPr>
      <w:snapToGrid/>
      <w:spacing w:line="240" w:lineRule="atLeast"/>
      <w:ind w:left="2160" w:hanging="240" w:firstLineChars="0"/>
      <w:jc w:val="left"/>
      <w:textAlignment w:val="baseline"/>
    </w:pPr>
    <w:rPr>
      <w:kern w:val="0"/>
      <w:szCs w:val="21"/>
    </w:rPr>
  </w:style>
  <w:style w:type="paragraph" w:styleId="37">
    <w:name w:val="toc 2"/>
    <w:basedOn w:val="1"/>
    <w:next w:val="1"/>
    <w:qFormat/>
    <w:uiPriority w:val="39"/>
    <w:pPr>
      <w:ind w:left="420" w:leftChars="200"/>
    </w:pPr>
  </w:style>
  <w:style w:type="paragraph" w:styleId="38">
    <w:name w:val="Body Text 2"/>
    <w:basedOn w:val="1"/>
    <w:link w:val="138"/>
    <w:qFormat/>
    <w:uiPriority w:val="0"/>
    <w:pPr>
      <w:adjustRightInd/>
      <w:snapToGrid/>
      <w:spacing w:line="240" w:lineRule="auto"/>
      <w:ind w:firstLine="0" w:firstLineChars="0"/>
    </w:pPr>
    <w:rPr>
      <w:rFonts w:ascii="宋体" w:hAnsi="宋体"/>
      <w:color w:val="FF6600"/>
      <w:szCs w:val="24"/>
      <w:lang w:val="en-GB"/>
    </w:rPr>
  </w:style>
  <w:style w:type="paragraph" w:styleId="39">
    <w:name w:val="Normal (Web)"/>
    <w:basedOn w:val="1"/>
    <w:unhideWhenUsed/>
    <w:qFormat/>
    <w:uiPriority w:val="99"/>
    <w:pPr>
      <w:widowControl/>
      <w:spacing w:before="100" w:beforeAutospacing="1" w:after="100" w:afterAutospacing="1"/>
      <w:jc w:val="left"/>
    </w:pPr>
    <w:rPr>
      <w:rFonts w:ascii="宋体" w:hAnsi="宋体" w:cs="宋体"/>
      <w:kern w:val="0"/>
      <w:szCs w:val="24"/>
    </w:rPr>
  </w:style>
  <w:style w:type="paragraph" w:styleId="40">
    <w:name w:val="index 2"/>
    <w:basedOn w:val="1"/>
    <w:next w:val="1"/>
    <w:semiHidden/>
    <w:uiPriority w:val="0"/>
    <w:pPr>
      <w:snapToGrid/>
      <w:spacing w:line="240" w:lineRule="atLeast"/>
      <w:ind w:left="480" w:hanging="240" w:firstLineChars="0"/>
      <w:jc w:val="left"/>
      <w:textAlignment w:val="baseline"/>
    </w:pPr>
    <w:rPr>
      <w:kern w:val="0"/>
      <w:szCs w:val="21"/>
    </w:rPr>
  </w:style>
  <w:style w:type="paragraph" w:styleId="41">
    <w:name w:val="Title"/>
    <w:basedOn w:val="2"/>
    <w:next w:val="1"/>
    <w:link w:val="160"/>
    <w:qFormat/>
    <w:uiPriority w:val="0"/>
    <w:pPr>
      <w:spacing w:before="50" w:beforeLines="50" w:after="0" w:line="360" w:lineRule="auto"/>
      <w:ind w:firstLine="0" w:firstLineChars="0"/>
      <w:jc w:val="center"/>
    </w:pPr>
    <w:rPr>
      <w:rFonts w:ascii="Cambria" w:hAnsi="Cambria" w:eastAsia="黑体"/>
      <w:b w:val="0"/>
      <w:bCs w:val="0"/>
      <w:sz w:val="36"/>
      <w:szCs w:val="32"/>
    </w:rPr>
  </w:style>
  <w:style w:type="paragraph" w:styleId="42">
    <w:name w:val="annotation subject"/>
    <w:basedOn w:val="16"/>
    <w:next w:val="16"/>
    <w:link w:val="130"/>
    <w:uiPriority w:val="0"/>
    <w:rPr>
      <w:b/>
      <w:bCs/>
    </w:rPr>
  </w:style>
  <w:style w:type="paragraph" w:styleId="43">
    <w:name w:val="Body Text First Indent"/>
    <w:basedOn w:val="19"/>
    <w:link w:val="155"/>
    <w:unhideWhenUsed/>
    <w:qFormat/>
    <w:uiPriority w:val="99"/>
    <w:pPr>
      <w:adjustRightInd/>
      <w:snapToGrid/>
      <w:spacing w:after="120" w:line="240" w:lineRule="auto"/>
      <w:ind w:firstLine="420" w:firstLineChars="100"/>
    </w:pPr>
    <w:rPr>
      <w:sz w:val="21"/>
      <w:lang w:bidi="he-IL"/>
    </w:rPr>
  </w:style>
  <w:style w:type="table" w:styleId="45">
    <w:name w:val="Table Grid"/>
    <w:basedOn w:val="4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22"/>
    <w:rPr>
      <w:b/>
      <w:bCs/>
    </w:rPr>
  </w:style>
  <w:style w:type="character" w:styleId="48">
    <w:name w:val="page number"/>
    <w:basedOn w:val="46"/>
    <w:qFormat/>
    <w:uiPriority w:val="0"/>
  </w:style>
  <w:style w:type="character" w:styleId="49">
    <w:name w:val="FollowedHyperlink"/>
    <w:uiPriority w:val="99"/>
    <w:rPr>
      <w:color w:val="800080"/>
      <w:u w:val="single"/>
    </w:rPr>
  </w:style>
  <w:style w:type="character" w:styleId="50">
    <w:name w:val="Emphasis"/>
    <w:qFormat/>
    <w:uiPriority w:val="20"/>
    <w:rPr>
      <w:i/>
    </w:rPr>
  </w:style>
  <w:style w:type="character" w:styleId="51">
    <w:name w:val="Hyperlink"/>
    <w:qFormat/>
    <w:uiPriority w:val="99"/>
    <w:rPr>
      <w:color w:val="0000FF"/>
      <w:u w:val="single"/>
    </w:rPr>
  </w:style>
  <w:style w:type="character" w:styleId="52">
    <w:name w:val="annotation reference"/>
    <w:uiPriority w:val="0"/>
    <w:rPr>
      <w:sz w:val="21"/>
      <w:szCs w:val="21"/>
    </w:rPr>
  </w:style>
  <w:style w:type="character" w:styleId="53">
    <w:name w:val="footnote reference"/>
    <w:semiHidden/>
    <w:uiPriority w:val="0"/>
    <w:rPr>
      <w:vertAlign w:val="superscript"/>
    </w:rPr>
  </w:style>
  <w:style w:type="paragraph" w:customStyle="1" w:styleId="54">
    <w:name w:val="目录 911"/>
    <w:basedOn w:val="1"/>
    <w:next w:val="1"/>
    <w:uiPriority w:val="0"/>
    <w:pPr>
      <w:ind w:left="1680"/>
      <w:jc w:val="left"/>
    </w:pPr>
    <w:rPr>
      <w:rFonts w:ascii="Calibri" w:hAnsi="Calibri" w:cs="Calibri"/>
      <w:sz w:val="18"/>
      <w:szCs w:val="18"/>
    </w:rPr>
  </w:style>
  <w:style w:type="paragraph" w:customStyle="1" w:styleId="55">
    <w:name w:val="目录 71"/>
    <w:basedOn w:val="1"/>
    <w:next w:val="1"/>
    <w:uiPriority w:val="0"/>
    <w:pPr>
      <w:ind w:left="1260"/>
      <w:jc w:val="left"/>
    </w:pPr>
    <w:rPr>
      <w:rFonts w:ascii="Calibri" w:hAnsi="Calibri" w:cs="Calibri"/>
      <w:sz w:val="18"/>
      <w:szCs w:val="18"/>
    </w:rPr>
  </w:style>
  <w:style w:type="paragraph" w:customStyle="1" w:styleId="56">
    <w:name w:val=" Char Char Char Char Char"/>
    <w:basedOn w:val="1"/>
    <w:uiPriority w:val="0"/>
    <w:pPr>
      <w:adjustRightInd/>
      <w:snapToGrid/>
      <w:spacing w:line="240" w:lineRule="auto"/>
      <w:ind w:firstLine="0" w:firstLineChars="0"/>
    </w:pPr>
    <w:rPr>
      <w:sz w:val="21"/>
      <w:szCs w:val="24"/>
    </w:rPr>
  </w:style>
  <w:style w:type="paragraph" w:customStyle="1" w:styleId="57">
    <w:name w:val="正文 New New New New New New New New New New New New New New New New New New New New New New New"/>
    <w:uiPriority w:val="0"/>
    <w:pPr>
      <w:widowControl w:val="0"/>
      <w:spacing w:after="200" w:line="276" w:lineRule="auto"/>
      <w:jc w:val="both"/>
    </w:pPr>
    <w:rPr>
      <w:rFonts w:ascii="Times New Roman" w:hAnsi="Times New Roman" w:eastAsia="宋体" w:cs="Times New Roman"/>
      <w:kern w:val="2"/>
      <w:sz w:val="21"/>
      <w:lang w:val="en-US" w:eastAsia="zh-CN" w:bidi="ar-SA"/>
    </w:rPr>
  </w:style>
  <w:style w:type="paragraph" w:customStyle="1" w:styleId="58">
    <w:name w:val="Char Char Char"/>
    <w:basedOn w:val="1"/>
    <w:qFormat/>
    <w:uiPriority w:val="0"/>
    <w:rPr>
      <w:rFonts w:ascii="Tahoma" w:hAnsi="Tahoma"/>
    </w:rPr>
  </w:style>
  <w:style w:type="paragraph" w:customStyle="1" w:styleId="59">
    <w:name w:val="目录 111"/>
    <w:basedOn w:val="1"/>
    <w:next w:val="1"/>
    <w:uiPriority w:val="39"/>
    <w:pPr>
      <w:spacing w:before="120" w:after="120"/>
      <w:jc w:val="left"/>
    </w:pPr>
    <w:rPr>
      <w:rFonts w:ascii="Calibri" w:hAnsi="Calibri" w:cs="Calibri"/>
      <w:b/>
      <w:bCs/>
      <w:caps/>
      <w:sz w:val="20"/>
    </w:rPr>
  </w:style>
  <w:style w:type="paragraph" w:customStyle="1" w:styleId="60">
    <w:name w:val="附件"/>
    <w:basedOn w:val="1"/>
    <w:uiPriority w:val="0"/>
    <w:pPr>
      <w:spacing w:before="120" w:after="60"/>
      <w:jc w:val="center"/>
      <w:textAlignment w:val="center"/>
    </w:pPr>
    <w:rPr>
      <w:rFonts w:ascii="黑体" w:eastAsia="黑体"/>
      <w:b/>
      <w:kern w:val="0"/>
      <w:sz w:val="32"/>
      <w:szCs w:val="32"/>
    </w:rPr>
  </w:style>
  <w:style w:type="paragraph" w:customStyle="1" w:styleId="61">
    <w:name w:val="61"/>
    <w:qFormat/>
    <w:uiPriority w:val="0"/>
    <w:pPr>
      <w:spacing w:after="200" w:line="276" w:lineRule="auto"/>
    </w:pPr>
    <w:rPr>
      <w:rFonts w:ascii="Times New Roman" w:hAnsi="Times New Roman" w:eastAsia="宋体" w:cs="Times New Roman"/>
      <w:kern w:val="2"/>
      <w:sz w:val="21"/>
      <w:lang w:val="en-US" w:eastAsia="zh-CN" w:bidi="ar-SA"/>
    </w:rPr>
  </w:style>
  <w:style w:type="paragraph" w:customStyle="1" w:styleId="62">
    <w:name w:val="_Style 3"/>
    <w:qFormat/>
    <w:uiPriority w:val="1"/>
    <w:pPr>
      <w:spacing w:after="200" w:line="276" w:lineRule="auto"/>
    </w:pPr>
    <w:rPr>
      <w:rFonts w:ascii="Calibri" w:hAnsi="Calibri" w:eastAsia="宋体" w:cs="Times New Roman"/>
      <w:kern w:val="2"/>
      <w:sz w:val="22"/>
      <w:szCs w:val="22"/>
      <w:lang w:val="en-US" w:eastAsia="zh-CN" w:bidi="ar-SA"/>
    </w:rPr>
  </w:style>
  <w:style w:type="paragraph" w:customStyle="1" w:styleId="63">
    <w:name w:val="标题2（新）"/>
    <w:basedOn w:val="3"/>
    <w:uiPriority w:val="0"/>
    <w:pPr>
      <w:widowControl/>
      <w:spacing w:before="0" w:beforeLines="0" w:line="440" w:lineRule="exact"/>
    </w:pPr>
    <w:rPr>
      <w:rFonts w:ascii="宋体" w:eastAsia="宋体" w:cs="宋体"/>
      <w:snapToGrid/>
      <w:szCs w:val="28"/>
      <w:lang w:val="en-US" w:eastAsia="zh-CN"/>
    </w:rPr>
  </w:style>
  <w:style w:type="paragraph" w:customStyle="1" w:styleId="64">
    <w:name w:val="64"/>
    <w:basedOn w:val="2"/>
    <w:next w:val="1"/>
    <w:qFormat/>
    <w:uiPriority w:val="39"/>
    <w:pPr>
      <w:widowControl/>
      <w:spacing w:before="480" w:after="0" w:afterLines="50" w:line="276" w:lineRule="auto"/>
      <w:jc w:val="left"/>
      <w:outlineLvl w:val="9"/>
    </w:pPr>
    <w:rPr>
      <w:rFonts w:ascii="Cambria" w:hAnsi="Cambria"/>
      <w:color w:val="365F91"/>
      <w:kern w:val="0"/>
      <w:sz w:val="28"/>
      <w:szCs w:val="28"/>
    </w:rPr>
  </w:style>
  <w:style w:type="paragraph" w:customStyle="1" w:styleId="65">
    <w:name w:val="Body Text 2_0"/>
    <w:basedOn w:val="1"/>
    <w:uiPriority w:val="0"/>
    <w:pPr>
      <w:snapToGrid/>
      <w:spacing w:line="312" w:lineRule="atLeast"/>
      <w:ind w:firstLine="600" w:firstLineChars="0"/>
      <w:textAlignment w:val="baseline"/>
    </w:pPr>
    <w:rPr>
      <w:rFonts w:ascii="宋体"/>
      <w:kern w:val="0"/>
      <w:sz w:val="28"/>
    </w:rPr>
  </w:style>
  <w:style w:type="paragraph" w:customStyle="1" w:styleId="66">
    <w:name w:val="样式 55 + (西文) Times New Roman (中文) 宋体 五号 加粗 行距: 1.5 倍行距"/>
    <w:basedOn w:val="67"/>
    <w:qFormat/>
    <w:uiPriority w:val="0"/>
    <w:pPr>
      <w:spacing w:line="360" w:lineRule="auto"/>
      <w:ind w:firstLine="0"/>
    </w:pPr>
    <w:rPr>
      <w:rFonts w:ascii="Times New Roman" w:eastAsia="黑体" w:cs="宋体"/>
      <w:bCs/>
      <w:szCs w:val="20"/>
    </w:rPr>
  </w:style>
  <w:style w:type="paragraph" w:customStyle="1" w:styleId="67">
    <w:name w:val="55"/>
    <w:basedOn w:val="1"/>
    <w:uiPriority w:val="0"/>
    <w:pPr>
      <w:spacing w:line="500" w:lineRule="exact"/>
      <w:ind w:firstLine="629"/>
    </w:pPr>
    <w:rPr>
      <w:rFonts w:ascii="仿宋_GB2312" w:eastAsia="仿宋_GB2312"/>
      <w:sz w:val="28"/>
      <w:szCs w:val="28"/>
    </w:rPr>
  </w:style>
  <w:style w:type="paragraph" w:customStyle="1" w:styleId="68">
    <w:name w:val="样式1"/>
    <w:basedOn w:val="1"/>
    <w:qFormat/>
    <w:uiPriority w:val="0"/>
    <w:pPr>
      <w:snapToGrid/>
      <w:spacing w:line="420" w:lineRule="auto"/>
      <w:ind w:firstLine="0" w:firstLineChars="0"/>
      <w:jc w:val="center"/>
      <w:textAlignment w:val="baseline"/>
    </w:pPr>
    <w:rPr>
      <w:rFonts w:ascii="宋体"/>
      <w:kern w:val="0"/>
    </w:rPr>
  </w:style>
  <w:style w:type="paragraph" w:customStyle="1" w:styleId="69">
    <w:name w:val="默认段落字体 Para Char Char Char Char"/>
    <w:basedOn w:val="1"/>
    <w:uiPriority w:val="0"/>
  </w:style>
  <w:style w:type="paragraph" w:customStyle="1" w:styleId="70">
    <w:name w:val="目录 22"/>
    <w:basedOn w:val="1"/>
    <w:next w:val="1"/>
    <w:uiPriority w:val="39"/>
    <w:pPr>
      <w:ind w:left="210"/>
      <w:jc w:val="left"/>
    </w:pPr>
    <w:rPr>
      <w:rFonts w:ascii="Calibri" w:hAnsi="Calibri" w:cs="Calibri"/>
      <w:smallCaps/>
      <w:sz w:val="20"/>
    </w:rPr>
  </w:style>
  <w:style w:type="paragraph" w:customStyle="1" w:styleId="71">
    <w:name w:val="表格文字"/>
    <w:basedOn w:val="19"/>
    <w:uiPriority w:val="0"/>
    <w:pPr>
      <w:spacing w:before="20" w:after="20" w:line="360" w:lineRule="atLeast"/>
      <w:textAlignment w:val="baseline"/>
    </w:pPr>
    <w:rPr>
      <w:rFonts w:ascii="Century Gothic" w:hAnsi="Century Gothic"/>
      <w:sz w:val="20"/>
    </w:rPr>
  </w:style>
  <w:style w:type="paragraph" w:customStyle="1" w:styleId="72">
    <w:name w:val="1"/>
    <w:basedOn w:val="1"/>
    <w:uiPriority w:val="0"/>
    <w:pPr>
      <w:spacing w:after="156" w:afterLines="50" w:line="360" w:lineRule="auto"/>
      <w:ind w:firstLine="3243" w:firstLineChars="1080"/>
    </w:pPr>
    <w:rPr>
      <w:rFonts w:ascii="宋体" w:hAnsi="宋体"/>
      <w:b/>
      <w:sz w:val="30"/>
      <w:szCs w:val="21"/>
    </w:rPr>
  </w:style>
  <w:style w:type="paragraph" w:customStyle="1" w:styleId="73">
    <w:name w:val="目录 51"/>
    <w:basedOn w:val="1"/>
    <w:next w:val="1"/>
    <w:uiPriority w:val="0"/>
    <w:pPr>
      <w:ind w:left="840"/>
      <w:jc w:val="left"/>
    </w:pPr>
    <w:rPr>
      <w:rFonts w:ascii="Calibri" w:hAnsi="Calibri" w:cs="Calibri"/>
      <w:sz w:val="18"/>
      <w:szCs w:val="18"/>
    </w:rPr>
  </w:style>
  <w:style w:type="paragraph" w:customStyle="1" w:styleId="74">
    <w:name w:val="目录 61"/>
    <w:basedOn w:val="1"/>
    <w:next w:val="1"/>
    <w:uiPriority w:val="0"/>
    <w:pPr>
      <w:ind w:left="1050"/>
      <w:jc w:val="left"/>
    </w:pPr>
    <w:rPr>
      <w:rFonts w:ascii="Calibri" w:hAnsi="Calibri" w:cs="Calibri"/>
      <w:sz w:val="18"/>
      <w:szCs w:val="18"/>
    </w:rPr>
  </w:style>
  <w:style w:type="paragraph" w:customStyle="1" w:styleId="75">
    <w:name w:val="正文1"/>
    <w:basedOn w:val="1"/>
    <w:uiPriority w:val="0"/>
    <w:pPr>
      <w:spacing w:line="360" w:lineRule="atLeast"/>
      <w:jc w:val="left"/>
      <w:textAlignment w:val="baseline"/>
    </w:pPr>
    <w:rPr>
      <w:rFonts w:ascii="宋体"/>
      <w:b/>
      <w:kern w:val="0"/>
    </w:rPr>
  </w:style>
  <w:style w:type="paragraph" w:customStyle="1" w:styleId="76">
    <w:name w:val="标题3"/>
    <w:basedOn w:val="4"/>
    <w:qFormat/>
    <w:uiPriority w:val="0"/>
    <w:pPr>
      <w:keepLines w:val="0"/>
      <w:numPr>
        <w:ilvl w:val="2"/>
        <w:numId w:val="2"/>
      </w:numPr>
      <w:tabs>
        <w:tab w:val="left" w:pos="851"/>
        <w:tab w:val="left" w:pos="1200"/>
      </w:tabs>
      <w:snapToGrid/>
      <w:spacing w:before="0" w:after="0" w:line="360" w:lineRule="auto"/>
      <w:ind w:firstLineChars="0"/>
      <w:textAlignment w:val="baseline"/>
    </w:pPr>
    <w:rPr>
      <w:b w:val="0"/>
      <w:bCs w:val="0"/>
      <w:kern w:val="0"/>
      <w:sz w:val="24"/>
      <w:szCs w:val="20"/>
    </w:rPr>
  </w:style>
  <w:style w:type="paragraph" w:customStyle="1" w:styleId="77">
    <w:name w:val="金正文1"/>
    <w:basedOn w:val="1"/>
    <w:uiPriority w:val="0"/>
    <w:pPr>
      <w:spacing w:line="360" w:lineRule="auto"/>
      <w:jc w:val="left"/>
    </w:pPr>
  </w:style>
  <w:style w:type="paragraph" w:customStyle="1" w:styleId="78">
    <w:name w:val="目录 31"/>
    <w:basedOn w:val="1"/>
    <w:next w:val="1"/>
    <w:qFormat/>
    <w:uiPriority w:val="39"/>
    <w:pPr>
      <w:ind w:left="420"/>
      <w:jc w:val="left"/>
    </w:pPr>
    <w:rPr>
      <w:rFonts w:ascii="Calibri" w:hAnsi="Calibri" w:cs="Calibri"/>
      <w:i/>
      <w:iCs/>
      <w:sz w:val="20"/>
    </w:rPr>
  </w:style>
  <w:style w:type="paragraph" w:customStyle="1" w:styleId="79">
    <w:name w:val="目录 52"/>
    <w:basedOn w:val="1"/>
    <w:next w:val="1"/>
    <w:uiPriority w:val="0"/>
    <w:pPr>
      <w:ind w:left="840"/>
      <w:jc w:val="left"/>
    </w:pPr>
    <w:rPr>
      <w:rFonts w:ascii="Calibri" w:hAnsi="Calibri" w:cs="Calibri"/>
      <w:sz w:val="18"/>
      <w:szCs w:val="18"/>
    </w:rPr>
  </w:style>
  <w:style w:type="paragraph" w:customStyle="1" w:styleId="80">
    <w:name w:val="表格侧编号"/>
    <w:next w:val="1"/>
    <w:uiPriority w:val="0"/>
    <w:pPr>
      <w:widowControl w:val="0"/>
      <w:spacing w:after="200" w:line="276" w:lineRule="auto"/>
      <w:jc w:val="center"/>
    </w:pPr>
    <w:rPr>
      <w:rFonts w:ascii="宋体" w:hAnsi="宋体" w:eastAsia="宋体" w:cs="Times New Roman"/>
      <w:kern w:val="2"/>
      <w:sz w:val="21"/>
      <w:lang w:val="en-US" w:eastAsia="zh-CN" w:bidi="ar-SA"/>
    </w:rPr>
  </w:style>
  <w:style w:type="paragraph" w:customStyle="1" w:styleId="81">
    <w:name w:val="标题2"/>
    <w:basedOn w:val="3"/>
    <w:uiPriority w:val="0"/>
    <w:pPr>
      <w:keepLines w:val="0"/>
      <w:numPr>
        <w:ilvl w:val="1"/>
        <w:numId w:val="3"/>
      </w:numPr>
      <w:tabs>
        <w:tab w:val="left" w:pos="425"/>
      </w:tabs>
      <w:snapToGrid/>
      <w:spacing w:before="0" w:beforeLines="0"/>
      <w:jc w:val="both"/>
      <w:textAlignment w:val="baseline"/>
    </w:pPr>
    <w:rPr>
      <w:rFonts w:ascii="Times New Roman" w:hAnsi="Times New Roman" w:eastAsia="宋体"/>
      <w:bCs w:val="0"/>
      <w:sz w:val="24"/>
      <w:szCs w:val="20"/>
    </w:rPr>
  </w:style>
  <w:style w:type="paragraph" w:customStyle="1" w:styleId="82">
    <w:name w:val="Char"/>
    <w:basedOn w:val="1"/>
    <w:qFormat/>
    <w:uiPriority w:val="0"/>
    <w:pPr>
      <w:spacing w:line="360" w:lineRule="auto"/>
    </w:pPr>
    <w:rPr>
      <w:kern w:val="0"/>
    </w:rPr>
  </w:style>
  <w:style w:type="paragraph" w:customStyle="1" w:styleId="83">
    <w:name w:val="目录 92"/>
    <w:basedOn w:val="1"/>
    <w:next w:val="1"/>
    <w:qFormat/>
    <w:uiPriority w:val="0"/>
    <w:pPr>
      <w:ind w:left="1680"/>
      <w:jc w:val="left"/>
    </w:pPr>
    <w:rPr>
      <w:rFonts w:ascii="Calibri" w:hAnsi="Calibri" w:cs="Calibri"/>
      <w:sz w:val="18"/>
      <w:szCs w:val="18"/>
    </w:rPr>
  </w:style>
  <w:style w:type="paragraph" w:customStyle="1" w:styleId="84">
    <w:name w:val="目录 21"/>
    <w:basedOn w:val="1"/>
    <w:next w:val="1"/>
    <w:uiPriority w:val="39"/>
    <w:pPr>
      <w:ind w:left="210"/>
      <w:jc w:val="left"/>
    </w:pPr>
    <w:rPr>
      <w:rFonts w:ascii="Calibri" w:hAnsi="Calibri" w:cs="Calibri"/>
      <w:smallCaps/>
      <w:sz w:val="20"/>
    </w:rPr>
  </w:style>
  <w:style w:type="paragraph" w:customStyle="1" w:styleId="85">
    <w:name w:val="样式2"/>
    <w:basedOn w:val="1"/>
    <w:qFormat/>
    <w:uiPriority w:val="0"/>
    <w:pPr>
      <w:spacing w:line="410" w:lineRule="atLeast"/>
      <w:jc w:val="left"/>
      <w:textAlignment w:val="baseline"/>
    </w:pPr>
    <w:rPr>
      <w:kern w:val="0"/>
    </w:rPr>
  </w:style>
  <w:style w:type="paragraph" w:customStyle="1" w:styleId="86">
    <w:name w:val="目录 32"/>
    <w:basedOn w:val="1"/>
    <w:next w:val="1"/>
    <w:qFormat/>
    <w:uiPriority w:val="0"/>
    <w:pPr>
      <w:ind w:left="420"/>
      <w:jc w:val="left"/>
    </w:pPr>
    <w:rPr>
      <w:rFonts w:ascii="Calibri" w:hAnsi="Calibri" w:cs="Calibri"/>
      <w:i/>
      <w:iCs/>
      <w:sz w:val="20"/>
    </w:rPr>
  </w:style>
  <w:style w:type="paragraph" w:customStyle="1" w:styleId="87">
    <w:name w:val="目录1"/>
    <w:basedOn w:val="1"/>
    <w:qFormat/>
    <w:uiPriority w:val="0"/>
    <w:rPr>
      <w:rFonts w:ascii="黑体" w:eastAsia="黑体"/>
      <w:sz w:val="52"/>
      <w:szCs w:val="52"/>
    </w:rPr>
  </w:style>
  <w:style w:type="paragraph" w:customStyle="1" w:styleId="88">
    <w:name w:val="目录 42"/>
    <w:basedOn w:val="1"/>
    <w:next w:val="1"/>
    <w:uiPriority w:val="0"/>
    <w:pPr>
      <w:ind w:left="630"/>
      <w:jc w:val="left"/>
    </w:pPr>
    <w:rPr>
      <w:rFonts w:ascii="Calibri" w:hAnsi="Calibri" w:cs="Calibri"/>
      <w:sz w:val="18"/>
      <w:szCs w:val="18"/>
    </w:rPr>
  </w:style>
  <w:style w:type="paragraph" w:customStyle="1" w:styleId="89">
    <w:name w:val="p0"/>
    <w:basedOn w:val="1"/>
    <w:uiPriority w:val="0"/>
    <w:pPr>
      <w:widowControl/>
    </w:pPr>
    <w:rPr>
      <w:kern w:val="0"/>
    </w:rPr>
  </w:style>
  <w:style w:type="paragraph" w:customStyle="1" w:styleId="90">
    <w:name w:val="目录 411"/>
    <w:basedOn w:val="1"/>
    <w:next w:val="1"/>
    <w:qFormat/>
    <w:uiPriority w:val="0"/>
    <w:pPr>
      <w:ind w:left="630"/>
      <w:jc w:val="left"/>
    </w:pPr>
    <w:rPr>
      <w:rFonts w:ascii="Calibri" w:hAnsi="Calibri" w:cs="Calibri"/>
      <w:sz w:val="18"/>
      <w:szCs w:val="18"/>
    </w:rPr>
  </w:style>
  <w:style w:type="paragraph" w:customStyle="1" w:styleId="91">
    <w:name w:val="目录 11"/>
    <w:basedOn w:val="1"/>
    <w:next w:val="1"/>
    <w:uiPriority w:val="39"/>
    <w:pPr>
      <w:spacing w:before="120" w:after="120"/>
      <w:jc w:val="left"/>
    </w:pPr>
    <w:rPr>
      <w:rFonts w:ascii="Calibri" w:hAnsi="Calibri" w:cs="Calibri"/>
      <w:b/>
      <w:bCs/>
      <w:caps/>
      <w:sz w:val="20"/>
    </w:rPr>
  </w:style>
  <w:style w:type="paragraph" w:customStyle="1" w:styleId="92">
    <w:name w:val="0"/>
    <w:basedOn w:val="1"/>
    <w:qFormat/>
    <w:uiPriority w:val="0"/>
    <w:pPr>
      <w:widowControl/>
      <w:adjustRightInd/>
      <w:spacing w:line="240" w:lineRule="auto"/>
      <w:ind w:firstLine="0" w:firstLineChars="0"/>
    </w:pPr>
    <w:rPr>
      <w:rFonts w:ascii="Calibri" w:hAnsi="Calibri"/>
      <w:kern w:val="0"/>
      <w:sz w:val="21"/>
      <w:szCs w:val="21"/>
    </w:rPr>
  </w:style>
  <w:style w:type="paragraph" w:customStyle="1" w:styleId="93">
    <w:name w:val="Normal_43_0"/>
    <w:qFormat/>
    <w:uiPriority w:val="0"/>
    <w:pPr>
      <w:spacing w:before="120" w:after="240" w:line="276" w:lineRule="auto"/>
      <w:jc w:val="both"/>
    </w:pPr>
    <w:rPr>
      <w:rFonts w:ascii="Calibri" w:hAnsi="Calibri" w:eastAsia="Calibri" w:cs="Times New Roman"/>
      <w:sz w:val="22"/>
      <w:szCs w:val="22"/>
      <w:lang w:val="en-US" w:eastAsia="en-US" w:bidi="ar-SA"/>
    </w:rPr>
  </w:style>
  <w:style w:type="paragraph" w:styleId="94">
    <w:name w:val="No Spacing"/>
    <w:link w:val="129"/>
    <w:qFormat/>
    <w:uiPriority w:val="1"/>
    <w:pPr>
      <w:spacing w:after="200" w:line="276" w:lineRule="auto"/>
    </w:pPr>
    <w:rPr>
      <w:rFonts w:ascii="Calibri" w:hAnsi="Calibri" w:eastAsia="宋体" w:cs="Times New Roman"/>
      <w:sz w:val="22"/>
      <w:szCs w:val="22"/>
      <w:lang w:val="en-US" w:eastAsia="zh-CN" w:bidi="ar-SA"/>
    </w:rPr>
  </w:style>
  <w:style w:type="paragraph" w:customStyle="1" w:styleId="95">
    <w:name w:val="标题4"/>
    <w:basedOn w:val="5"/>
    <w:qFormat/>
    <w:uiPriority w:val="0"/>
    <w:pPr>
      <w:keepLines w:val="0"/>
      <w:numPr>
        <w:ilvl w:val="3"/>
        <w:numId w:val="2"/>
      </w:numPr>
      <w:tabs>
        <w:tab w:val="left" w:pos="1080"/>
        <w:tab w:val="left" w:pos="1620"/>
      </w:tabs>
      <w:snapToGrid/>
      <w:ind w:firstLineChars="0"/>
      <w:jc w:val="both"/>
      <w:textAlignment w:val="baseline"/>
    </w:pPr>
    <w:rPr>
      <w:rFonts w:ascii="Arial" w:hAnsi="Arial" w:eastAsia="宋体"/>
      <w:bCs w:val="0"/>
      <w:kern w:val="0"/>
      <w:szCs w:val="20"/>
    </w:rPr>
  </w:style>
  <w:style w:type="paragraph" w:customStyle="1" w:styleId="96">
    <w:name w:val="目录 91"/>
    <w:basedOn w:val="1"/>
    <w:next w:val="1"/>
    <w:qFormat/>
    <w:uiPriority w:val="0"/>
    <w:pPr>
      <w:ind w:left="1680"/>
      <w:jc w:val="left"/>
    </w:pPr>
    <w:rPr>
      <w:rFonts w:ascii="Calibri" w:hAnsi="Calibri" w:cs="Calibri"/>
      <w:sz w:val="18"/>
      <w:szCs w:val="18"/>
    </w:rPr>
  </w:style>
  <w:style w:type="paragraph" w:customStyle="1" w:styleId="97">
    <w:name w:val="目录 511"/>
    <w:basedOn w:val="1"/>
    <w:next w:val="1"/>
    <w:qFormat/>
    <w:uiPriority w:val="0"/>
    <w:pPr>
      <w:ind w:left="840"/>
      <w:jc w:val="left"/>
    </w:pPr>
    <w:rPr>
      <w:rFonts w:ascii="Calibri" w:hAnsi="Calibri" w:cs="Calibri"/>
      <w:sz w:val="18"/>
      <w:szCs w:val="18"/>
    </w:rPr>
  </w:style>
  <w:style w:type="paragraph" w:customStyle="1" w:styleId="98">
    <w:name w:val="表格"/>
    <w:basedOn w:val="1"/>
    <w:qFormat/>
    <w:uiPriority w:val="0"/>
    <w:pPr>
      <w:spacing w:before="60" w:after="60"/>
      <w:jc w:val="center"/>
      <w:textAlignment w:val="baseline"/>
    </w:pPr>
    <w:rPr>
      <w:rFonts w:ascii="宋体"/>
      <w:kern w:val="0"/>
    </w:rPr>
  </w:style>
  <w:style w:type="paragraph" w:customStyle="1" w:styleId="99">
    <w:name w:val="目录 711"/>
    <w:basedOn w:val="1"/>
    <w:next w:val="1"/>
    <w:qFormat/>
    <w:uiPriority w:val="0"/>
    <w:pPr>
      <w:ind w:left="1260"/>
      <w:jc w:val="left"/>
    </w:pPr>
    <w:rPr>
      <w:rFonts w:ascii="Calibri" w:hAnsi="Calibri" w:cs="Calibri"/>
      <w:sz w:val="18"/>
      <w:szCs w:val="18"/>
    </w:rPr>
  </w:style>
  <w:style w:type="paragraph" w:customStyle="1" w:styleId="100">
    <w:name w:val="列出段落1"/>
    <w:basedOn w:val="1"/>
    <w:qFormat/>
    <w:uiPriority w:val="34"/>
    <w:pPr>
      <w:ind w:firstLine="420"/>
    </w:pPr>
  </w:style>
  <w:style w:type="paragraph" w:customStyle="1" w:styleId="101">
    <w:name w:val="目录 311"/>
    <w:basedOn w:val="1"/>
    <w:next w:val="1"/>
    <w:qFormat/>
    <w:uiPriority w:val="0"/>
    <w:pPr>
      <w:ind w:left="420"/>
      <w:jc w:val="left"/>
    </w:pPr>
    <w:rPr>
      <w:rFonts w:ascii="Calibri" w:hAnsi="Calibri" w:cs="Calibri"/>
      <w:i/>
      <w:iCs/>
      <w:sz w:val="20"/>
    </w:rPr>
  </w:style>
  <w:style w:type="paragraph" w:customStyle="1" w:styleId="102">
    <w:name w:val="目录 81"/>
    <w:basedOn w:val="1"/>
    <w:next w:val="1"/>
    <w:qFormat/>
    <w:uiPriority w:val="0"/>
    <w:pPr>
      <w:ind w:left="1470"/>
      <w:jc w:val="left"/>
    </w:pPr>
    <w:rPr>
      <w:rFonts w:ascii="Calibri" w:hAnsi="Calibri" w:cs="Calibri"/>
      <w:sz w:val="18"/>
      <w:szCs w:val="18"/>
    </w:rPr>
  </w:style>
  <w:style w:type="paragraph" w:customStyle="1" w:styleId="103">
    <w:name w:val="正文文本 31"/>
    <w:basedOn w:val="1"/>
    <w:qFormat/>
    <w:uiPriority w:val="0"/>
    <w:pPr>
      <w:spacing w:line="360" w:lineRule="auto"/>
      <w:jc w:val="center"/>
      <w:textAlignment w:val="baseline"/>
    </w:pPr>
    <w:rPr>
      <w:rFonts w:ascii="宋体"/>
      <w:b/>
      <w:color w:val="FF0000"/>
      <w:kern w:val="0"/>
      <w:u w:val="single"/>
    </w:rPr>
  </w:style>
  <w:style w:type="paragraph" w:customStyle="1" w:styleId="104">
    <w:name w:val="Char Char Char Char Char"/>
    <w:basedOn w:val="1"/>
    <w:qFormat/>
    <w:uiPriority w:val="0"/>
    <w:pPr>
      <w:adjustRightInd/>
      <w:snapToGrid/>
      <w:spacing w:line="240" w:lineRule="auto"/>
      <w:ind w:firstLine="0" w:firstLineChars="0"/>
    </w:pPr>
    <w:rPr>
      <w:sz w:val="21"/>
      <w:szCs w:val="24"/>
    </w:rPr>
  </w:style>
  <w:style w:type="paragraph" w:customStyle="1" w:styleId="105">
    <w:name w:val="Default"/>
    <w:uiPriority w:val="0"/>
    <w:pPr>
      <w:widowControl w:val="0"/>
      <w:autoSpaceDE w:val="0"/>
      <w:autoSpaceDN w:val="0"/>
      <w:adjustRightInd w:val="0"/>
      <w:spacing w:after="200" w:line="276" w:lineRule="auto"/>
    </w:pPr>
    <w:rPr>
      <w:rFonts w:ascii="宋体" w:hAnsi="Times New Roman" w:eastAsia="宋体" w:cs="Times New Roman"/>
      <w:color w:val="000000"/>
      <w:sz w:val="24"/>
      <w:lang w:val="en-US" w:eastAsia="zh-CN" w:bidi="ar-SA"/>
    </w:rPr>
  </w:style>
  <w:style w:type="paragraph" w:customStyle="1" w:styleId="106">
    <w:name w:val="目录 611"/>
    <w:basedOn w:val="1"/>
    <w:next w:val="1"/>
    <w:qFormat/>
    <w:uiPriority w:val="0"/>
    <w:pPr>
      <w:ind w:left="1050"/>
      <w:jc w:val="left"/>
    </w:pPr>
    <w:rPr>
      <w:rFonts w:ascii="Calibri" w:hAnsi="Calibri" w:cs="Calibri"/>
      <w:sz w:val="18"/>
      <w:szCs w:val="18"/>
    </w:rPr>
  </w:style>
  <w:style w:type="paragraph" w:customStyle="1" w:styleId="107">
    <w:name w:val="目录 41"/>
    <w:basedOn w:val="1"/>
    <w:next w:val="1"/>
    <w:qFormat/>
    <w:uiPriority w:val="0"/>
    <w:pPr>
      <w:ind w:left="630"/>
      <w:jc w:val="left"/>
    </w:pPr>
    <w:rPr>
      <w:rFonts w:ascii="Calibri" w:hAnsi="Calibri" w:cs="Calibri"/>
      <w:sz w:val="18"/>
      <w:szCs w:val="18"/>
    </w:rPr>
  </w:style>
  <w:style w:type="paragraph" w:customStyle="1" w:styleId="108">
    <w:name w:val="缺省文本"/>
    <w:uiPriority w:val="0"/>
    <w:pPr>
      <w:widowControl w:val="0"/>
      <w:autoSpaceDE w:val="0"/>
      <w:autoSpaceDN w:val="0"/>
      <w:adjustRightInd w:val="0"/>
      <w:spacing w:after="200" w:line="276" w:lineRule="auto"/>
    </w:pPr>
    <w:rPr>
      <w:rFonts w:ascii="Times New Roman" w:hAnsi="Times New Roman" w:eastAsia="宋体" w:cs="Times New Roman"/>
      <w:color w:val="000000"/>
      <w:szCs w:val="24"/>
      <w:lang w:val="en-US" w:eastAsia="zh-CN" w:bidi="ar-SA"/>
    </w:rPr>
  </w:style>
  <w:style w:type="paragraph" w:customStyle="1" w:styleId="109">
    <w:name w:val="(1)"/>
    <w:basedOn w:val="1"/>
    <w:uiPriority w:val="0"/>
    <w:pPr>
      <w:tabs>
        <w:tab w:val="left" w:pos="573"/>
      </w:tabs>
      <w:spacing w:before="80" w:after="100" w:line="240" w:lineRule="atLeast"/>
      <w:ind w:firstLine="0" w:firstLineChars="0"/>
      <w:textAlignment w:val="baseline"/>
    </w:pPr>
    <w:rPr>
      <w:rFonts w:ascii="Arial" w:hAnsi="Arial"/>
      <w:kern w:val="44"/>
      <w:szCs w:val="24"/>
    </w:rPr>
  </w:style>
  <w:style w:type="paragraph" w:customStyle="1" w:styleId="110">
    <w:name w:val="列出段落11"/>
    <w:basedOn w:val="1"/>
    <w:qFormat/>
    <w:uiPriority w:val="34"/>
    <w:pPr>
      <w:ind w:firstLine="420"/>
    </w:pPr>
    <w:rPr>
      <w:rFonts w:ascii="Calibri" w:hAnsi="Calibri"/>
      <w:szCs w:val="22"/>
    </w:rPr>
  </w:style>
  <w:style w:type="paragraph" w:customStyle="1" w:styleId="111">
    <w:name w:val=" Char1"/>
    <w:basedOn w:val="1"/>
    <w:qFormat/>
    <w:uiPriority w:val="0"/>
    <w:pPr>
      <w:adjustRightInd/>
      <w:snapToGrid/>
      <w:spacing w:line="240" w:lineRule="auto"/>
      <w:ind w:firstLine="0" w:firstLineChars="0"/>
    </w:pPr>
    <w:rPr>
      <w:sz w:val="21"/>
      <w:szCs w:val="24"/>
    </w:rPr>
  </w:style>
  <w:style w:type="paragraph" w:customStyle="1" w:styleId="112">
    <w:name w:val="列出段落"/>
    <w:basedOn w:val="1"/>
    <w:qFormat/>
    <w:uiPriority w:val="34"/>
    <w:pPr>
      <w:ind w:firstLine="420"/>
    </w:pPr>
  </w:style>
  <w:style w:type="paragraph" w:customStyle="1" w:styleId="113">
    <w:name w:val="Normal_0"/>
    <w:qFormat/>
    <w:uiPriority w:val="0"/>
    <w:pPr>
      <w:widowControl w:val="0"/>
      <w:autoSpaceDE w:val="0"/>
      <w:autoSpaceDN w:val="0"/>
      <w:adjustRightInd w:val="0"/>
      <w:spacing w:after="200" w:line="360" w:lineRule="atLeast"/>
      <w:ind w:right="104"/>
      <w:jc w:val="both"/>
      <w:textAlignment w:val="bottom"/>
    </w:pPr>
    <w:rPr>
      <w:rFonts w:ascii="Times New Roman" w:hAnsi="Times New Roman" w:eastAsia="宋体" w:cs="Times New Roman"/>
      <w:position w:val="-6"/>
      <w:sz w:val="24"/>
      <w:lang w:val="en-US" w:eastAsia="zh-CN" w:bidi="ar-SA"/>
    </w:rPr>
  </w:style>
  <w:style w:type="paragraph" w:customStyle="1" w:styleId="114">
    <w:name w:val="标题2（新） Char"/>
    <w:basedOn w:val="3"/>
    <w:qFormat/>
    <w:uiPriority w:val="0"/>
    <w:pPr>
      <w:widowControl/>
      <w:adjustRightInd/>
      <w:snapToGrid/>
      <w:spacing w:before="0" w:beforeLines="0" w:line="440" w:lineRule="exact"/>
    </w:pPr>
    <w:rPr>
      <w:rFonts w:ascii="宋体" w:eastAsia="宋体" w:cs="宋体"/>
      <w:b/>
      <w:szCs w:val="28"/>
    </w:rPr>
  </w:style>
  <w:style w:type="paragraph" w:customStyle="1" w:styleId="115">
    <w:name w:val=" Char"/>
    <w:basedOn w:val="1"/>
    <w:qFormat/>
    <w:uiPriority w:val="0"/>
    <w:pPr>
      <w:adjustRightInd/>
      <w:snapToGrid/>
      <w:spacing w:line="240" w:lineRule="auto"/>
      <w:ind w:firstLine="0" w:firstLineChars="0"/>
    </w:pPr>
    <w:rPr>
      <w:sz w:val="21"/>
      <w:szCs w:val="24"/>
    </w:rPr>
  </w:style>
  <w:style w:type="paragraph" w:customStyle="1" w:styleId="116">
    <w:name w:val="ccf"/>
    <w:basedOn w:val="1"/>
    <w:qFormat/>
    <w:uiPriority w:val="0"/>
    <w:pPr>
      <w:snapToGrid/>
      <w:spacing w:line="312" w:lineRule="atLeast"/>
      <w:ind w:left="1191" w:hanging="1191" w:firstLineChars="0"/>
      <w:textAlignment w:val="baseline"/>
    </w:pPr>
    <w:rPr>
      <w:kern w:val="0"/>
      <w:sz w:val="26"/>
      <w:szCs w:val="26"/>
    </w:rPr>
  </w:style>
  <w:style w:type="paragraph" w:customStyle="1" w:styleId="117">
    <w:name w:val="目录 811"/>
    <w:basedOn w:val="1"/>
    <w:next w:val="1"/>
    <w:qFormat/>
    <w:uiPriority w:val="0"/>
    <w:pPr>
      <w:ind w:left="1470"/>
      <w:jc w:val="left"/>
    </w:pPr>
    <w:rPr>
      <w:rFonts w:ascii="Calibri" w:hAnsi="Calibri" w:cs="Calibri"/>
      <w:sz w:val="18"/>
      <w:szCs w:val="18"/>
    </w:rPr>
  </w:style>
  <w:style w:type="paragraph" w:customStyle="1" w:styleId="118">
    <w:name w:val="目录 211"/>
    <w:basedOn w:val="1"/>
    <w:next w:val="1"/>
    <w:qFormat/>
    <w:uiPriority w:val="39"/>
    <w:pPr>
      <w:ind w:left="210"/>
      <w:jc w:val="left"/>
    </w:pPr>
    <w:rPr>
      <w:rFonts w:ascii="Calibri" w:hAnsi="Calibri" w:cs="Calibri"/>
      <w:smallCaps/>
      <w:sz w:val="20"/>
    </w:rPr>
  </w:style>
  <w:style w:type="paragraph" w:customStyle="1" w:styleId="119">
    <w:name w:val=" Char Char1"/>
    <w:basedOn w:val="1"/>
    <w:qFormat/>
    <w:uiPriority w:val="0"/>
    <w:pPr>
      <w:adjustRightInd/>
      <w:snapToGrid/>
      <w:spacing w:line="240" w:lineRule="auto"/>
      <w:ind w:firstLine="0" w:firstLineChars="0"/>
    </w:pPr>
    <w:rPr>
      <w:sz w:val="21"/>
      <w:szCs w:val="24"/>
    </w:rPr>
  </w:style>
  <w:style w:type="paragraph" w:customStyle="1" w:styleId="120">
    <w:name w:val="Betreff"/>
    <w:basedOn w:val="1"/>
    <w:uiPriority w:val="0"/>
    <w:pPr>
      <w:widowControl/>
      <w:tabs>
        <w:tab w:val="left" w:pos="5670"/>
        <w:tab w:val="left" w:pos="7938"/>
      </w:tabs>
      <w:adjustRightInd/>
      <w:snapToGrid/>
      <w:spacing w:before="1200" w:line="240" w:lineRule="auto"/>
      <w:ind w:firstLine="0" w:firstLineChars="0"/>
      <w:jc w:val="left"/>
    </w:pPr>
    <w:rPr>
      <w:rFonts w:ascii="Arial" w:hAnsi="Arial"/>
      <w:kern w:val="0"/>
      <w:sz w:val="22"/>
      <w:lang w:val="de-DE"/>
    </w:rPr>
  </w:style>
  <w:style w:type="paragraph" w:customStyle="1" w:styleId="121">
    <w:name w:val="目录 72"/>
    <w:basedOn w:val="1"/>
    <w:next w:val="1"/>
    <w:qFormat/>
    <w:uiPriority w:val="0"/>
    <w:pPr>
      <w:ind w:left="1260"/>
      <w:jc w:val="left"/>
    </w:pPr>
    <w:rPr>
      <w:rFonts w:ascii="Calibri" w:hAnsi="Calibri" w:cs="Calibri"/>
      <w:sz w:val="18"/>
      <w:szCs w:val="18"/>
    </w:rPr>
  </w:style>
  <w:style w:type="paragraph" w:customStyle="1" w:styleId="122">
    <w:name w:val="目录 82"/>
    <w:basedOn w:val="1"/>
    <w:next w:val="1"/>
    <w:uiPriority w:val="0"/>
    <w:pPr>
      <w:ind w:left="1470"/>
      <w:jc w:val="left"/>
    </w:pPr>
    <w:rPr>
      <w:rFonts w:ascii="Calibri" w:hAnsi="Calibri" w:cs="Calibri"/>
      <w:sz w:val="18"/>
      <w:szCs w:val="18"/>
    </w:rPr>
  </w:style>
  <w:style w:type="paragraph" w:customStyle="1" w:styleId="123">
    <w:name w:val="目录 62"/>
    <w:basedOn w:val="1"/>
    <w:next w:val="1"/>
    <w:qFormat/>
    <w:uiPriority w:val="0"/>
    <w:pPr>
      <w:ind w:left="1050"/>
      <w:jc w:val="left"/>
    </w:pPr>
    <w:rPr>
      <w:rFonts w:ascii="Calibri" w:hAnsi="Calibri" w:cs="Calibri"/>
      <w:sz w:val="18"/>
      <w:szCs w:val="18"/>
    </w:rPr>
  </w:style>
  <w:style w:type="paragraph" w:customStyle="1" w:styleId="124">
    <w:name w:val="目录 12"/>
    <w:basedOn w:val="1"/>
    <w:next w:val="1"/>
    <w:uiPriority w:val="39"/>
    <w:pPr>
      <w:spacing w:before="120" w:after="120"/>
      <w:jc w:val="left"/>
    </w:pPr>
    <w:rPr>
      <w:rFonts w:ascii="Calibri" w:hAnsi="Calibri" w:cs="Calibri"/>
      <w:b/>
      <w:bCs/>
      <w:caps/>
      <w:sz w:val="20"/>
    </w:rPr>
  </w:style>
  <w:style w:type="character" w:customStyle="1" w:styleId="125">
    <w:name w:val="标题 7 字符"/>
    <w:link w:val="9"/>
    <w:qFormat/>
    <w:uiPriority w:val="0"/>
    <w:rPr>
      <w:b/>
      <w:bCs/>
      <w:sz w:val="24"/>
      <w:szCs w:val="24"/>
    </w:rPr>
  </w:style>
  <w:style w:type="character" w:customStyle="1" w:styleId="126">
    <w:name w:val="页脚 字符"/>
    <w:link w:val="28"/>
    <w:qFormat/>
    <w:uiPriority w:val="0"/>
    <w:rPr>
      <w:kern w:val="2"/>
      <w:sz w:val="18"/>
    </w:rPr>
  </w:style>
  <w:style w:type="character" w:customStyle="1" w:styleId="127">
    <w:name w:val="正文文本 3 字符"/>
    <w:link w:val="18"/>
    <w:qFormat/>
    <w:uiPriority w:val="0"/>
    <w:rPr>
      <w:sz w:val="16"/>
      <w:szCs w:val="16"/>
    </w:rPr>
  </w:style>
  <w:style w:type="character" w:customStyle="1" w:styleId="128">
    <w:name w:val="正文文本 3 Char1"/>
    <w:semiHidden/>
    <w:qFormat/>
    <w:uiPriority w:val="99"/>
    <w:rPr>
      <w:kern w:val="2"/>
      <w:sz w:val="16"/>
      <w:szCs w:val="16"/>
    </w:rPr>
  </w:style>
  <w:style w:type="character" w:customStyle="1" w:styleId="129">
    <w:name w:val="无间隔 字符"/>
    <w:link w:val="94"/>
    <w:qFormat/>
    <w:uiPriority w:val="1"/>
    <w:rPr>
      <w:rFonts w:ascii="Calibri" w:hAnsi="Calibri"/>
      <w:sz w:val="22"/>
      <w:szCs w:val="22"/>
      <w:lang w:val="en-US" w:eastAsia="zh-CN" w:bidi="ar-SA"/>
    </w:rPr>
  </w:style>
  <w:style w:type="character" w:customStyle="1" w:styleId="130">
    <w:name w:val="批注主题 字符"/>
    <w:link w:val="42"/>
    <w:qFormat/>
    <w:uiPriority w:val="0"/>
    <w:rPr>
      <w:b/>
      <w:bCs/>
      <w:kern w:val="2"/>
      <w:sz w:val="21"/>
    </w:rPr>
  </w:style>
  <w:style w:type="character" w:customStyle="1" w:styleId="131">
    <w:name w:val="尾注文本 字符"/>
    <w:link w:val="26"/>
    <w:semiHidden/>
    <w:qFormat/>
    <w:uiPriority w:val="0"/>
    <w:rPr>
      <w:rFonts w:ascii="宋体"/>
      <w:sz w:val="24"/>
    </w:rPr>
  </w:style>
  <w:style w:type="character" w:customStyle="1" w:styleId="132">
    <w:name w:val="页眉 字符"/>
    <w:link w:val="29"/>
    <w:qFormat/>
    <w:uiPriority w:val="0"/>
    <w:rPr>
      <w:kern w:val="2"/>
      <w:sz w:val="18"/>
    </w:rPr>
  </w:style>
  <w:style w:type="character" w:customStyle="1" w:styleId="133">
    <w:name w:val="标题 3 字符"/>
    <w:link w:val="4"/>
    <w:qFormat/>
    <w:uiPriority w:val="0"/>
    <w:rPr>
      <w:b/>
      <w:bCs/>
      <w:kern w:val="2"/>
      <w:sz w:val="21"/>
      <w:szCs w:val="32"/>
    </w:rPr>
  </w:style>
  <w:style w:type="character" w:customStyle="1" w:styleId="134">
    <w:name w:val="批注文字 字符"/>
    <w:link w:val="16"/>
    <w:qFormat/>
    <w:uiPriority w:val="0"/>
    <w:rPr>
      <w:kern w:val="2"/>
      <w:sz w:val="21"/>
    </w:rPr>
  </w:style>
  <w:style w:type="character" w:customStyle="1" w:styleId="135">
    <w:name w:val="纯文本 Char"/>
    <w:qFormat/>
    <w:uiPriority w:val="0"/>
    <w:rPr>
      <w:rFonts w:ascii="Arial" w:hAnsi="Arial" w:eastAsia="宋体"/>
      <w:kern w:val="2"/>
      <w:sz w:val="24"/>
      <w:lang w:val="en-US" w:eastAsia="zh-CN" w:bidi="ar-SA"/>
    </w:rPr>
  </w:style>
  <w:style w:type="character" w:customStyle="1" w:styleId="136">
    <w:name w:val="正文文本缩进 2 字符"/>
    <w:link w:val="25"/>
    <w:qFormat/>
    <w:uiPriority w:val="0"/>
    <w:rPr>
      <w:rFonts w:ascii="宋体" w:hAnsi="宋体"/>
      <w:b/>
      <w:bCs/>
      <w:kern w:val="2"/>
      <w:sz w:val="24"/>
    </w:rPr>
  </w:style>
  <w:style w:type="character" w:customStyle="1" w:styleId="137">
    <w:name w:val="正文文本 2 字符1"/>
    <w:semiHidden/>
    <w:qFormat/>
    <w:uiPriority w:val="99"/>
    <w:rPr>
      <w:kern w:val="2"/>
      <w:sz w:val="24"/>
    </w:rPr>
  </w:style>
  <w:style w:type="character" w:customStyle="1" w:styleId="138">
    <w:name w:val="正文文本 2 字符"/>
    <w:link w:val="38"/>
    <w:qFormat/>
    <w:uiPriority w:val="0"/>
    <w:rPr>
      <w:rFonts w:ascii="宋体" w:hAnsi="宋体"/>
      <w:color w:val="FF6600"/>
      <w:kern w:val="2"/>
      <w:sz w:val="24"/>
      <w:szCs w:val="24"/>
      <w:lang w:val="en-GB"/>
    </w:rPr>
  </w:style>
  <w:style w:type="character" w:customStyle="1" w:styleId="139">
    <w:name w:val="标题 5 Char"/>
    <w:qFormat/>
    <w:uiPriority w:val="0"/>
    <w:rPr>
      <w:b/>
      <w:kern w:val="2"/>
      <w:sz w:val="28"/>
    </w:rPr>
  </w:style>
  <w:style w:type="character" w:customStyle="1" w:styleId="140">
    <w:name w:val="尾注文本 Char"/>
    <w:semiHidden/>
    <w:qFormat/>
    <w:uiPriority w:val="0"/>
    <w:rPr>
      <w:rFonts w:ascii="宋体"/>
      <w:sz w:val="24"/>
    </w:rPr>
  </w:style>
  <w:style w:type="character" w:customStyle="1" w:styleId="141">
    <w:name w:val="日期 字符"/>
    <w:link w:val="24"/>
    <w:qFormat/>
    <w:uiPriority w:val="0"/>
    <w:rPr>
      <w:kern w:val="2"/>
      <w:sz w:val="24"/>
    </w:rPr>
  </w:style>
  <w:style w:type="character" w:customStyle="1" w:styleId="142">
    <w:name w:val="专用功能1"/>
    <w:qFormat/>
    <w:uiPriority w:val="0"/>
    <w:rPr>
      <w:color w:val="666666"/>
      <w:sz w:val="20"/>
    </w:rPr>
  </w:style>
  <w:style w:type="character" w:customStyle="1" w:styleId="143">
    <w:name w:val="unnamed11"/>
    <w:qFormat/>
    <w:uiPriority w:val="0"/>
    <w:rPr>
      <w:u w:val="none"/>
    </w:rPr>
  </w:style>
  <w:style w:type="character" w:customStyle="1" w:styleId="144">
    <w:name w:val="标题 6 字符"/>
    <w:link w:val="8"/>
    <w:qFormat/>
    <w:uiPriority w:val="0"/>
    <w:rPr>
      <w:rFonts w:ascii="Arial" w:hAnsi="Arial" w:eastAsia="黑体"/>
      <w:b/>
      <w:bCs/>
      <w:sz w:val="24"/>
      <w:szCs w:val="24"/>
    </w:rPr>
  </w:style>
  <w:style w:type="character" w:customStyle="1" w:styleId="145">
    <w:name w:val="标题 9 字符"/>
    <w:link w:val="11"/>
    <w:qFormat/>
    <w:uiPriority w:val="0"/>
    <w:rPr>
      <w:rFonts w:ascii="Arial" w:hAnsi="Arial" w:eastAsia="黑体"/>
      <w:sz w:val="21"/>
      <w:szCs w:val="21"/>
    </w:rPr>
  </w:style>
  <w:style w:type="character" w:customStyle="1" w:styleId="146">
    <w:name w:val="脚注文本 字符"/>
    <w:link w:val="33"/>
    <w:semiHidden/>
    <w:qFormat/>
    <w:uiPriority w:val="0"/>
    <w:rPr>
      <w:sz w:val="18"/>
    </w:rPr>
  </w:style>
  <w:style w:type="character" w:customStyle="1" w:styleId="147">
    <w:name w:val="纯文本 字符"/>
    <w:link w:val="22"/>
    <w:qFormat/>
    <w:uiPriority w:val="99"/>
    <w:rPr>
      <w:rFonts w:ascii="宋体" w:hAnsi="Courier New"/>
      <w:kern w:val="2"/>
      <w:sz w:val="21"/>
    </w:rPr>
  </w:style>
  <w:style w:type="character" w:customStyle="1" w:styleId="148">
    <w:name w:val="无间隔 Char1"/>
    <w:qFormat/>
    <w:uiPriority w:val="1"/>
    <w:rPr>
      <w:rFonts w:ascii="Calibri" w:hAnsi="Calibri" w:eastAsia="宋体"/>
      <w:kern w:val="2"/>
      <w:sz w:val="21"/>
      <w:szCs w:val="22"/>
      <w:lang w:bidi="ar-SA"/>
    </w:rPr>
  </w:style>
  <w:style w:type="character" w:customStyle="1" w:styleId="149">
    <w:name w:val="标题 8 字符"/>
    <w:link w:val="10"/>
    <w:qFormat/>
    <w:uiPriority w:val="0"/>
    <w:rPr>
      <w:rFonts w:ascii="Cambria" w:hAnsi="Cambria" w:eastAsia="宋体" w:cs="Times New Roman"/>
      <w:kern w:val="2"/>
      <w:sz w:val="24"/>
      <w:szCs w:val="24"/>
    </w:rPr>
  </w:style>
  <w:style w:type="character" w:customStyle="1" w:styleId="150">
    <w:name w:val="标题 1 字符"/>
    <w:link w:val="2"/>
    <w:qFormat/>
    <w:uiPriority w:val="0"/>
    <w:rPr>
      <w:b/>
      <w:bCs/>
      <w:kern w:val="44"/>
      <w:sz w:val="44"/>
      <w:szCs w:val="44"/>
    </w:rPr>
  </w:style>
  <w:style w:type="character" w:customStyle="1" w:styleId="151">
    <w:name w:val="批注文字 Char"/>
    <w:qFormat/>
    <w:uiPriority w:val="0"/>
    <w:rPr>
      <w:kern w:val="2"/>
      <w:sz w:val="21"/>
      <w:szCs w:val="24"/>
    </w:rPr>
  </w:style>
  <w:style w:type="character" w:customStyle="1" w:styleId="152">
    <w:name w:val="正文缩进 字符"/>
    <w:link w:val="7"/>
    <w:qFormat/>
    <w:locked/>
    <w:uiPriority w:val="0"/>
    <w:rPr>
      <w:kern w:val="2"/>
      <w:sz w:val="24"/>
    </w:rPr>
  </w:style>
  <w:style w:type="character" w:customStyle="1" w:styleId="153">
    <w:name w:val="纯文本 Char1"/>
    <w:qFormat/>
    <w:uiPriority w:val="0"/>
    <w:rPr>
      <w:rFonts w:ascii="宋体" w:hAnsi="Courier New"/>
      <w:kern w:val="2"/>
      <w:sz w:val="21"/>
    </w:rPr>
  </w:style>
  <w:style w:type="character" w:customStyle="1" w:styleId="154">
    <w:name w:val="脚注文本 字符1"/>
    <w:semiHidden/>
    <w:qFormat/>
    <w:uiPriority w:val="99"/>
    <w:rPr>
      <w:kern w:val="2"/>
      <w:sz w:val="18"/>
      <w:szCs w:val="18"/>
    </w:rPr>
  </w:style>
  <w:style w:type="character" w:customStyle="1" w:styleId="155">
    <w:name w:val="正文文本首行缩进 字符"/>
    <w:link w:val="43"/>
    <w:semiHidden/>
    <w:qFormat/>
    <w:uiPriority w:val="99"/>
    <w:rPr>
      <w:kern w:val="2"/>
      <w:sz w:val="21"/>
      <w:lang w:bidi="he-IL"/>
    </w:rPr>
  </w:style>
  <w:style w:type="character" w:customStyle="1" w:styleId="156">
    <w:name w:val="尾注文本 字符1"/>
    <w:semiHidden/>
    <w:qFormat/>
    <w:uiPriority w:val="99"/>
    <w:rPr>
      <w:kern w:val="2"/>
      <w:sz w:val="24"/>
    </w:rPr>
  </w:style>
  <w:style w:type="character" w:customStyle="1" w:styleId="157">
    <w:name w:val="标题 2 Char"/>
    <w:qFormat/>
    <w:uiPriority w:val="0"/>
    <w:rPr>
      <w:rFonts w:ascii="Arial" w:hAnsi="Arial" w:eastAsia="黑体"/>
      <w:b/>
      <w:bCs/>
      <w:sz w:val="32"/>
      <w:szCs w:val="32"/>
    </w:rPr>
  </w:style>
  <w:style w:type="character" w:customStyle="1" w:styleId="158">
    <w:name w:val="标题 4 字符"/>
    <w:link w:val="5"/>
    <w:qFormat/>
    <w:uiPriority w:val="0"/>
    <w:rPr>
      <w:rFonts w:ascii="Cambria" w:hAnsi="Cambria" w:eastAsia="黑体"/>
      <w:bCs/>
      <w:kern w:val="2"/>
      <w:sz w:val="24"/>
      <w:szCs w:val="28"/>
    </w:rPr>
  </w:style>
  <w:style w:type="character" w:customStyle="1" w:styleId="159">
    <w:name w:val="正文文本 字符"/>
    <w:link w:val="19"/>
    <w:qFormat/>
    <w:uiPriority w:val="0"/>
    <w:rPr>
      <w:kern w:val="2"/>
      <w:sz w:val="24"/>
    </w:rPr>
  </w:style>
  <w:style w:type="character" w:customStyle="1" w:styleId="160">
    <w:name w:val="标题 字符"/>
    <w:link w:val="41"/>
    <w:qFormat/>
    <w:uiPriority w:val="0"/>
    <w:rPr>
      <w:rFonts w:ascii="Cambria" w:hAnsi="Cambria" w:eastAsia="黑体"/>
      <w:kern w:val="44"/>
      <w:sz w:val="36"/>
      <w:szCs w:val="32"/>
    </w:rPr>
  </w:style>
  <w:style w:type="character" w:customStyle="1" w:styleId="161">
    <w:name w:val="标题 2 字符"/>
    <w:link w:val="3"/>
    <w:qFormat/>
    <w:uiPriority w:val="0"/>
    <w:rPr>
      <w:rFonts w:ascii="Arial" w:hAnsi="Arial" w:eastAsia="黑体"/>
      <w:bCs/>
      <w:sz w:val="28"/>
      <w:szCs w:val="32"/>
    </w:rPr>
  </w:style>
  <w:style w:type="character" w:customStyle="1" w:styleId="162">
    <w:name w:val="批注框文本 字符"/>
    <w:link w:val="27"/>
    <w:qFormat/>
    <w:uiPriority w:val="0"/>
    <w:rPr>
      <w:kern w:val="2"/>
      <w:sz w:val="18"/>
      <w:szCs w:val="18"/>
    </w:rPr>
  </w:style>
  <w:style w:type="character" w:customStyle="1" w:styleId="163">
    <w:name w:val="标题 5 字符"/>
    <w:qFormat/>
    <w:uiPriority w:val="0"/>
    <w:rPr>
      <w:b/>
      <w:bCs/>
      <w:kern w:val="2"/>
      <w:sz w:val="28"/>
      <w:szCs w:val="28"/>
    </w:rPr>
  </w:style>
  <w:style w:type="character" w:customStyle="1" w:styleId="164">
    <w:name w:val="正文文本缩进 字符"/>
    <w:link w:val="20"/>
    <w:qFormat/>
    <w:uiPriority w:val="0"/>
    <w:rPr>
      <w:b/>
      <w:kern w:val="2"/>
      <w:sz w:val="24"/>
    </w:rPr>
  </w:style>
  <w:style w:type="character" w:customStyle="1" w:styleId="165">
    <w:name w:val="文档结构图 字符"/>
    <w:link w:val="15"/>
    <w:qFormat/>
    <w:uiPriority w:val="0"/>
    <w:rPr>
      <w:kern w:val="2"/>
      <w:sz w:val="24"/>
      <w:shd w:val="clear" w:color="auto" w:fill="000080"/>
    </w:rPr>
  </w:style>
  <w:style w:type="character" w:customStyle="1" w:styleId="166">
    <w:name w:val="标题 5 字符1"/>
    <w:link w:val="6"/>
    <w:qFormat/>
    <w:uiPriority w:val="0"/>
    <w:rPr>
      <w:b/>
      <w:kern w:val="2"/>
      <w:sz w:val="28"/>
    </w:rPr>
  </w:style>
  <w:style w:type="character" w:customStyle="1" w:styleId="167">
    <w:name w:val="正文文本缩进 3 字符"/>
    <w:link w:val="34"/>
    <w:qFormat/>
    <w:uiPriority w:val="0"/>
    <w:rPr>
      <w:kern w:val="2"/>
      <w:sz w:val="24"/>
      <w:szCs w:val="21"/>
    </w:rPr>
  </w:style>
  <w:style w:type="character" w:customStyle="1" w:styleId="168">
    <w:name w:val="批注主题 Char"/>
    <w:qFormat/>
    <w:uiPriority w:val="0"/>
    <w:rPr>
      <w:b/>
      <w:bCs/>
      <w:kern w:val="2"/>
      <w:sz w:val="21"/>
      <w:szCs w:val="24"/>
    </w:rPr>
  </w:style>
  <w:style w:type="character" w:customStyle="1" w:styleId="169">
    <w:name w:val="正文文本 2 Char"/>
    <w:qFormat/>
    <w:uiPriority w:val="0"/>
    <w:rPr>
      <w:rFonts w:ascii="宋体" w:hAnsi="宋体"/>
      <w:color w:val="FF6600"/>
      <w:kern w:val="2"/>
      <w:sz w:val="24"/>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9.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9"/>
    <customShpInfo spid="_x0000_s4097"/>
    <customShpInfo spid="_x0000_s4101"/>
    <customShpInfo spid="_x0000_s4102"/>
    <customShpInfo spid="_x0000_s4100"/>
    <customShpInfo spid="_x0000_s4104"/>
    <customShpInfo spid="_x0000_s4105"/>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4077</Words>
  <Characters>23245</Characters>
  <Lines>193</Lines>
  <Paragraphs>54</Paragraphs>
  <TotalTime>1</TotalTime>
  <ScaleCrop>false</ScaleCrop>
  <LinksUpToDate>false</LinksUpToDate>
  <CharactersWithSpaces>27268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2019-01-29T08:31:00Z</dcterms:created>
  <dc:creator>年越</dc:creator>
  <cp:lastModifiedBy>NNJ</cp:lastModifiedBy>
  <cp:lastPrinted>2018-10-16T08:06:00Z</cp:lastPrinted>
  <dcterms:modified xsi:type="dcterms:W3CDTF">2021-02-07T03:04:56Z</dcterms:modified>
  <dc:title>招标编号：</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