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bidi w:val="0"/>
        <w:spacing w:line="240" w:lineRule="auto"/>
        <w:ind w:left="161" w:leftChars="67"/>
        <w:rPr>
          <w:rFonts w:ascii="宋体" w:hAnsi="宋体"/>
          <w:b/>
          <w:szCs w:val="21"/>
        </w:rPr>
      </w:pPr>
      <w:bookmarkStart w:id="0" w:name="_Toc525725199"/>
      <w:bookmarkStart w:id="1" w:name="_Toc9856992"/>
      <w:bookmarkStart w:id="2" w:name="_Toc21690"/>
    </w:p>
    <w:p>
      <w:pPr>
        <w:keepNext w:val="0"/>
        <w:keepLines w:val="0"/>
        <w:pageBreakBefore w:val="0"/>
        <w:kinsoku/>
        <w:wordWrap/>
        <w:bidi w:val="0"/>
        <w:spacing w:line="240" w:lineRule="auto"/>
        <w:ind w:left="161" w:leftChars="67"/>
        <w:rPr>
          <w:rFonts w:ascii="宋体" w:hAnsi="宋体"/>
          <w:b/>
          <w:szCs w:val="21"/>
        </w:rPr>
      </w:pPr>
    </w:p>
    <w:p>
      <w:pPr>
        <w:keepNext w:val="0"/>
        <w:keepLines w:val="0"/>
        <w:pageBreakBefore w:val="0"/>
        <w:kinsoku/>
        <w:wordWrap/>
        <w:bidi w:val="0"/>
        <w:spacing w:line="240" w:lineRule="auto"/>
        <w:ind w:left="161" w:leftChars="67"/>
        <w:rPr>
          <w:rFonts w:ascii="宋体" w:hAnsi="宋体"/>
          <w:b/>
          <w:szCs w:val="21"/>
        </w:rPr>
      </w:pPr>
    </w:p>
    <w:p>
      <w:pPr>
        <w:keepNext w:val="0"/>
        <w:keepLines w:val="0"/>
        <w:pageBreakBefore w:val="0"/>
        <w:kinsoku/>
        <w:wordWrap/>
        <w:bidi w:val="0"/>
        <w:spacing w:line="240" w:lineRule="auto"/>
        <w:jc w:val="center"/>
        <w:outlineLvl w:val="0"/>
        <w:rPr>
          <w:rFonts w:ascii="黑体" w:hAnsi="黑体" w:eastAsia="黑体"/>
          <w:b/>
          <w:color w:val="000000"/>
          <w:sz w:val="44"/>
          <w:szCs w:val="44"/>
        </w:rPr>
      </w:pPr>
      <w:r>
        <w:rPr>
          <w:rFonts w:hint="eastAsia" w:ascii="黑体" w:hAnsi="黑体" w:eastAsia="黑体"/>
          <w:b/>
          <w:color w:val="000000"/>
          <w:sz w:val="44"/>
          <w:szCs w:val="44"/>
        </w:rPr>
        <w:t>华能太仓电厂</w:t>
      </w:r>
    </w:p>
    <w:p>
      <w:pPr>
        <w:keepNext w:val="0"/>
        <w:keepLines w:val="0"/>
        <w:pageBreakBefore w:val="0"/>
        <w:kinsoku/>
        <w:wordWrap/>
        <w:bidi w:val="0"/>
        <w:spacing w:line="240" w:lineRule="auto"/>
        <w:jc w:val="center"/>
        <w:outlineLvl w:val="0"/>
        <w:rPr>
          <w:rFonts w:ascii="黑体" w:hAnsi="黑体" w:eastAsia="黑体"/>
          <w:b/>
          <w:color w:val="000000"/>
          <w:sz w:val="44"/>
          <w:szCs w:val="44"/>
        </w:rPr>
      </w:pPr>
    </w:p>
    <w:p>
      <w:pPr>
        <w:keepNext w:val="0"/>
        <w:keepLines w:val="0"/>
        <w:pageBreakBefore w:val="0"/>
        <w:kinsoku/>
        <w:wordWrap/>
        <w:bidi w:val="0"/>
        <w:spacing w:line="240" w:lineRule="auto"/>
        <w:jc w:val="center"/>
        <w:outlineLvl w:val="0"/>
        <w:rPr>
          <w:rFonts w:ascii="黑体" w:hAnsi="黑体" w:eastAsia="黑体"/>
          <w:b/>
          <w:color w:val="000000"/>
          <w:sz w:val="44"/>
          <w:szCs w:val="44"/>
        </w:rPr>
      </w:pPr>
      <w:r>
        <w:rPr>
          <w:rFonts w:hint="eastAsia" w:ascii="黑体" w:hAnsi="黑体" w:eastAsia="黑体" w:cs="黑体"/>
          <w:b/>
          <w:bCs/>
          <w:sz w:val="44"/>
          <w:szCs w:val="44"/>
          <w:lang w:eastAsia="zh-CN"/>
        </w:rPr>
        <w:t>电力电缆采购项目技术规范书</w:t>
      </w:r>
    </w:p>
    <w:p>
      <w:pPr>
        <w:keepNext w:val="0"/>
        <w:keepLines w:val="0"/>
        <w:pageBreakBefore w:val="0"/>
        <w:kinsoku/>
        <w:wordWrap/>
        <w:bidi w:val="0"/>
        <w:spacing w:line="240" w:lineRule="auto"/>
        <w:jc w:val="center"/>
        <w:outlineLvl w:val="0"/>
        <w:rPr>
          <w:rFonts w:ascii="黑体" w:hAnsi="黑体" w:eastAsia="黑体"/>
          <w:b/>
          <w:color w:val="000000"/>
          <w:sz w:val="44"/>
          <w:szCs w:val="44"/>
        </w:rPr>
      </w:pPr>
    </w:p>
    <w:p>
      <w:pPr>
        <w:keepNext w:val="0"/>
        <w:keepLines w:val="0"/>
        <w:pageBreakBefore w:val="0"/>
        <w:kinsoku/>
        <w:wordWrap/>
        <w:bidi w:val="0"/>
        <w:spacing w:line="240" w:lineRule="auto"/>
        <w:ind w:left="161" w:leftChars="67"/>
        <w:rPr>
          <w:rFonts w:ascii="宋体" w:hAnsi="宋体"/>
          <w:b/>
          <w:szCs w:val="21"/>
        </w:rPr>
      </w:pPr>
    </w:p>
    <w:p>
      <w:pPr>
        <w:keepNext w:val="0"/>
        <w:keepLines w:val="0"/>
        <w:pageBreakBefore w:val="0"/>
        <w:kinsoku/>
        <w:wordWrap/>
        <w:bidi w:val="0"/>
        <w:spacing w:line="240" w:lineRule="auto"/>
        <w:ind w:left="161" w:leftChars="67"/>
        <w:rPr>
          <w:rFonts w:ascii="宋体" w:hAnsi="宋体"/>
          <w:b/>
          <w:szCs w:val="21"/>
        </w:rPr>
      </w:pPr>
    </w:p>
    <w:p>
      <w:pPr>
        <w:keepNext w:val="0"/>
        <w:keepLines w:val="0"/>
        <w:pageBreakBefore w:val="0"/>
        <w:kinsoku/>
        <w:wordWrap/>
        <w:bidi w:val="0"/>
        <w:spacing w:line="240" w:lineRule="auto"/>
        <w:ind w:left="161" w:leftChars="67"/>
        <w:rPr>
          <w:rFonts w:ascii="宋体" w:hAnsi="宋体"/>
          <w:b/>
          <w:szCs w:val="21"/>
        </w:rPr>
      </w:pPr>
    </w:p>
    <w:p>
      <w:pPr>
        <w:keepNext w:val="0"/>
        <w:keepLines w:val="0"/>
        <w:pageBreakBefore w:val="0"/>
        <w:kinsoku/>
        <w:wordWrap/>
        <w:bidi w:val="0"/>
        <w:spacing w:line="240" w:lineRule="auto"/>
        <w:ind w:left="161" w:leftChars="67"/>
        <w:rPr>
          <w:rFonts w:ascii="宋体" w:hAnsi="宋体"/>
          <w:b/>
          <w:szCs w:val="21"/>
        </w:rPr>
      </w:pPr>
    </w:p>
    <w:p>
      <w:pPr>
        <w:keepNext w:val="0"/>
        <w:keepLines w:val="0"/>
        <w:pageBreakBefore w:val="0"/>
        <w:kinsoku/>
        <w:wordWrap/>
        <w:bidi w:val="0"/>
        <w:spacing w:line="240" w:lineRule="auto"/>
        <w:ind w:left="161" w:leftChars="67"/>
        <w:rPr>
          <w:rFonts w:ascii="宋体" w:hAnsi="宋体"/>
          <w:b/>
          <w:szCs w:val="21"/>
        </w:rPr>
      </w:pPr>
    </w:p>
    <w:p>
      <w:pPr>
        <w:keepNext w:val="0"/>
        <w:keepLines w:val="0"/>
        <w:pageBreakBefore w:val="0"/>
        <w:kinsoku/>
        <w:wordWrap/>
        <w:bidi w:val="0"/>
        <w:spacing w:line="240" w:lineRule="auto"/>
        <w:ind w:left="161" w:leftChars="67"/>
        <w:rPr>
          <w:rFonts w:ascii="宋体" w:hAnsi="宋体"/>
          <w:b/>
          <w:szCs w:val="21"/>
        </w:rPr>
      </w:pPr>
    </w:p>
    <w:p>
      <w:pPr>
        <w:keepNext w:val="0"/>
        <w:keepLines w:val="0"/>
        <w:pageBreakBefore w:val="0"/>
        <w:kinsoku/>
        <w:wordWrap/>
        <w:bidi w:val="0"/>
        <w:spacing w:line="240" w:lineRule="auto"/>
        <w:ind w:left="161" w:leftChars="67"/>
        <w:rPr>
          <w:rFonts w:ascii="宋体" w:hAnsi="宋体"/>
          <w:b/>
          <w:szCs w:val="21"/>
        </w:rPr>
      </w:pPr>
    </w:p>
    <w:p>
      <w:pPr>
        <w:keepNext w:val="0"/>
        <w:keepLines w:val="0"/>
        <w:pageBreakBefore w:val="0"/>
        <w:kinsoku/>
        <w:wordWrap/>
        <w:bidi w:val="0"/>
        <w:spacing w:line="240" w:lineRule="auto"/>
        <w:ind w:left="161" w:leftChars="67"/>
        <w:rPr>
          <w:rFonts w:ascii="宋体" w:hAnsi="宋体"/>
          <w:b/>
          <w:szCs w:val="21"/>
        </w:rPr>
      </w:pPr>
    </w:p>
    <w:p>
      <w:pPr>
        <w:keepNext w:val="0"/>
        <w:keepLines w:val="0"/>
        <w:pageBreakBefore w:val="0"/>
        <w:kinsoku/>
        <w:wordWrap/>
        <w:bidi w:val="0"/>
        <w:spacing w:line="240" w:lineRule="auto"/>
        <w:ind w:left="161" w:leftChars="67"/>
        <w:rPr>
          <w:rFonts w:ascii="宋体" w:hAnsi="宋体"/>
          <w:b/>
          <w:szCs w:val="21"/>
        </w:rPr>
      </w:pPr>
      <w:r>
        <w:rPr>
          <w:rFonts w:hint="eastAsia" w:ascii="宋体" w:hAnsi="宋体"/>
          <w:b/>
          <w:szCs w:val="21"/>
        </w:rPr>
        <w:t xml:space="preserve"> </w:t>
      </w:r>
    </w:p>
    <w:p>
      <w:pPr>
        <w:keepNext w:val="0"/>
        <w:keepLines w:val="0"/>
        <w:pageBreakBefore w:val="0"/>
        <w:kinsoku/>
        <w:wordWrap/>
        <w:bidi w:val="0"/>
        <w:spacing w:line="240" w:lineRule="auto"/>
        <w:jc w:val="left"/>
        <w:rPr>
          <w:rFonts w:ascii="黑体" w:hAnsi="黑体" w:eastAsia="黑体"/>
          <w:b/>
          <w:color w:val="000000"/>
          <w:kern w:val="0"/>
          <w:sz w:val="32"/>
          <w:szCs w:val="32"/>
        </w:rPr>
      </w:pPr>
      <w:r>
        <w:rPr>
          <w:rFonts w:hint="eastAsia" w:ascii="黑体" w:hAnsi="黑体" w:eastAsia="黑体"/>
          <w:b/>
          <w:color w:val="000000"/>
          <w:kern w:val="0"/>
          <w:sz w:val="32"/>
          <w:szCs w:val="32"/>
        </w:rPr>
        <w:t xml:space="preserve">             编制：</w:t>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日期：</w:t>
      </w:r>
    </w:p>
    <w:p>
      <w:pPr>
        <w:keepNext w:val="0"/>
        <w:keepLines w:val="0"/>
        <w:pageBreakBefore w:val="0"/>
        <w:kinsoku/>
        <w:wordWrap/>
        <w:bidi w:val="0"/>
        <w:spacing w:line="240" w:lineRule="auto"/>
        <w:jc w:val="left"/>
        <w:rPr>
          <w:rFonts w:ascii="黑体" w:hAnsi="黑体" w:eastAsia="黑体"/>
          <w:b/>
          <w:color w:val="000000"/>
          <w:kern w:val="0"/>
          <w:sz w:val="32"/>
          <w:szCs w:val="32"/>
        </w:rPr>
      </w:pPr>
      <w:r>
        <w:rPr>
          <w:rFonts w:hint="eastAsia" w:ascii="黑体" w:hAnsi="黑体" w:eastAsia="黑体"/>
          <w:b/>
          <w:color w:val="000000"/>
          <w:kern w:val="0"/>
          <w:sz w:val="32"/>
          <w:szCs w:val="32"/>
        </w:rPr>
        <w:t xml:space="preserve">             初审：</w:t>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日期：</w:t>
      </w:r>
    </w:p>
    <w:p>
      <w:pPr>
        <w:keepNext w:val="0"/>
        <w:keepLines w:val="0"/>
        <w:pageBreakBefore w:val="0"/>
        <w:kinsoku/>
        <w:wordWrap/>
        <w:bidi w:val="0"/>
        <w:spacing w:line="240" w:lineRule="auto"/>
        <w:jc w:val="left"/>
        <w:rPr>
          <w:rFonts w:ascii="黑体" w:hAnsi="黑体" w:eastAsia="黑体"/>
          <w:b/>
          <w:color w:val="000000"/>
          <w:kern w:val="0"/>
          <w:sz w:val="32"/>
          <w:szCs w:val="32"/>
        </w:rPr>
      </w:pPr>
      <w:r>
        <w:rPr>
          <w:rFonts w:hint="eastAsia" w:ascii="黑体" w:hAnsi="黑体" w:eastAsia="黑体"/>
          <w:b/>
          <w:color w:val="000000"/>
          <w:kern w:val="0"/>
          <w:sz w:val="32"/>
          <w:szCs w:val="32"/>
        </w:rPr>
        <w:t xml:space="preserve">             审核：</w:t>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日期：</w:t>
      </w:r>
    </w:p>
    <w:p>
      <w:pPr>
        <w:keepNext w:val="0"/>
        <w:keepLines w:val="0"/>
        <w:pageBreakBefore w:val="0"/>
        <w:kinsoku/>
        <w:wordWrap/>
        <w:bidi w:val="0"/>
        <w:spacing w:line="240" w:lineRule="auto"/>
        <w:jc w:val="left"/>
        <w:rPr>
          <w:rFonts w:ascii="黑体" w:hAnsi="黑体" w:eastAsia="黑体"/>
          <w:b/>
          <w:color w:val="000000"/>
          <w:kern w:val="0"/>
          <w:sz w:val="32"/>
          <w:szCs w:val="32"/>
        </w:rPr>
      </w:pPr>
      <w:r>
        <w:rPr>
          <w:rFonts w:hint="eastAsia" w:ascii="黑体" w:hAnsi="黑体" w:eastAsia="黑体"/>
          <w:b/>
          <w:color w:val="000000"/>
          <w:kern w:val="0"/>
          <w:sz w:val="32"/>
          <w:szCs w:val="32"/>
        </w:rPr>
        <w:t xml:space="preserve">             批准：</w:t>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ab/>
      </w:r>
      <w:r>
        <w:rPr>
          <w:rFonts w:hint="eastAsia" w:ascii="黑体" w:hAnsi="黑体" w:eastAsia="黑体"/>
          <w:b/>
          <w:color w:val="000000"/>
          <w:kern w:val="0"/>
          <w:sz w:val="32"/>
          <w:szCs w:val="32"/>
        </w:rPr>
        <w:t>日期：</w:t>
      </w:r>
    </w:p>
    <w:p>
      <w:pPr>
        <w:keepNext w:val="0"/>
        <w:keepLines w:val="0"/>
        <w:pageBreakBefore w:val="0"/>
        <w:kinsoku/>
        <w:wordWrap/>
        <w:bidi w:val="0"/>
        <w:spacing w:line="240" w:lineRule="auto"/>
        <w:ind w:left="161" w:leftChars="67"/>
        <w:rPr>
          <w:rFonts w:hint="eastAsia"/>
          <w:b/>
          <w:sz w:val="21"/>
          <w:szCs w:val="18"/>
          <w:lang w:val="en-US" w:eastAsia="zh-CN"/>
        </w:rPr>
      </w:pPr>
    </w:p>
    <w:p>
      <w:pPr>
        <w:keepNext w:val="0"/>
        <w:keepLines w:val="0"/>
        <w:pageBreakBefore w:val="0"/>
        <w:kinsoku/>
        <w:wordWrap/>
        <w:bidi w:val="0"/>
        <w:spacing w:line="240" w:lineRule="auto"/>
        <w:ind w:left="161" w:leftChars="67"/>
        <w:rPr>
          <w:rFonts w:hint="eastAsia"/>
          <w:b/>
          <w:sz w:val="21"/>
          <w:szCs w:val="18"/>
          <w:lang w:val="en-US" w:eastAsia="zh-CN"/>
        </w:rPr>
      </w:pPr>
    </w:p>
    <w:p>
      <w:pPr>
        <w:keepNext w:val="0"/>
        <w:keepLines w:val="0"/>
        <w:pageBreakBefore w:val="0"/>
        <w:kinsoku/>
        <w:wordWrap/>
        <w:bidi w:val="0"/>
        <w:spacing w:line="240" w:lineRule="auto"/>
        <w:ind w:left="161" w:leftChars="67"/>
        <w:rPr>
          <w:rFonts w:hint="eastAsia"/>
          <w:b/>
          <w:sz w:val="21"/>
          <w:szCs w:val="18"/>
          <w:lang w:val="en-US" w:eastAsia="zh-CN"/>
        </w:rPr>
      </w:pPr>
    </w:p>
    <w:p>
      <w:pPr>
        <w:keepNext w:val="0"/>
        <w:keepLines w:val="0"/>
        <w:pageBreakBefore w:val="0"/>
        <w:kinsoku/>
        <w:wordWrap/>
        <w:bidi w:val="0"/>
        <w:spacing w:line="240" w:lineRule="auto"/>
        <w:ind w:left="161" w:leftChars="67"/>
        <w:rPr>
          <w:rFonts w:hint="eastAsia"/>
          <w:b/>
          <w:sz w:val="21"/>
          <w:szCs w:val="18"/>
          <w:lang w:val="en-US" w:eastAsia="zh-CN"/>
        </w:rPr>
      </w:pPr>
    </w:p>
    <w:p>
      <w:pPr>
        <w:keepNext w:val="0"/>
        <w:keepLines w:val="0"/>
        <w:pageBreakBefore w:val="0"/>
        <w:kinsoku/>
        <w:wordWrap/>
        <w:bidi w:val="0"/>
        <w:spacing w:line="240" w:lineRule="auto"/>
        <w:rPr>
          <w:rFonts w:ascii="宋体" w:hAnsi="宋体"/>
          <w:b/>
          <w:sz w:val="21"/>
          <w:szCs w:val="18"/>
        </w:rPr>
      </w:pPr>
      <w:r>
        <w:rPr>
          <w:rFonts w:hint="eastAsia"/>
          <w:b/>
          <w:sz w:val="21"/>
          <w:szCs w:val="18"/>
          <w:lang w:val="en-US" w:eastAsia="zh-CN"/>
        </w:rPr>
        <w:t>1</w:t>
      </w:r>
      <w:r>
        <w:rPr>
          <w:rFonts w:hint="eastAsia" w:ascii="宋体" w:hAnsi="宋体"/>
          <w:b/>
          <w:sz w:val="21"/>
          <w:szCs w:val="18"/>
        </w:rPr>
        <w:t>、总则</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1.1本规范提出了对电力电缆技术上的规范和说明，</w:t>
      </w:r>
      <w:r>
        <w:rPr>
          <w:rFonts w:hint="eastAsia" w:asciiTheme="minorEastAsia" w:hAnsiTheme="minorEastAsia" w:eastAsiaTheme="minorEastAsia" w:cstheme="minorEastAsia"/>
          <w:sz w:val="21"/>
          <w:szCs w:val="21"/>
          <w:lang w:eastAsia="zh-CN"/>
        </w:rPr>
        <w:t>它提出了</w:t>
      </w:r>
      <w:r>
        <w:rPr>
          <w:rFonts w:hint="eastAsia" w:asciiTheme="minorEastAsia" w:hAnsiTheme="minorEastAsia" w:eastAsiaTheme="minorEastAsia" w:cstheme="minorEastAsia"/>
          <w:b w:val="0"/>
          <w:bCs w:val="0"/>
          <w:sz w:val="21"/>
          <w:szCs w:val="21"/>
          <w:lang w:eastAsia="zh-CN"/>
        </w:rPr>
        <w:t>电力电缆</w:t>
      </w:r>
      <w:r>
        <w:rPr>
          <w:rFonts w:hint="eastAsia" w:asciiTheme="minorEastAsia" w:hAnsiTheme="minorEastAsia" w:eastAsiaTheme="minorEastAsia" w:cstheme="minorEastAsia"/>
          <w:sz w:val="21"/>
          <w:szCs w:val="21"/>
          <w:lang w:eastAsia="zh-CN"/>
        </w:rPr>
        <w:t>的规范和结构、性能、试验等方面的技术要求</w:t>
      </w:r>
      <w:r>
        <w:rPr>
          <w:rFonts w:hint="eastAsia" w:asciiTheme="minorEastAsia" w:hAnsiTheme="minorEastAsia" w:eastAsiaTheme="minorEastAsia" w:cstheme="minorEastAsia"/>
          <w:sz w:val="21"/>
          <w:szCs w:val="21"/>
        </w:rPr>
        <w:t>。</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1.2　卖方或供货商应设计、制造和销售过铜芯或铝芯电缆的产品，且使用条件应与本工程相类似或较规定的条件更严格。</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1.3　如果卖方没有以书面形式对本规范的条文提出异议，则意味着卖方提供的产品完全符合本技术规范书的要求。</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1.4　本规范所使用的标准如与卖方所执行的标准不一致时，按较高标准执行。</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1.5　本技术规范书经双方签字认可后作为合同的附件，与合同正文具有同等效力。</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1.6　本规范提出的是最低限度的技术要求，并未对一切技术细节作出规定，也未充分引述有关标准和规范的条文，卖方应提供符合GB和IEC最新版本的标准和本规范的优质产品。</w:t>
      </w:r>
    </w:p>
    <w:p>
      <w:pPr>
        <w:keepNext w:val="0"/>
        <w:keepLines w:val="0"/>
        <w:pageBreakBefore w:val="0"/>
        <w:widowControl/>
        <w:numPr>
          <w:ilvl w:val="0"/>
          <w:numId w:val="0"/>
        </w:numPr>
        <w:tabs>
          <w:tab w:val="left" w:pos="426"/>
        </w:tabs>
        <w:kinsoku/>
        <w:wordWrap/>
        <w:bidi w:val="0"/>
        <w:spacing w:line="240" w:lineRule="auto"/>
        <w:jc w:val="left"/>
        <w:rPr>
          <w:rFonts w:ascii="宋体" w:hAnsi="宋体"/>
          <w:b/>
          <w:sz w:val="21"/>
          <w:szCs w:val="18"/>
        </w:rPr>
      </w:pPr>
      <w:r>
        <w:rPr>
          <w:rFonts w:hint="eastAsia"/>
          <w:b/>
          <w:bCs/>
          <w:sz w:val="21"/>
          <w:szCs w:val="18"/>
          <w:lang w:val="en-US" w:eastAsia="zh-CN"/>
        </w:rPr>
        <w:t>2</w:t>
      </w:r>
      <w:r>
        <w:rPr>
          <w:rFonts w:hint="eastAsia" w:ascii="宋体" w:hAnsi="宋体"/>
          <w:b/>
          <w:bCs/>
          <w:sz w:val="21"/>
          <w:szCs w:val="18"/>
        </w:rPr>
        <w:t>、</w:t>
      </w:r>
      <w:r>
        <w:rPr>
          <w:rFonts w:ascii="宋体" w:hAnsi="宋体"/>
          <w:b/>
          <w:sz w:val="21"/>
          <w:szCs w:val="18"/>
        </w:rPr>
        <w:t>设备概况</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2.1  周围空气温度</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最高温度：</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    37.9℃；</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最低温度：</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    -11.5℃；</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2.2  海拔高度：</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2.6-3.2m（56年黄海高程系）；</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2.3  最大风速：</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28.3m/s ；</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2.4  环境相对湿度(在25℃时)</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多年平均值：</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    81％；</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2.5　地震烈度：</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    7度；</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2.6　污秽等级：</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E级（爬距：3.2cm/kV，按最高工作电压计）；</w:t>
      </w:r>
    </w:p>
    <w:p>
      <w:pPr>
        <w:keepNext w:val="0"/>
        <w:keepLines w:val="0"/>
        <w:pageBreakBefore w:val="0"/>
        <w:kinsoku/>
        <w:wordWrap/>
        <w:bidi w:val="0"/>
        <w:spacing w:line="240" w:lineRule="auto"/>
        <w:rPr>
          <w:rFonts w:hint="eastAsia" w:ascii="宋体" w:hAnsi="宋体"/>
          <w:b/>
          <w:bCs/>
          <w:sz w:val="21"/>
          <w:szCs w:val="21"/>
          <w:lang w:eastAsia="zh-CN"/>
        </w:rPr>
      </w:pPr>
      <w:r>
        <w:rPr>
          <w:rFonts w:hint="eastAsia"/>
          <w:b/>
          <w:bCs/>
          <w:sz w:val="21"/>
          <w:szCs w:val="21"/>
          <w:lang w:val="en-US" w:eastAsia="zh-CN"/>
        </w:rPr>
        <w:t>3、</w:t>
      </w:r>
      <w:r>
        <w:rPr>
          <w:rFonts w:hint="eastAsia" w:ascii="宋体" w:hAnsi="宋体"/>
          <w:b/>
          <w:bCs/>
          <w:sz w:val="21"/>
          <w:szCs w:val="21"/>
          <w:lang w:eastAsia="zh-CN"/>
        </w:rPr>
        <w:t>标准和规范</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.1　除本规范特别规定外，卖方所提供的设备均应按下列标准和规范进行设计、制造、检验和安装。所用的标准必须是其最新版本。如果这些标准内容矛盾，应按最高标准的条款执行或按双方商定的标准执行。如果卖方选用标书规定以外的标准，需提交与这种替换标准相当的或优于标书规定标准的证明，同时提供与标书规定标准的差异说明。</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.2　本条件中标明的参数数值是作为特殊强调的条款。</w:t>
      </w:r>
    </w:p>
    <w:p>
      <w:pPr>
        <w:pStyle w:val="10"/>
        <w:keepNext w:val="0"/>
        <w:keepLines w:val="0"/>
        <w:pageBreakBefore w:val="0"/>
        <w:numPr>
          <w:ilvl w:val="0"/>
          <w:numId w:val="0"/>
        </w:numPr>
        <w:kinsoku/>
        <w:wordWrap/>
        <w:autoSpaceDE w:val="0"/>
        <w:autoSpaceDN w:val="0"/>
        <w:bidi w:val="0"/>
        <w:snapToGrid w:val="0"/>
        <w:spacing w:line="24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.3　引用标准，这些标准应是现行的有效版本，同时在与下述标准各方达成协议的基础上鼓励研究采用下述最新版本的可能性。</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bookmarkStart w:id="3" w:name="_Toc413835664"/>
      <w:r>
        <w:rPr>
          <w:rFonts w:hint="eastAsia" w:asciiTheme="minorEastAsia" w:hAnsiTheme="minorEastAsia" w:eastAsiaTheme="minorEastAsia" w:cstheme="minorEastAsia"/>
          <w:kern w:val="0"/>
          <w:sz w:val="21"/>
          <w:szCs w:val="21"/>
          <w:lang w:val="en-US" w:eastAsia="zh-CN" w:bidi="ar-SA"/>
        </w:rPr>
        <w:t>《电线电缆燃烧试验方法》</w:t>
      </w:r>
      <w:r>
        <w:rPr>
          <w:rFonts w:hint="eastAsia" w:asciiTheme="minorEastAsia" w:hAnsiTheme="minorEastAsia" w:eastAsiaTheme="minorEastAsia" w:cstheme="minorEastAsia"/>
          <w:kern w:val="0"/>
          <w:sz w:val="21"/>
          <w:szCs w:val="21"/>
          <w:lang w:val="en-US" w:eastAsia="zh-CN" w:bidi="ar-SA"/>
        </w:rPr>
        <w:tab/>
      </w:r>
      <w:r>
        <w:rPr>
          <w:rFonts w:hint="eastAsia" w:asciiTheme="minorEastAsia" w:hAnsiTheme="minorEastAsia" w:eastAsiaTheme="minorEastAsia" w:cstheme="minorEastAsia"/>
          <w:kern w:val="0"/>
          <w:sz w:val="21"/>
          <w:szCs w:val="21"/>
          <w:lang w:val="en-US" w:eastAsia="zh-CN" w:bidi="ar-SA"/>
        </w:rPr>
        <w:t xml:space="preserve">                        GB126661,2,3</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《电力电缆工程设计规范》</w:t>
      </w:r>
      <w:r>
        <w:rPr>
          <w:rFonts w:hint="eastAsia" w:asciiTheme="minorEastAsia" w:hAnsiTheme="minorEastAsia" w:eastAsiaTheme="minorEastAsia" w:cstheme="minorEastAsia"/>
          <w:kern w:val="0"/>
          <w:sz w:val="21"/>
          <w:szCs w:val="21"/>
          <w:lang w:val="en-US" w:eastAsia="zh-CN" w:bidi="ar-SA"/>
        </w:rPr>
        <w:tab/>
      </w:r>
      <w:r>
        <w:rPr>
          <w:rFonts w:hint="eastAsia" w:asciiTheme="minorEastAsia" w:hAnsiTheme="minorEastAsia" w:eastAsiaTheme="minorEastAsia" w:cstheme="minorEastAsia"/>
          <w:kern w:val="0"/>
          <w:sz w:val="21"/>
          <w:szCs w:val="21"/>
          <w:lang w:val="en-US" w:eastAsia="zh-CN" w:bidi="ar-SA"/>
        </w:rPr>
        <w:t xml:space="preserve">                        GB50217</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《电线电缆识别标志方法》</w:t>
      </w:r>
      <w:r>
        <w:rPr>
          <w:rFonts w:hint="eastAsia" w:asciiTheme="minorEastAsia" w:hAnsiTheme="minorEastAsia" w:eastAsiaTheme="minorEastAsia" w:cstheme="minorEastAsia"/>
          <w:kern w:val="0"/>
          <w:sz w:val="21"/>
          <w:szCs w:val="21"/>
          <w:lang w:val="en-US" w:eastAsia="zh-CN" w:bidi="ar-SA"/>
        </w:rPr>
        <w:tab/>
      </w:r>
      <w:r>
        <w:rPr>
          <w:rFonts w:hint="eastAsia" w:asciiTheme="minorEastAsia" w:hAnsiTheme="minorEastAsia" w:eastAsiaTheme="minorEastAsia" w:cstheme="minorEastAsia"/>
          <w:kern w:val="0"/>
          <w:sz w:val="21"/>
          <w:szCs w:val="21"/>
          <w:lang w:val="en-US" w:eastAsia="zh-CN" w:bidi="ar-SA"/>
        </w:rPr>
        <w:t xml:space="preserve">                        GB6995</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《数字修约规则》</w:t>
      </w:r>
      <w:r>
        <w:rPr>
          <w:rFonts w:hint="eastAsia" w:asciiTheme="minorEastAsia" w:hAnsiTheme="minorEastAsia" w:eastAsiaTheme="minorEastAsia" w:cstheme="minorEastAsia"/>
          <w:kern w:val="0"/>
          <w:sz w:val="21"/>
          <w:szCs w:val="21"/>
          <w:lang w:val="en-US" w:eastAsia="zh-CN" w:bidi="ar-SA"/>
        </w:rPr>
        <w:tab/>
      </w:r>
      <w:r>
        <w:rPr>
          <w:rFonts w:hint="eastAsia" w:asciiTheme="minorEastAsia" w:hAnsiTheme="minorEastAsia" w:eastAsiaTheme="minorEastAsia" w:cstheme="minorEastAsia"/>
          <w:kern w:val="0"/>
          <w:sz w:val="21"/>
          <w:szCs w:val="21"/>
          <w:lang w:val="en-US" w:eastAsia="zh-CN" w:bidi="ar-SA"/>
        </w:rPr>
        <w:t xml:space="preserve">                                GB8170</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《电缆和光缆在火焰条件下的燃烧试验》          </w:t>
      </w:r>
      <w:r>
        <w:rPr>
          <w:rFonts w:hint="eastAsia" w:asciiTheme="minorEastAsia" w:hAnsiTheme="minorEastAsia" w:eastAsiaTheme="minorEastAsia" w:cstheme="minorEastAsia"/>
          <w:kern w:val="0"/>
          <w:sz w:val="21"/>
          <w:szCs w:val="21"/>
          <w:lang w:val="en-US" w:eastAsia="zh-CN" w:bidi="ar-SA"/>
        </w:rPr>
        <w:tab/>
      </w:r>
      <w:r>
        <w:rPr>
          <w:rFonts w:hint="eastAsia" w:asciiTheme="minorEastAsia" w:hAnsiTheme="minorEastAsia" w:eastAsiaTheme="minorEastAsia" w:cstheme="minorEastAsia"/>
          <w:kern w:val="0"/>
          <w:sz w:val="21"/>
          <w:szCs w:val="21"/>
          <w:lang w:val="en-US" w:eastAsia="zh-CN" w:bidi="ar-SA"/>
        </w:rPr>
        <w:t>GB/T18380</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《电线电缆机械物理性能试验方法》</w:t>
      </w:r>
      <w:r>
        <w:rPr>
          <w:rFonts w:hint="eastAsia" w:asciiTheme="minorEastAsia" w:hAnsiTheme="minorEastAsia" w:eastAsiaTheme="minorEastAsia" w:cstheme="minorEastAsia"/>
          <w:kern w:val="0"/>
          <w:sz w:val="21"/>
          <w:szCs w:val="21"/>
          <w:lang w:val="en-US" w:eastAsia="zh-CN" w:bidi="ar-SA"/>
        </w:rPr>
        <w:tab/>
      </w:r>
      <w:r>
        <w:rPr>
          <w:rFonts w:hint="eastAsia" w:asciiTheme="minorEastAsia" w:hAnsiTheme="minorEastAsia" w:eastAsiaTheme="minorEastAsia" w:cstheme="minorEastAsia"/>
          <w:kern w:val="0"/>
          <w:sz w:val="21"/>
          <w:szCs w:val="21"/>
          <w:lang w:val="en-US" w:eastAsia="zh-CN" w:bidi="ar-SA"/>
        </w:rPr>
        <w:t xml:space="preserve">                GB/T2951-31,32,41,51</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《电缆外护层》</w:t>
      </w:r>
      <w:r>
        <w:rPr>
          <w:rFonts w:hint="eastAsia" w:asciiTheme="minorEastAsia" w:hAnsiTheme="minorEastAsia" w:eastAsiaTheme="minorEastAsia" w:cstheme="minorEastAsia"/>
          <w:kern w:val="0"/>
          <w:sz w:val="21"/>
          <w:szCs w:val="21"/>
          <w:lang w:val="en-US" w:eastAsia="zh-CN" w:bidi="ar-SA"/>
        </w:rPr>
        <w:tab/>
      </w:r>
      <w:r>
        <w:rPr>
          <w:rFonts w:hint="eastAsia" w:asciiTheme="minorEastAsia" w:hAnsiTheme="minorEastAsia" w:eastAsiaTheme="minorEastAsia" w:cstheme="minorEastAsia"/>
          <w:kern w:val="0"/>
          <w:sz w:val="21"/>
          <w:szCs w:val="21"/>
          <w:lang w:val="en-US" w:eastAsia="zh-CN" w:bidi="ar-SA"/>
        </w:rPr>
        <w:t xml:space="preserve">                                GB/T2952</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《电线电缆电性能试验方法》                      </w:t>
      </w:r>
      <w:r>
        <w:rPr>
          <w:rFonts w:hint="eastAsia" w:asciiTheme="minorEastAsia" w:hAnsiTheme="minorEastAsia" w:eastAsiaTheme="minorEastAsia" w:cstheme="minorEastAsia"/>
          <w:kern w:val="0"/>
          <w:sz w:val="21"/>
          <w:szCs w:val="21"/>
          <w:lang w:val="en-US" w:eastAsia="zh-CN" w:bidi="ar-SA"/>
        </w:rPr>
        <w:tab/>
      </w:r>
      <w:r>
        <w:rPr>
          <w:rFonts w:hint="eastAsia" w:asciiTheme="minorEastAsia" w:hAnsiTheme="minorEastAsia" w:eastAsiaTheme="minorEastAsia" w:cstheme="minorEastAsia"/>
          <w:kern w:val="0"/>
          <w:sz w:val="21"/>
          <w:szCs w:val="21"/>
          <w:lang w:val="en-US" w:eastAsia="zh-CN" w:bidi="ar-SA"/>
        </w:rPr>
        <w:t>GB/T3048</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《电缆的导体》                                   GB/T3956</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《耐火试验( 耐高温电缆 )》                       IEC332-3</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《耐火试验( 耐高温电缆)》                        IEEE383</w:t>
      </w:r>
    </w:p>
    <w:bookmarkEnd w:id="3"/>
    <w:p>
      <w:pPr>
        <w:widowControl/>
        <w:numPr>
          <w:ilvl w:val="0"/>
          <w:numId w:val="0"/>
        </w:numPr>
        <w:tabs>
          <w:tab w:val="left" w:pos="426"/>
        </w:tabs>
        <w:spacing w:line="360" w:lineRule="auto"/>
        <w:jc w:val="left"/>
        <w:rPr>
          <w:rFonts w:hint="eastAsia" w:asciiTheme="minorEastAsia" w:hAnsiTheme="minorEastAsia" w:eastAsiaTheme="minorEastAsia" w:cstheme="minorEastAsia"/>
          <w:sz w:val="21"/>
          <w:szCs w:val="21"/>
        </w:rPr>
      </w:pPr>
      <w:r>
        <w:rPr>
          <w:rFonts w:hint="eastAsia" w:ascii="宋体" w:hAnsi="宋体"/>
          <w:b/>
          <w:sz w:val="21"/>
          <w:szCs w:val="18"/>
          <w:lang w:val="en-US" w:eastAsia="zh-CN"/>
        </w:rPr>
        <w:t>4、</w:t>
      </w:r>
      <w:r>
        <w:rPr>
          <w:rFonts w:hint="eastAsia" w:ascii="宋体" w:hAnsi="宋体"/>
          <w:b/>
          <w:sz w:val="21"/>
          <w:szCs w:val="18"/>
        </w:rPr>
        <w:t>项目供货范围</w:t>
      </w:r>
    </w:p>
    <w:p>
      <w:pPr>
        <w:widowControl/>
        <w:numPr>
          <w:ilvl w:val="0"/>
          <w:numId w:val="0"/>
        </w:numPr>
        <w:tabs>
          <w:tab w:val="left" w:pos="426"/>
        </w:tabs>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货物需求及供货范围一览表</w:t>
      </w:r>
    </w:p>
    <w:tbl>
      <w:tblPr>
        <w:tblStyle w:val="8"/>
        <w:tblW w:w="793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5265"/>
        <w:gridCol w:w="88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序号</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名称规格</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补偿电缆</w:t>
            </w:r>
            <w:r>
              <w:rPr>
                <w:rFonts w:hint="eastAsia" w:asciiTheme="minorEastAsia" w:hAnsiTheme="minorEastAsia" w:eastAsiaTheme="minorEastAsia" w:cstheme="minorEastAsia"/>
                <w:kern w:val="0"/>
                <w:sz w:val="21"/>
                <w:szCs w:val="21"/>
                <w:lang w:val="en-US" w:eastAsia="zh-CN"/>
              </w:rPr>
              <w:t>JHEX-HAFFP\2*1.0MM2\E</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通信、通讯电缆</w:t>
            </w:r>
            <w:r>
              <w:rPr>
                <w:rFonts w:hint="eastAsia" w:asciiTheme="minorEastAsia" w:hAnsiTheme="minorEastAsia" w:eastAsiaTheme="minorEastAsia" w:cstheme="minorEastAsia"/>
                <w:kern w:val="0"/>
                <w:sz w:val="21"/>
                <w:szCs w:val="21"/>
                <w:lang w:val="en-US" w:eastAsia="zh-CN"/>
              </w:rPr>
              <w:t>\ZRC-DJYPVP\2*2*1MM2</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10</w:t>
            </w:r>
            <w:r>
              <w:rPr>
                <w:rFonts w:hint="eastAsia" w:asciiTheme="minorEastAsia" w:hAnsiTheme="minorEastAsia" w:eastAsiaTheme="minorEastAsia" w:cstheme="minorEastAsia"/>
                <w:kern w:val="0"/>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电力电缆</w:t>
            </w:r>
            <w:r>
              <w:rPr>
                <w:rFonts w:hint="eastAsia" w:asciiTheme="minorEastAsia" w:hAnsiTheme="minorEastAsia" w:eastAsiaTheme="minorEastAsia" w:cstheme="minorEastAsia"/>
                <w:kern w:val="0"/>
                <w:sz w:val="21"/>
                <w:szCs w:val="21"/>
                <w:lang w:val="en-US" w:eastAsia="zh-CN"/>
              </w:rPr>
              <w:t>\RVVSP\2*1MM2\0.38/0.</w:t>
            </w:r>
            <w:bookmarkStart w:id="28" w:name="_GoBack"/>
            <w:bookmarkEnd w:id="28"/>
            <w:r>
              <w:rPr>
                <w:rFonts w:hint="eastAsia" w:asciiTheme="minorEastAsia" w:hAnsiTheme="minorEastAsia" w:eastAsiaTheme="minorEastAsia" w:cstheme="minorEastAsia"/>
                <w:kern w:val="0"/>
                <w:sz w:val="21"/>
                <w:szCs w:val="21"/>
                <w:lang w:val="en-US" w:eastAsia="zh-CN"/>
              </w:rPr>
              <w:t>66KV</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28</w:t>
            </w:r>
            <w:r>
              <w:rPr>
                <w:rFonts w:hint="eastAsia" w:asciiTheme="minorEastAsia" w:hAnsiTheme="minorEastAsia" w:eastAsiaTheme="minorEastAsia" w:cstheme="minor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控制电缆</w:t>
            </w:r>
            <w:r>
              <w:rPr>
                <w:rFonts w:hint="eastAsia" w:asciiTheme="minorEastAsia" w:hAnsiTheme="minorEastAsia" w:eastAsiaTheme="minorEastAsia" w:cstheme="minorEastAsia"/>
                <w:kern w:val="0"/>
                <w:sz w:val="21"/>
                <w:szCs w:val="21"/>
                <w:lang w:val="en-US" w:eastAsia="zh-CN"/>
              </w:rPr>
              <w:t>\ZR-KVVP\4*1.5MM2</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5265" w:type="dxa"/>
            <w:vAlign w:val="bottom"/>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电力电缆\ZRC-VV22\4*4MM2\0.6/1KV</w:t>
            </w:r>
          </w:p>
        </w:tc>
        <w:tc>
          <w:tcPr>
            <w:tcW w:w="885" w:type="dxa"/>
            <w:vAlign w:val="bottom"/>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米</w:t>
            </w:r>
          </w:p>
        </w:tc>
        <w:tc>
          <w:tcPr>
            <w:tcW w:w="1125" w:type="dxa"/>
            <w:vAlign w:val="bottom"/>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6</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补偿电缆</w:t>
            </w:r>
            <w:r>
              <w:rPr>
                <w:rFonts w:hint="eastAsia" w:asciiTheme="minorEastAsia" w:hAnsiTheme="minorEastAsia" w:eastAsiaTheme="minorEastAsia" w:cstheme="minorEastAsia"/>
                <w:kern w:val="0"/>
                <w:sz w:val="21"/>
                <w:szCs w:val="21"/>
                <w:lang w:val="en-US" w:eastAsia="zh-CN"/>
              </w:rPr>
              <w:t>JHKX\2*1.5MM2\K</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7</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控制电缆</w:t>
            </w:r>
            <w:r>
              <w:rPr>
                <w:rFonts w:hint="eastAsia" w:asciiTheme="minorEastAsia" w:hAnsiTheme="minorEastAsia" w:eastAsiaTheme="minorEastAsia" w:cstheme="minorEastAsia"/>
                <w:kern w:val="0"/>
                <w:sz w:val="21"/>
                <w:szCs w:val="21"/>
                <w:lang w:val="en-US" w:eastAsia="zh-CN"/>
              </w:rPr>
              <w:t>\ZRC-KVVP2/22-1\4*2.5MM2</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8</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电力电缆</w:t>
            </w:r>
            <w:r>
              <w:rPr>
                <w:rFonts w:hint="eastAsia" w:asciiTheme="minorEastAsia" w:hAnsiTheme="minorEastAsia" w:eastAsiaTheme="minorEastAsia" w:cstheme="minorEastAsia"/>
                <w:kern w:val="0"/>
                <w:sz w:val="21"/>
                <w:szCs w:val="21"/>
                <w:lang w:val="en-US" w:eastAsia="zh-CN"/>
              </w:rPr>
              <w:t>\ZRC-VV22\3*10MM2+1*6MM2\0.38/0.66KV</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9</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电力电缆</w:t>
            </w:r>
            <w:r>
              <w:rPr>
                <w:rFonts w:hint="eastAsia" w:asciiTheme="minorEastAsia" w:hAnsiTheme="minorEastAsia" w:eastAsiaTheme="minorEastAsia" w:cstheme="minorEastAsia"/>
                <w:kern w:val="0"/>
                <w:sz w:val="21"/>
                <w:szCs w:val="21"/>
                <w:lang w:val="en-US" w:eastAsia="zh-CN"/>
              </w:rPr>
              <w:t>\VV22\3*120MM2+1*70MM2\0.6/1KV</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电力电缆</w:t>
            </w:r>
            <w:r>
              <w:rPr>
                <w:rFonts w:hint="eastAsia" w:asciiTheme="minorEastAsia" w:hAnsiTheme="minorEastAsia" w:eastAsiaTheme="minorEastAsia" w:cstheme="minorEastAsia"/>
                <w:kern w:val="0"/>
                <w:sz w:val="21"/>
                <w:szCs w:val="21"/>
                <w:lang w:val="en-US" w:eastAsia="zh-CN"/>
              </w:rPr>
              <w:t>\ZRC-VV22\2*120MM2\0.6/1KV</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11</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电力电缆ZR-RV\1*2.5MM2\0.38/0.66KV</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57"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12</w:t>
            </w:r>
          </w:p>
        </w:tc>
        <w:tc>
          <w:tcPr>
            <w:tcW w:w="526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电力电缆ZR-RV\1*1.5MM2\0.38/0.66KV</w:t>
            </w:r>
          </w:p>
        </w:tc>
        <w:tc>
          <w:tcPr>
            <w:tcW w:w="88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w:t>
            </w:r>
          </w:p>
        </w:tc>
        <w:tc>
          <w:tcPr>
            <w:tcW w:w="1125" w:type="dxa"/>
            <w:vAlign w:val="center"/>
          </w:tcPr>
          <w:p>
            <w:pPr>
              <w:keepNext w:val="0"/>
              <w:keepLines w:val="0"/>
              <w:pageBreakBefore w:val="0"/>
              <w:widowControl w:val="0"/>
              <w:kinsoku/>
              <w:wordWrap/>
              <w:bidi w:val="0"/>
              <w:spacing w:line="240" w:lineRule="auto"/>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2000</w:t>
            </w:r>
          </w:p>
        </w:tc>
      </w:tr>
    </w:tbl>
    <w:p>
      <w:pPr>
        <w:pStyle w:val="13"/>
        <w:keepNext w:val="0"/>
        <w:keepLines w:val="0"/>
        <w:pageBreakBefore w:val="0"/>
        <w:kinsoku/>
        <w:wordWrap/>
        <w:bidi w:val="0"/>
        <w:spacing w:line="240" w:lineRule="auto"/>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5、</w:t>
      </w:r>
      <w:r>
        <w:rPr>
          <w:rFonts w:hint="eastAsia" w:asciiTheme="minorEastAsia" w:hAnsiTheme="minorEastAsia" w:eastAsiaTheme="minorEastAsia" w:cstheme="minorEastAsia"/>
          <w:b/>
          <w:sz w:val="21"/>
          <w:szCs w:val="21"/>
        </w:rPr>
        <w:t>技术要求</w:t>
      </w:r>
    </w:p>
    <w:p>
      <w:pPr>
        <w:keepNext w:val="0"/>
        <w:keepLines w:val="0"/>
        <w:pageBreakBefore w:val="0"/>
        <w:kinsoku/>
        <w:wordWrap/>
        <w:bidi w:val="0"/>
        <w:spacing w:line="240" w:lineRule="auto"/>
        <w:ind w:firstLine="105" w:firstLineChars="50"/>
        <w:rPr>
          <w:rFonts w:hint="eastAsia" w:asciiTheme="minorEastAsia" w:hAnsiTheme="minorEastAsia" w:eastAsiaTheme="minorEastAsia" w:cstheme="minorEastAsia"/>
          <w:sz w:val="21"/>
          <w:szCs w:val="21"/>
          <w:lang w:val="en-US" w:eastAsia="zh-CN" w:bidi="ar-SA"/>
        </w:rPr>
      </w:pPr>
      <w:bookmarkStart w:id="4" w:name="_Toc287365505"/>
      <w:bookmarkStart w:id="5" w:name="_Toc343755305"/>
      <w:r>
        <w:rPr>
          <w:rFonts w:hint="eastAsia" w:asciiTheme="minorEastAsia" w:hAnsiTheme="minorEastAsia" w:eastAsiaTheme="minorEastAsia" w:cstheme="minorEastAsia"/>
          <w:sz w:val="21"/>
          <w:szCs w:val="21"/>
          <w:lang w:val="en-US" w:eastAsia="zh-CN" w:bidi="ar-SA"/>
        </w:rPr>
        <w:t xml:space="preserve">5.1 </w:t>
      </w:r>
      <w:bookmarkEnd w:id="4"/>
      <w:bookmarkEnd w:id="5"/>
      <w:r>
        <w:rPr>
          <w:rFonts w:hint="eastAsia" w:asciiTheme="minorEastAsia" w:hAnsiTheme="minorEastAsia" w:eastAsiaTheme="minorEastAsia" w:cstheme="minorEastAsia"/>
          <w:sz w:val="21"/>
          <w:szCs w:val="21"/>
          <w:lang w:val="en-US" w:eastAsia="zh-CN" w:bidi="ar-SA"/>
        </w:rPr>
        <w:t>电缆结构</w:t>
      </w:r>
    </w:p>
    <w:p>
      <w:pPr>
        <w:pStyle w:val="14"/>
        <w:keepNext w:val="0"/>
        <w:keepLines w:val="0"/>
        <w:pageBreakBefore w:val="0"/>
        <w:kinsoku/>
        <w:wordWrap/>
        <w:overflowPunct w:val="0"/>
        <w:bidi w:val="0"/>
        <w:spacing w:line="240" w:lineRule="auto"/>
        <w:ind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电缆结构除符合GB/T 12706.2的规定外，还应满足以下要求。</w:t>
      </w:r>
    </w:p>
    <w:p>
      <w:pPr>
        <w:keepNext w:val="0"/>
        <w:keepLines w:val="0"/>
        <w:pageBreakBefore w:val="0"/>
        <w:kinsoku/>
        <w:wordWrap/>
        <w:bidi w:val="0"/>
        <w:spacing w:line="240" w:lineRule="auto"/>
        <w:ind w:left="855" w:leftChars="50" w:hanging="735" w:hangingChars="3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5.1.1 导体</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1）导体结构、性能及外观符合GB/T3956的规定。</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2）导体表面光洁、无油物、无损伤绝缘的毛刺、锐边以及凸起或断裂的单线。</w:t>
      </w:r>
    </w:p>
    <w:p>
      <w:pPr>
        <w:keepNext w:val="0"/>
        <w:keepLines w:val="0"/>
        <w:pageBreakBefore w:val="0"/>
        <w:kinsoku/>
        <w:wordWrap/>
        <w:bidi w:val="0"/>
        <w:spacing w:line="240" w:lineRule="auto"/>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5.1.2绝缘</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1)绝缘紧密挤包在导体上，且容易剥离而不损伤导体。绝缘表面平整，色泽均匀。</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2) 绝缘层的横端面上无目力可见的气泡和沙眼等缺陷。</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3)绝缘的平均厚度不小于GB12706.1中规定的标称值。</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4)绝缘线芯采用颜色识别，分色规则符合GB6995的规定。</w:t>
      </w:r>
    </w:p>
    <w:p>
      <w:pPr>
        <w:keepNext w:val="0"/>
        <w:keepLines w:val="0"/>
        <w:pageBreakBefore w:val="0"/>
        <w:kinsoku/>
        <w:wordWrap/>
        <w:bidi w:val="0"/>
        <w:spacing w:line="240" w:lineRule="auto"/>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5.1.3外护套</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1)电缆外护套紧密挤包在成缆线芯上，护套表面光洁，色泽均匀。</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2)电缆外护套厚度符合GB12706.1的规定。</w:t>
      </w:r>
    </w:p>
    <w:p>
      <w:pPr>
        <w:keepNext w:val="0"/>
        <w:keepLines w:val="0"/>
        <w:pageBreakBefore w:val="0"/>
        <w:kinsoku/>
        <w:wordWrap/>
        <w:bidi w:val="0"/>
        <w:spacing w:line="240" w:lineRule="auto"/>
        <w:ind w:firstLine="0" w:firstLineChars="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5.1.4成品电缆</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1)成品电缆的机械物理性能等技术指标符合规定。</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2)所有动力电缆、控制电缆（整盘中）不应有中间接头。</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3)成品电缆的不圆度不大于10%。</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4)成品电缆能通过GB/T18380.1的不延燃试验。</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5)成品电缆能通过GB/T18380.3规定的C类成束燃烧试验。</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6)成品电缆表面连续印有电缆型号、电压、长名、尺码等标志。标志字迹清楚，易辨认、耐擦，并符合GB6995的规定。</w:t>
      </w:r>
      <w:bookmarkStart w:id="6" w:name="_Toc287365506"/>
      <w:bookmarkStart w:id="7" w:name="_Toc343755306"/>
    </w:p>
    <w:p>
      <w:pPr>
        <w:keepNext w:val="0"/>
        <w:keepLines w:val="0"/>
        <w:pageBreakBefore w:val="0"/>
        <w:kinsoku/>
        <w:wordWrap/>
        <w:bidi w:val="0"/>
        <w:spacing w:line="240" w:lineRule="auto"/>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5.1.5性能要求</w:t>
      </w:r>
      <w:bookmarkEnd w:id="6"/>
      <w:bookmarkEnd w:id="7"/>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1)产品必须经过严格的检验，符合耐压、导电性能、耐温等各项指标的测试。</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2)卖方必须保证供应的电缆、电线，截面积不能小于国家规定的范围。</w:t>
      </w:r>
    </w:p>
    <w:p>
      <w:pPr>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IE" w:eastAsia="zh-CN" w:bidi="ar-SA"/>
        </w:rPr>
      </w:pPr>
      <w:r>
        <w:rPr>
          <w:rFonts w:hint="eastAsia" w:asciiTheme="minorEastAsia" w:hAnsiTheme="minorEastAsia" w:eastAsiaTheme="minorEastAsia" w:cstheme="minorEastAsia"/>
          <w:sz w:val="21"/>
          <w:szCs w:val="21"/>
          <w:lang w:val="en-US" w:eastAsia="zh-CN" w:bidi="ar-SA"/>
        </w:rPr>
        <w:t>3)成品电线每100</w:t>
      </w:r>
      <w:r>
        <w:rPr>
          <w:rFonts w:hint="eastAsia" w:asciiTheme="minorEastAsia" w:hAnsiTheme="minorEastAsia" w:eastAsiaTheme="minorEastAsia" w:cstheme="minorEastAsia"/>
          <w:sz w:val="21"/>
          <w:szCs w:val="21"/>
          <w:lang w:val="en-IE" w:eastAsia="zh-CN" w:bidi="ar-SA"/>
        </w:rPr>
        <w:t>m长度计量误差不超过±0.5%。</w:t>
      </w:r>
    </w:p>
    <w:p>
      <w:pPr>
        <w:pStyle w:val="3"/>
        <w:keepNext w:val="0"/>
        <w:keepLines w:val="0"/>
        <w:pageBreakBefore w:val="0"/>
        <w:kinsoku/>
        <w:wordWrap/>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4)每盘电缆附有产品质量检验合格证，并标明制造厂名称、型号、规格、额定电压、长度等标志。</w:t>
      </w:r>
      <w:bookmarkStart w:id="8" w:name="_Toc247620585"/>
      <w:bookmarkStart w:id="9" w:name="_Toc339544214"/>
      <w:bookmarkStart w:id="10" w:name="_Toc372826441"/>
    </w:p>
    <w:p>
      <w:pPr>
        <w:pStyle w:val="3"/>
        <w:keepNext w:val="0"/>
        <w:keepLines w:val="0"/>
        <w:pageBreakBefore w:val="0"/>
        <w:kinsoku/>
        <w:wordWrap/>
        <w:bidi w:val="0"/>
        <w:spacing w:line="240" w:lineRule="auto"/>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5.2　密封和牵引头</w:t>
      </w:r>
      <w:bookmarkEnd w:id="8"/>
      <w:bookmarkEnd w:id="9"/>
      <w:bookmarkEnd w:id="10"/>
    </w:p>
    <w:p>
      <w:pPr>
        <w:pStyle w:val="14"/>
        <w:keepNext w:val="0"/>
        <w:keepLines w:val="0"/>
        <w:pageBreakBefore w:val="0"/>
        <w:kinsoku/>
        <w:wordWrap/>
        <w:overflowPunct w:val="0"/>
        <w:bidi w:val="0"/>
        <w:spacing w:line="240" w:lineRule="auto"/>
        <w:ind w:left="120" w:leftChars="50"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电缆两端应用防水密封套密封，密封套和电缆的重叠长度应不小于200mm。如有要求安装牵引头，牵引头应与线芯采用围压的连接方式并与电缆可靠密封，在运输、储存、敷设过程中保证电缆密封不失效。</w:t>
      </w:r>
      <w:bookmarkStart w:id="11" w:name="_Toc247620592"/>
      <w:bookmarkStart w:id="12" w:name="_Toc372826448"/>
      <w:bookmarkStart w:id="13" w:name="_Toc339544221"/>
    </w:p>
    <w:p>
      <w:pPr>
        <w:pStyle w:val="14"/>
        <w:keepNext w:val="0"/>
        <w:keepLines w:val="0"/>
        <w:pageBreakBefore w:val="0"/>
        <w:kinsoku/>
        <w:wordWrap/>
        <w:overflowPunct w:val="0"/>
        <w:bidi w:val="0"/>
        <w:spacing w:line="240" w:lineRule="auto"/>
        <w:ind w:firstLine="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5.3　安装后的电气试验</w:t>
      </w:r>
      <w:bookmarkEnd w:id="11"/>
      <w:bookmarkEnd w:id="12"/>
      <w:bookmarkEnd w:id="13"/>
    </w:p>
    <w:p>
      <w:pPr>
        <w:pStyle w:val="14"/>
        <w:keepNext w:val="0"/>
        <w:keepLines w:val="0"/>
        <w:pageBreakBefore w:val="0"/>
        <w:kinsoku/>
        <w:wordWrap/>
        <w:overflowPunct w:val="0"/>
        <w:bidi w:val="0"/>
        <w:spacing w:line="240" w:lineRule="auto"/>
        <w:ind w:left="120" w:leftChars="50" w:firstLineChars="200"/>
        <w:rPr>
          <w:rFonts w:asciiTheme="minorEastAsia" w:hAnsiTheme="minorEastAsia" w:eastAsiaTheme="minorEastAsia"/>
          <w:kern w:val="2"/>
          <w:szCs w:val="21"/>
        </w:rPr>
      </w:pPr>
      <w:r>
        <w:rPr>
          <w:rFonts w:hint="eastAsia" w:asciiTheme="minorEastAsia" w:hAnsiTheme="minorEastAsia" w:eastAsiaTheme="minorEastAsia" w:cstheme="minorEastAsia"/>
          <w:sz w:val="21"/>
          <w:szCs w:val="21"/>
          <w:lang w:val="en-US" w:eastAsia="zh-CN" w:bidi="ar-SA"/>
        </w:rPr>
        <w:t>主绝缘交流电压试验：在导体和金属屏蔽间施加20Hz～300Hz交流电压，2.5U0、5min绝缘不击穿。</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b/>
          <w:kern w:val="2"/>
          <w:sz w:val="21"/>
          <w:szCs w:val="21"/>
        </w:rPr>
      </w:pPr>
      <w:bookmarkStart w:id="14" w:name="_Toc372826453"/>
      <w:bookmarkStart w:id="15" w:name="_Toc128122654"/>
      <w:bookmarkStart w:id="16" w:name="_Toc247620597"/>
      <w:bookmarkStart w:id="17" w:name="_Toc128122974"/>
      <w:bookmarkStart w:id="18" w:name="_Toc339544226"/>
      <w:r>
        <w:rPr>
          <w:rFonts w:hint="eastAsia" w:asciiTheme="minorEastAsia" w:hAnsiTheme="minorEastAsia" w:eastAsiaTheme="minorEastAsia" w:cstheme="minorEastAsia"/>
          <w:b/>
          <w:kern w:val="2"/>
          <w:sz w:val="21"/>
          <w:szCs w:val="21"/>
          <w:lang w:val="en-US" w:eastAsia="zh-CN"/>
        </w:rPr>
        <w:t>6、</w:t>
      </w:r>
      <w:r>
        <w:rPr>
          <w:rFonts w:hint="eastAsia" w:asciiTheme="minorEastAsia" w:hAnsiTheme="minorEastAsia" w:eastAsiaTheme="minorEastAsia" w:cstheme="minorEastAsia"/>
          <w:b/>
          <w:kern w:val="2"/>
          <w:sz w:val="21"/>
          <w:szCs w:val="21"/>
        </w:rPr>
        <w:t>产品标志、包装、运输和保管</w:t>
      </w:r>
      <w:bookmarkEnd w:id="14"/>
      <w:bookmarkEnd w:id="15"/>
      <w:bookmarkEnd w:id="16"/>
      <w:bookmarkEnd w:id="17"/>
      <w:bookmarkEnd w:id="18"/>
    </w:p>
    <w:p>
      <w:pPr>
        <w:pStyle w:val="14"/>
        <w:keepNext w:val="0"/>
        <w:keepLines w:val="0"/>
        <w:pageBreakBefore w:val="0"/>
        <w:kinsoku/>
        <w:wordWrap/>
        <w:overflowPunct w:val="0"/>
        <w:bidi w:val="0"/>
        <w:spacing w:line="240" w:lineRule="auto"/>
        <w:ind w:firstLine="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6.1 成品电缆的护套表面上应有制造厂名、产品型号、额定电压、每米打字和制造年、月的连续标志，标志应字迹清楚，清晰耐磨。</w:t>
      </w:r>
    </w:p>
    <w:p>
      <w:pPr>
        <w:pStyle w:val="14"/>
        <w:keepNext w:val="0"/>
        <w:keepLines w:val="0"/>
        <w:pageBreakBefore w:val="0"/>
        <w:kinsoku/>
        <w:wordWrap/>
        <w:overflowPunct w:val="0"/>
        <w:bidi w:val="0"/>
        <w:spacing w:line="240" w:lineRule="auto"/>
        <w:ind w:firstLine="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6.2 除非另有规定，电缆应卷绕在符合JB/T 8137的电缆盘上交货，每个电缆盘上只能卷绕一根电缆。电缆的两端应采用防潮帽密封并牢靠地固定在电缆盘上。</w:t>
      </w:r>
    </w:p>
    <w:p>
      <w:pPr>
        <w:pStyle w:val="14"/>
        <w:keepNext w:val="0"/>
        <w:keepLines w:val="0"/>
        <w:pageBreakBefore w:val="0"/>
        <w:kinsoku/>
        <w:wordWrap/>
        <w:overflowPunct w:val="0"/>
        <w:bidi w:val="0"/>
        <w:spacing w:line="240" w:lineRule="auto"/>
        <w:ind w:firstLine="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6.3 在每盘电缆的外侧端应装有经采购方认可的敷设电缆时牵引用的拉眼或牵引螺栓。拉眼或牵引螺栓与电缆导体的连接，应能满足敷设电缆时的牵引方式和牵引该长度的电缆所需的机械强度。对机械强度的要求应由采购方与卖方协商确定。</w:t>
      </w:r>
    </w:p>
    <w:p>
      <w:pPr>
        <w:pStyle w:val="14"/>
        <w:keepNext w:val="0"/>
        <w:keepLines w:val="0"/>
        <w:pageBreakBefore w:val="0"/>
        <w:kinsoku/>
        <w:wordWrap/>
        <w:overflowPunct w:val="0"/>
        <w:bidi w:val="0"/>
        <w:spacing w:line="240" w:lineRule="auto"/>
        <w:ind w:firstLine="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6.4 电缆盘的结构应牢固，筒体部分应采用钢结构。电缆卷绕在电缆盘上后，用护板保护，护板可以用木板或钢板。如采用木护板，在其外表面还应用金属带扎紧，并在护板之下的电缆盘最外层电缆表面上覆盖一层硬纸或其他具有类似功能的材料，以防碎石或煤渣等坚硬物体掉落在每匝电缆之间，在运输或搬运过程中损伤电缆外护套；如用钢板，则宜采用轧边或螺栓与电缆盘固定，而不应采用焊接固定。</w:t>
      </w:r>
    </w:p>
    <w:p>
      <w:pPr>
        <w:pStyle w:val="14"/>
        <w:keepNext w:val="0"/>
        <w:keepLines w:val="0"/>
        <w:pageBreakBefore w:val="0"/>
        <w:kinsoku/>
        <w:wordWrap/>
        <w:overflowPunct w:val="0"/>
        <w:bidi w:val="0"/>
        <w:spacing w:line="240" w:lineRule="auto"/>
        <w:ind w:firstLine="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6.5 在运输电缆时，卖方应采取防止电缆盘滚动的措施，例如将电缆盘放在托盘上。卖方应对由于未将电缆或电缆盘正确地扣紧、密封、包装和固定而造成的电缆损伤负责。</w:t>
      </w:r>
    </w:p>
    <w:p>
      <w:pPr>
        <w:pStyle w:val="14"/>
        <w:keepNext w:val="0"/>
        <w:keepLines w:val="0"/>
        <w:pageBreakBefore w:val="0"/>
        <w:kinsoku/>
        <w:wordWrap/>
        <w:overflowPunct w:val="0"/>
        <w:bidi w:val="0"/>
        <w:spacing w:line="240" w:lineRule="auto"/>
        <w:ind w:firstLine="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6.6 电缆盘在装卸时应采用专门的吊装工具以避免损坏电缆。</w:t>
      </w:r>
    </w:p>
    <w:p>
      <w:pPr>
        <w:pStyle w:val="14"/>
        <w:keepNext w:val="0"/>
        <w:keepLines w:val="0"/>
        <w:pageBreakBefore w:val="0"/>
        <w:kinsoku/>
        <w:wordWrap/>
        <w:overflowPunct w:val="0"/>
        <w:bidi w:val="0"/>
        <w:spacing w:line="240" w:lineRule="auto"/>
        <w:ind w:firstLine="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6.7 在电缆盘上应有下列文字和符合标志：</w:t>
      </w:r>
    </w:p>
    <w:p>
      <w:pPr>
        <w:pStyle w:val="14"/>
        <w:keepNext w:val="0"/>
        <w:keepLines w:val="0"/>
        <w:pageBreakBefore w:val="0"/>
        <w:kinsoku/>
        <w:wordWrap/>
        <w:overflowPunct w:val="0"/>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a）合同号、电缆盘号。</w:t>
      </w:r>
    </w:p>
    <w:p>
      <w:pPr>
        <w:pStyle w:val="14"/>
        <w:keepNext w:val="0"/>
        <w:keepLines w:val="0"/>
        <w:pageBreakBefore w:val="0"/>
        <w:kinsoku/>
        <w:wordWrap/>
        <w:overflowPunct w:val="0"/>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b）收货单位。</w:t>
      </w:r>
    </w:p>
    <w:p>
      <w:pPr>
        <w:pStyle w:val="14"/>
        <w:keepNext w:val="0"/>
        <w:keepLines w:val="0"/>
        <w:pageBreakBefore w:val="0"/>
        <w:kinsoku/>
        <w:wordWrap/>
        <w:overflowPunct w:val="0"/>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c）目的口岸或到站。</w:t>
      </w:r>
    </w:p>
    <w:p>
      <w:pPr>
        <w:pStyle w:val="14"/>
        <w:keepNext w:val="0"/>
        <w:keepLines w:val="0"/>
        <w:pageBreakBefore w:val="0"/>
        <w:kinsoku/>
        <w:wordWrap/>
        <w:overflowPunct w:val="0"/>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d）产品名称和型号规格。</w:t>
      </w:r>
    </w:p>
    <w:p>
      <w:pPr>
        <w:pStyle w:val="14"/>
        <w:keepNext w:val="0"/>
        <w:keepLines w:val="0"/>
        <w:pageBreakBefore w:val="0"/>
        <w:kinsoku/>
        <w:wordWrap/>
        <w:overflowPunct w:val="0"/>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e）电缆的额定电压。</w:t>
      </w:r>
    </w:p>
    <w:p>
      <w:pPr>
        <w:pStyle w:val="14"/>
        <w:keepNext w:val="0"/>
        <w:keepLines w:val="0"/>
        <w:pageBreakBefore w:val="0"/>
        <w:kinsoku/>
        <w:wordWrap/>
        <w:overflowPunct w:val="0"/>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f）电缆长度。</w:t>
      </w:r>
    </w:p>
    <w:p>
      <w:pPr>
        <w:pStyle w:val="14"/>
        <w:keepNext w:val="0"/>
        <w:keepLines w:val="0"/>
        <w:pageBreakBefore w:val="0"/>
        <w:kinsoku/>
        <w:wordWrap/>
        <w:overflowPunct w:val="0"/>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g）表示搬运电缆盘正确滚动方向的箭头和起吊点的符号。</w:t>
      </w:r>
    </w:p>
    <w:p>
      <w:pPr>
        <w:pStyle w:val="14"/>
        <w:keepNext w:val="0"/>
        <w:keepLines w:val="0"/>
        <w:pageBreakBefore w:val="0"/>
        <w:kinsoku/>
        <w:wordWrap/>
        <w:overflowPunct w:val="0"/>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h）必要的警告文字和符号。</w:t>
      </w:r>
    </w:p>
    <w:p>
      <w:pPr>
        <w:pStyle w:val="14"/>
        <w:keepNext w:val="0"/>
        <w:keepLines w:val="0"/>
        <w:pageBreakBefore w:val="0"/>
        <w:kinsoku/>
        <w:wordWrap/>
        <w:overflowPunct w:val="0"/>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i）卖方名称和制造日期。</w:t>
      </w:r>
    </w:p>
    <w:p>
      <w:pPr>
        <w:pStyle w:val="14"/>
        <w:keepNext w:val="0"/>
        <w:keepLines w:val="0"/>
        <w:pageBreakBefore w:val="0"/>
        <w:kinsoku/>
        <w:wordWrap/>
        <w:overflowPunct w:val="0"/>
        <w:bidi w:val="0"/>
        <w:spacing w:line="240" w:lineRule="auto"/>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j）外形尺寸、毛重和净重。</w:t>
      </w:r>
      <w:bookmarkStart w:id="19" w:name="_Toc128122975"/>
      <w:bookmarkStart w:id="20" w:name="_Toc128122655"/>
    </w:p>
    <w:p>
      <w:pPr>
        <w:pStyle w:val="14"/>
        <w:keepNext w:val="0"/>
        <w:keepLines w:val="0"/>
        <w:pageBreakBefore w:val="0"/>
        <w:kinsoku/>
        <w:wordWrap/>
        <w:overflowPunct w:val="0"/>
        <w:bidi w:val="0"/>
        <w:spacing w:line="240" w:lineRule="auto"/>
        <w:ind w:firstLine="0"/>
        <w:rPr>
          <w:rFonts w:hint="eastAsia" w:asciiTheme="minorEastAsia" w:hAnsiTheme="minorEastAsia" w:eastAsiaTheme="minorEastAsia" w:cstheme="minorEastAsia"/>
          <w:sz w:val="21"/>
          <w:szCs w:val="21"/>
          <w:lang w:val="en-US" w:eastAsia="zh-CN" w:bidi="ar-SA"/>
        </w:rPr>
      </w:pPr>
      <w:bookmarkStart w:id="21" w:name="_Toc119902321"/>
      <w:r>
        <w:rPr>
          <w:rFonts w:hint="eastAsia" w:asciiTheme="minorEastAsia" w:hAnsiTheme="minorEastAsia" w:eastAsiaTheme="minorEastAsia" w:cstheme="minorEastAsia"/>
          <w:sz w:val="21"/>
          <w:szCs w:val="21"/>
          <w:lang w:val="en-US" w:eastAsia="zh-CN" w:bidi="ar-SA"/>
        </w:rPr>
        <w:t>6.8 凡由于卖方包装不当、包装不充分或保管不善致使货物遭到损坏或丢失时，不论在何时何地发现，一经证实，卖方均应负责及时修理、更换或赔偿。在运输中如发生货物损坏和丢失时，卖方负责与承运部门及保险公司交涉，同时卖方应尽快向买方补供货物以满足工程建设进度需要。</w:t>
      </w:r>
      <w:bookmarkEnd w:id="21"/>
    </w:p>
    <w:p>
      <w:pPr>
        <w:pStyle w:val="14"/>
        <w:keepNext w:val="0"/>
        <w:keepLines w:val="0"/>
        <w:pageBreakBefore w:val="0"/>
        <w:kinsoku/>
        <w:wordWrap/>
        <w:overflowPunct w:val="0"/>
        <w:bidi w:val="0"/>
        <w:spacing w:line="240" w:lineRule="auto"/>
        <w:ind w:firstLine="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6.9 卖方应在货物装运前7天，以传真形式将每批待交货电缆的型号、规格、数量、质量、交货方式及地点通知买方。</w:t>
      </w:r>
    </w:p>
    <w:p>
      <w:pPr>
        <w:pStyle w:val="11"/>
        <w:keepNext w:val="0"/>
        <w:keepLines w:val="0"/>
        <w:pageBreakBefore w:val="0"/>
        <w:kinsoku/>
        <w:wordWrap/>
        <w:bidi w:val="0"/>
        <w:spacing w:line="240" w:lineRule="auto"/>
        <w:outlineLvl w:val="0"/>
        <w:rPr>
          <w:rFonts w:hint="eastAsia" w:asciiTheme="minorEastAsia" w:hAnsiTheme="minorEastAsia" w:eastAsiaTheme="minorEastAsia" w:cstheme="minorEastAsia"/>
          <w:b/>
          <w:kern w:val="2"/>
          <w:sz w:val="21"/>
          <w:szCs w:val="21"/>
        </w:rPr>
      </w:pPr>
      <w:bookmarkStart w:id="22" w:name="_Toc372826454"/>
      <w:bookmarkStart w:id="23" w:name="_Toc339544227"/>
      <w:bookmarkStart w:id="24" w:name="_Toc247620598"/>
      <w:r>
        <w:rPr>
          <w:rFonts w:hint="eastAsia" w:asciiTheme="minorEastAsia" w:hAnsiTheme="minorEastAsia" w:eastAsiaTheme="minorEastAsia" w:cstheme="minorEastAsia"/>
          <w:b/>
          <w:kern w:val="2"/>
          <w:sz w:val="21"/>
          <w:szCs w:val="21"/>
          <w:lang w:val="en-US" w:eastAsia="zh-CN"/>
        </w:rPr>
        <w:t>7</w:t>
      </w:r>
      <w:r>
        <w:rPr>
          <w:rFonts w:hint="eastAsia" w:asciiTheme="minorEastAsia" w:hAnsiTheme="minorEastAsia" w:eastAsiaTheme="minorEastAsia" w:cstheme="minorEastAsia"/>
          <w:b/>
          <w:kern w:val="2"/>
          <w:sz w:val="21"/>
          <w:szCs w:val="21"/>
          <w:lang w:eastAsia="zh-CN"/>
        </w:rPr>
        <w:t>、</w:t>
      </w:r>
      <w:r>
        <w:rPr>
          <w:rFonts w:hint="eastAsia" w:asciiTheme="minorEastAsia" w:hAnsiTheme="minorEastAsia" w:eastAsiaTheme="minorEastAsia" w:cstheme="minorEastAsia"/>
          <w:b/>
          <w:kern w:val="2"/>
          <w:sz w:val="21"/>
          <w:szCs w:val="21"/>
        </w:rPr>
        <w:t>资料</w:t>
      </w:r>
      <w:bookmarkEnd w:id="19"/>
      <w:bookmarkEnd w:id="20"/>
      <w:bookmarkEnd w:id="22"/>
      <w:bookmarkEnd w:id="23"/>
      <w:bookmarkEnd w:id="24"/>
      <w:r>
        <w:rPr>
          <w:rFonts w:hint="eastAsia" w:asciiTheme="minorEastAsia" w:hAnsiTheme="minorEastAsia" w:eastAsiaTheme="minorEastAsia" w:cstheme="minorEastAsia"/>
          <w:b/>
          <w:kern w:val="2"/>
          <w:sz w:val="21"/>
          <w:szCs w:val="21"/>
        </w:rPr>
        <w:t>交付</w:t>
      </w:r>
    </w:p>
    <w:p>
      <w:pPr>
        <w:pStyle w:val="13"/>
        <w:keepNext w:val="0"/>
        <w:keepLines w:val="0"/>
        <w:pageBreakBefore w:val="0"/>
        <w:kinsoku/>
        <w:wordWrap/>
        <w:overflowPunct w:val="0"/>
        <w:bidi w:val="0"/>
        <w:spacing w:line="240" w:lineRule="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7.1　产品说明书</w:t>
      </w:r>
    </w:p>
    <w:p>
      <w:pPr>
        <w:keepNext w:val="0"/>
        <w:keepLines w:val="0"/>
        <w:pageBreakBefore w:val="0"/>
        <w:kinsoku/>
        <w:wordWrap/>
        <w:overflowPunct w:val="0"/>
        <w:bidi w:val="0"/>
        <w:spacing w:line="240" w:lineRule="auto"/>
        <w:ind w:firstLine="42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7.1.1提供电缆的结构型式的简要概述及照片。</w:t>
      </w:r>
    </w:p>
    <w:p>
      <w:pPr>
        <w:keepNext w:val="0"/>
        <w:keepLines w:val="0"/>
        <w:pageBreakBefore w:val="0"/>
        <w:kinsoku/>
        <w:wordWrap/>
        <w:overflowPunct w:val="0"/>
        <w:bidi w:val="0"/>
        <w:spacing w:line="240" w:lineRule="auto"/>
        <w:ind w:firstLine="42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7.1.2说明书应包括下列各项：型号、结构尺寸（附结构图）、技术参数、适用范围、使用环境、安装、维护、运输、保管及其他需注意的事项等。</w:t>
      </w:r>
    </w:p>
    <w:p>
      <w:pPr>
        <w:keepNext w:val="0"/>
        <w:keepLines w:val="0"/>
        <w:pageBreakBefore w:val="0"/>
        <w:kinsoku/>
        <w:wordWrap/>
        <w:overflowPunct w:val="0"/>
        <w:bidi w:val="0"/>
        <w:spacing w:line="240" w:lineRule="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7.2　试验报告</w:t>
      </w:r>
    </w:p>
    <w:p>
      <w:pPr>
        <w:keepNext w:val="0"/>
        <w:keepLines w:val="0"/>
        <w:pageBreakBefore w:val="0"/>
        <w:kinsoku/>
        <w:wordWrap/>
        <w:overflowPunct w:val="0"/>
        <w:bidi w:val="0"/>
        <w:spacing w:line="240" w:lineRule="auto"/>
        <w:ind w:firstLine="42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7.2.1提供电缆的出厂试验报告。</w:t>
      </w:r>
    </w:p>
    <w:p>
      <w:pPr>
        <w:keepNext w:val="0"/>
        <w:keepLines w:val="0"/>
        <w:pageBreakBefore w:val="0"/>
        <w:kinsoku/>
        <w:wordWrap/>
        <w:overflowPunct w:val="0"/>
        <w:bidi w:val="0"/>
        <w:spacing w:line="240" w:lineRule="auto"/>
        <w:ind w:firstLine="42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7.2.2提供与所招标型号相同/相近的电力电缆的型式试验报告。</w:t>
      </w:r>
    </w:p>
    <w:p>
      <w:pPr>
        <w:keepNext w:val="0"/>
        <w:keepLines w:val="0"/>
        <w:pageBreakBefore w:val="0"/>
        <w:kinsoku/>
        <w:wordWrap/>
        <w:overflowPunct w:val="0"/>
        <w:bidi w:val="0"/>
        <w:spacing w:line="240" w:lineRule="auto"/>
        <w:ind w:firstLine="420"/>
        <w:rPr>
          <w:rFonts w:asciiTheme="minorEastAsia" w:hAnsiTheme="minorEastAsia" w:eastAsiaTheme="minorEastAsia"/>
          <w:color w:val="000000"/>
        </w:rPr>
      </w:pPr>
      <w:r>
        <w:rPr>
          <w:rFonts w:hint="eastAsia" w:asciiTheme="minorEastAsia" w:hAnsiTheme="minorEastAsia" w:eastAsiaTheme="minorEastAsia" w:cstheme="minorEastAsia"/>
          <w:kern w:val="0"/>
          <w:sz w:val="21"/>
          <w:szCs w:val="21"/>
          <w:lang w:val="en-US" w:eastAsia="zh-CN" w:bidi="ar-SA"/>
        </w:rPr>
        <w:t>7.2.3需要时提供特殊试验报告，如阻燃试验、防白蚁试验等。</w:t>
      </w:r>
      <w:bookmarkStart w:id="25" w:name="_Toc247620576"/>
      <w:bookmarkStart w:id="26" w:name="_Toc339544205"/>
      <w:bookmarkStart w:id="27" w:name="_Toc372826433"/>
    </w:p>
    <w:p>
      <w:pPr>
        <w:pStyle w:val="13"/>
        <w:keepNext w:val="0"/>
        <w:keepLines w:val="0"/>
        <w:pageBreakBefore w:val="0"/>
        <w:kinsoku/>
        <w:wordWrap/>
        <w:bidi w:val="0"/>
        <w:spacing w:line="240" w:lineRule="auto"/>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8</w:t>
      </w:r>
      <w:r>
        <w:rPr>
          <w:rFonts w:hint="eastAsia" w:asciiTheme="minorEastAsia" w:hAnsiTheme="minorEastAsia" w:eastAsiaTheme="minorEastAsia" w:cstheme="minorEastAsia"/>
          <w:b/>
          <w:sz w:val="21"/>
          <w:szCs w:val="21"/>
          <w:lang w:eastAsia="zh-CN"/>
        </w:rPr>
        <w:t>、</w:t>
      </w:r>
      <w:r>
        <w:rPr>
          <w:rFonts w:hint="eastAsia" w:asciiTheme="minorEastAsia" w:hAnsiTheme="minorEastAsia" w:eastAsiaTheme="minorEastAsia" w:cstheme="minorEastAsia"/>
          <w:b/>
          <w:sz w:val="21"/>
          <w:szCs w:val="21"/>
        </w:rPr>
        <w:t>进度要求</w:t>
      </w:r>
      <w:bookmarkEnd w:id="25"/>
      <w:bookmarkEnd w:id="26"/>
      <w:bookmarkEnd w:id="27"/>
    </w:p>
    <w:p>
      <w:pPr>
        <w:keepNext w:val="0"/>
        <w:keepLines w:val="0"/>
        <w:pageBreakBefore w:val="0"/>
        <w:kinsoku/>
        <w:wordWrap/>
        <w:overflowPunct w:val="0"/>
        <w:bidi w:val="0"/>
        <w:spacing w:line="240" w:lineRule="auto"/>
        <w:ind w:firstLine="420"/>
      </w:pPr>
      <w:r>
        <w:rPr>
          <w:rFonts w:hint="eastAsia" w:asciiTheme="minorEastAsia" w:hAnsiTheme="minorEastAsia" w:eastAsiaTheme="minorEastAsia" w:cstheme="minorEastAsia"/>
          <w:kern w:val="0"/>
          <w:sz w:val="21"/>
          <w:szCs w:val="21"/>
          <w:lang w:val="en-US" w:eastAsia="zh-CN" w:bidi="ar-SA"/>
        </w:rPr>
        <w:t>为了满足本工程进度要求，投标方应在技术协议签订后5个日历日内开始交货，并在15个日历日内交付完毕。卖方对于因某种特殊原因造成的交货时间延误情况，应采取相应的补救措施及应急预案。</w:t>
      </w:r>
      <w:bookmarkEnd w:id="0"/>
      <w:bookmarkEnd w:id="1"/>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EU-F1">
    <w:altName w:val="宋体"/>
    <w:panose1 w:val="00000000000000000000"/>
    <w:charset w:val="86"/>
    <w:family w:val="script"/>
    <w:pitch w:val="default"/>
    <w:sig w:usb0="00000000" w:usb1="00000000" w:usb2="00000010" w:usb3="00000000" w:csb0="00040000" w:csb1="00000000"/>
  </w:font>
  <w:font w:name="E-F1">
    <w:altName w:val="Malgun Gothic"/>
    <w:panose1 w:val="00000000000000000000"/>
    <w:charset w:val="81"/>
    <w:family w:val="roman"/>
    <w:pitch w:val="default"/>
    <w:sig w:usb0="00000000" w:usb1="00000000" w:usb2="00000033"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C1B48"/>
    <w:rsid w:val="0BEE20D3"/>
    <w:rsid w:val="0E72220E"/>
    <w:rsid w:val="0F8E609E"/>
    <w:rsid w:val="12E62ECB"/>
    <w:rsid w:val="180B18B1"/>
    <w:rsid w:val="1CCE1BF2"/>
    <w:rsid w:val="1EF5065C"/>
    <w:rsid w:val="27024C5A"/>
    <w:rsid w:val="298F559D"/>
    <w:rsid w:val="3FCA750F"/>
    <w:rsid w:val="40991079"/>
    <w:rsid w:val="48BC6129"/>
    <w:rsid w:val="4AED6782"/>
    <w:rsid w:val="4B103FD8"/>
    <w:rsid w:val="617E7ECB"/>
    <w:rsid w:val="632924F4"/>
    <w:rsid w:val="634F7187"/>
    <w:rsid w:val="638F27B5"/>
    <w:rsid w:val="68FF2115"/>
    <w:rsid w:val="6DE441FA"/>
    <w:rsid w:val="72C17E6C"/>
    <w:rsid w:val="76965FA7"/>
    <w:rsid w:val="79C11898"/>
    <w:rsid w:val="79D5121F"/>
    <w:rsid w:val="7B7074F8"/>
    <w:rsid w:val="7CC5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宋体" w:hAnsi="宋体" w:eastAsia="宋体" w:cs="宋体"/>
      <w:sz w:val="24"/>
      <w:szCs w:val="24"/>
      <w:lang w:val="en-US" w:eastAsia="zh-CN" w:bidi="ar-SA"/>
    </w:rPr>
  </w:style>
  <w:style w:type="paragraph" w:styleId="2">
    <w:name w:val="heading 2"/>
    <w:basedOn w:val="1"/>
    <w:next w:val="1"/>
    <w:qFormat/>
    <w:uiPriority w:val="0"/>
    <w:pPr>
      <w:keepNext/>
      <w:keepLines/>
      <w:adjustRightInd w:val="0"/>
      <w:spacing w:line="360" w:lineRule="auto"/>
      <w:textAlignment w:val="baseline"/>
      <w:outlineLvl w:val="1"/>
    </w:pPr>
    <w:rPr>
      <w:rFonts w:cs="Times New Roman"/>
      <w:b/>
      <w:bCs/>
      <w:kern w:val="2"/>
      <w:szCs w:val="2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uto"/>
      <w:textAlignment w:val="baseline"/>
    </w:pPr>
    <w:rPr>
      <w:rFonts w:hAnsi="Times New Roman" w:cs="Times New Roman"/>
      <w:szCs w:val="20"/>
    </w:rPr>
  </w:style>
  <w:style w:type="paragraph" w:styleId="4">
    <w:name w:val="Body Text 3"/>
    <w:basedOn w:val="1"/>
    <w:qFormat/>
    <w:uiPriority w:val="0"/>
    <w:pPr>
      <w:spacing w:line="360" w:lineRule="auto"/>
    </w:pPr>
    <w:rPr>
      <w:rFonts w:cs="Times New Roman"/>
      <w:color w:val="FF00FF"/>
      <w:kern w:val="2"/>
    </w:rPr>
  </w:style>
  <w:style w:type="paragraph" w:styleId="5">
    <w:name w:val="Date"/>
    <w:basedOn w:val="1"/>
    <w:next w:val="1"/>
    <w:semiHidden/>
    <w:unhideWhenUsed/>
    <w:qFormat/>
    <w:uiPriority w:val="0"/>
    <w:pPr>
      <w:ind w:left="100" w:leftChars="2500"/>
    </w:pPr>
  </w:style>
  <w:style w:type="paragraph" w:styleId="6">
    <w:name w:val="footer"/>
    <w:basedOn w:val="1"/>
    <w:unhideWhenUsed/>
    <w:qFormat/>
    <w:uiPriority w:val="99"/>
    <w:pPr>
      <w:tabs>
        <w:tab w:val="center" w:pos="4153"/>
        <w:tab w:val="right" w:pos="8306"/>
      </w:tabs>
      <w:snapToGrid w:val="0"/>
      <w:ind w:firstLine="0" w:firstLineChars="0"/>
      <w:jc w:val="left"/>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rPr>
      <w:rFonts w:ascii="Times New Roman" w:hAnsi="Times New Roman"/>
      <w:szCs w:val="24"/>
    </w:rPr>
  </w:style>
  <w:style w:type="paragraph" w:customStyle="1" w:styleId="11">
    <w:name w:val="2z"/>
    <w:basedOn w:val="1"/>
    <w:qFormat/>
    <w:uiPriority w:val="0"/>
    <w:pPr>
      <w:topLinePunct/>
      <w:spacing w:line="480" w:lineRule="auto"/>
      <w:ind w:firstLine="0" w:firstLineChars="0"/>
    </w:pPr>
    <w:rPr>
      <w:rFonts w:ascii="EU-F1" w:eastAsia="黑体"/>
      <w:kern w:val="21"/>
    </w:rPr>
  </w:style>
  <w:style w:type="paragraph" w:customStyle="1" w:styleId="12">
    <w:name w:val="B"/>
    <w:basedOn w:val="1"/>
    <w:qFormat/>
    <w:uiPriority w:val="0"/>
    <w:pPr>
      <w:tabs>
        <w:tab w:val="center" w:pos="4706"/>
        <w:tab w:val="right" w:pos="9044"/>
      </w:tabs>
      <w:topLinePunct/>
      <w:spacing w:before="160" w:after="60" w:line="312" w:lineRule="exact"/>
      <w:ind w:firstLine="0" w:firstLineChars="0"/>
      <w:jc w:val="center"/>
    </w:pPr>
    <w:rPr>
      <w:rFonts w:ascii="E-F1" w:eastAsia="黑体"/>
    </w:rPr>
  </w:style>
  <w:style w:type="paragraph" w:customStyle="1" w:styleId="13">
    <w:name w:val="3z"/>
    <w:basedOn w:val="1"/>
    <w:qFormat/>
    <w:uiPriority w:val="0"/>
    <w:pPr>
      <w:topLinePunct/>
      <w:spacing w:line="312" w:lineRule="exact"/>
      <w:ind w:firstLine="0" w:firstLineChars="0"/>
    </w:pPr>
    <w:rPr>
      <w:rFonts w:ascii="EU-F1" w:eastAsia="黑体"/>
    </w:rPr>
  </w:style>
  <w:style w:type="paragraph" w:customStyle="1" w:styleId="14">
    <w:name w:val="wang正文"/>
    <w:basedOn w:val="1"/>
    <w:qFormat/>
    <w:uiPriority w:val="0"/>
    <w:pPr>
      <w:tabs>
        <w:tab w:val="left" w:pos="6840"/>
      </w:tabs>
      <w:topLinePunct/>
      <w:ind w:firstLine="420" w:firstLineChars="0"/>
    </w:pPr>
    <w:rPr>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zhaoying.tc</dc:creator>
  <cp:lastModifiedBy>taofeng.TC</cp:lastModifiedBy>
  <cp:lastPrinted>2021-02-02T05:11:00Z</cp:lastPrinted>
  <dcterms:modified xsi:type="dcterms:W3CDTF">2021-02-08T07:02:40Z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