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18"/>
        </w:rPr>
      </w:pPr>
      <w:bookmarkStart w:id="15" w:name="_GoBack"/>
      <w:bookmarkEnd w:id="15"/>
      <w:r>
        <w:drawing>
          <wp:anchor distT="0" distB="0" distL="114300" distR="114300" simplePos="0" relativeHeight="251659264" behindDoc="0" locked="0" layoutInCell="1" allowOverlap="1">
            <wp:simplePos x="0" y="0"/>
            <wp:positionH relativeFrom="column">
              <wp:posOffset>3643630</wp:posOffset>
            </wp:positionH>
            <wp:positionV relativeFrom="paragraph">
              <wp:posOffset>60960</wp:posOffset>
            </wp:positionV>
            <wp:extent cx="1840230" cy="396875"/>
            <wp:effectExtent l="19050" t="0" r="7620" b="0"/>
            <wp:wrapSquare wrapText="bothSides"/>
            <wp:docPr id="1026" name="图片 3" descr="说明: 未标题-1副本"/>
            <wp:cNvGraphicFramePr/>
            <a:graphic xmlns:a="http://schemas.openxmlformats.org/drawingml/2006/main">
              <a:graphicData uri="http://schemas.openxmlformats.org/drawingml/2006/picture">
                <pic:pic xmlns:pic="http://schemas.openxmlformats.org/drawingml/2006/picture">
                  <pic:nvPicPr>
                    <pic:cNvPr id="1026" name="图片 3" descr="说明: 未标题-1副本"/>
                    <pic:cNvPicPr/>
                  </pic:nvPicPr>
                  <pic:blipFill>
                    <a:blip r:embed="rId4" cstate="print"/>
                    <a:srcRect/>
                    <a:stretch>
                      <a:fillRect/>
                    </a:stretch>
                  </pic:blipFill>
                  <pic:spPr>
                    <a:xfrm>
                      <a:off x="0" y="0"/>
                      <a:ext cx="1840229" cy="396875"/>
                    </a:xfrm>
                    <a:prstGeom prst="rect">
                      <a:avLst/>
                    </a:prstGeom>
                  </pic:spPr>
                </pic:pic>
              </a:graphicData>
            </a:graphic>
          </wp:anchor>
        </w:drawing>
      </w:r>
    </w:p>
    <w:p>
      <w:pPr>
        <w:spacing w:line="360" w:lineRule="auto"/>
        <w:jc w:val="center"/>
        <w:rPr>
          <w:rFonts w:ascii="宋体" w:hAnsi="宋体"/>
          <w:sz w:val="18"/>
        </w:rPr>
      </w:pPr>
    </w:p>
    <w:p>
      <w:pPr>
        <w:spacing w:line="360" w:lineRule="auto"/>
        <w:jc w:val="center"/>
        <w:rPr>
          <w:rFonts w:ascii="宋体" w:hAnsi="宋体"/>
          <w:sz w:val="18"/>
        </w:rPr>
      </w:pPr>
    </w:p>
    <w:p>
      <w:pPr>
        <w:spacing w:line="360" w:lineRule="auto"/>
        <w:jc w:val="center"/>
        <w:rPr>
          <w:rFonts w:ascii="宋体" w:hAnsi="宋体"/>
          <w:sz w:val="36"/>
          <w:szCs w:val="36"/>
        </w:rPr>
      </w:pPr>
    </w:p>
    <w:p>
      <w:pPr>
        <w:spacing w:line="360" w:lineRule="auto"/>
        <w:jc w:val="center"/>
        <w:rPr>
          <w:rFonts w:ascii="黑体" w:hAnsi="黑体" w:eastAsia="黑体"/>
          <w:sz w:val="42"/>
        </w:rPr>
      </w:pPr>
    </w:p>
    <w:p>
      <w:pPr>
        <w:spacing w:line="360" w:lineRule="auto"/>
        <w:jc w:val="center"/>
        <w:rPr>
          <w:rFonts w:ascii="黑体" w:hAnsi="黑体" w:eastAsia="黑体" w:cs="宋体"/>
          <w:b/>
          <w:bCs/>
          <w:kern w:val="0"/>
          <w:sz w:val="40"/>
          <w:szCs w:val="40"/>
          <w:u w:val="single"/>
        </w:rPr>
      </w:pPr>
      <w:r>
        <w:rPr>
          <w:rFonts w:hint="eastAsia" w:ascii="黑体" w:hAnsi="黑体" w:eastAsia="黑体" w:cs="宋体"/>
          <w:b/>
          <w:bCs/>
          <w:kern w:val="0"/>
          <w:sz w:val="40"/>
          <w:szCs w:val="40"/>
          <w:u w:val="single"/>
        </w:rPr>
        <w:t>包头第二热电厂</w:t>
      </w:r>
    </w:p>
    <w:p>
      <w:pPr>
        <w:spacing w:line="360" w:lineRule="auto"/>
        <w:jc w:val="center"/>
        <w:rPr>
          <w:rFonts w:ascii="黑体" w:hAnsi="黑体" w:eastAsia="黑体"/>
          <w:b/>
          <w:color w:val="000000"/>
          <w:sz w:val="40"/>
          <w:szCs w:val="40"/>
        </w:rPr>
      </w:pPr>
      <w:r>
        <w:rPr>
          <w:rFonts w:hint="eastAsia" w:ascii="黑体" w:hAnsi="黑体" w:eastAsia="黑体"/>
          <w:b/>
          <w:color w:val="000000"/>
          <w:sz w:val="40"/>
          <w:szCs w:val="40"/>
          <w:u w:val="single"/>
        </w:rPr>
        <w:t>#</w:t>
      </w:r>
      <w:r>
        <w:rPr>
          <w:rFonts w:ascii="黑体" w:hAnsi="黑体" w:eastAsia="黑体"/>
          <w:b/>
          <w:color w:val="000000"/>
          <w:sz w:val="40"/>
          <w:szCs w:val="40"/>
          <w:u w:val="single"/>
        </w:rPr>
        <w:t>2</w:t>
      </w:r>
      <w:r>
        <w:rPr>
          <w:rFonts w:hint="eastAsia" w:ascii="黑体" w:hAnsi="黑体" w:eastAsia="黑体"/>
          <w:b/>
          <w:color w:val="000000"/>
          <w:sz w:val="40"/>
          <w:szCs w:val="40"/>
          <w:u w:val="single"/>
        </w:rPr>
        <w:t>机发变组保护装置改造控制电缆采购</w:t>
      </w:r>
      <w:r>
        <w:rPr>
          <w:rFonts w:hint="eastAsia" w:ascii="黑体" w:hAnsi="黑体" w:eastAsia="黑体"/>
          <w:b/>
          <w:color w:val="000000"/>
          <w:sz w:val="40"/>
          <w:szCs w:val="40"/>
        </w:rPr>
        <w:t>项目</w:t>
      </w:r>
    </w:p>
    <w:p>
      <w:pPr>
        <w:spacing w:line="360" w:lineRule="auto"/>
        <w:jc w:val="center"/>
        <w:rPr>
          <w:rFonts w:ascii="黑体" w:hAnsi="黑体" w:eastAsia="黑体"/>
          <w:color w:val="000000"/>
          <w:sz w:val="44"/>
          <w:szCs w:val="44"/>
        </w:rPr>
      </w:pPr>
    </w:p>
    <w:p>
      <w:pPr>
        <w:spacing w:line="360" w:lineRule="auto"/>
        <w:jc w:val="center"/>
        <w:rPr>
          <w:rFonts w:ascii="黑体" w:hAnsi="黑体" w:eastAsia="黑体"/>
          <w:color w:val="000000"/>
          <w:sz w:val="72"/>
          <w:szCs w:val="72"/>
        </w:rPr>
      </w:pPr>
      <w:r>
        <w:rPr>
          <w:rFonts w:hint="eastAsia" w:ascii="黑体" w:hAnsi="宋体" w:eastAsia="黑体"/>
          <w:kern w:val="0"/>
          <w:sz w:val="72"/>
          <w:szCs w:val="44"/>
        </w:rPr>
        <w:t>电商询价采购</w:t>
      </w:r>
      <w:r>
        <w:rPr>
          <w:rFonts w:hint="eastAsia" w:ascii="黑体" w:hAnsi="黑体" w:eastAsia="黑体"/>
          <w:color w:val="000000"/>
          <w:sz w:val="72"/>
          <w:szCs w:val="72"/>
        </w:rPr>
        <w:t>文件</w:t>
      </w:r>
    </w:p>
    <w:p>
      <w:pPr>
        <w:spacing w:line="360" w:lineRule="auto"/>
        <w:jc w:val="center"/>
        <w:rPr>
          <w:rFonts w:ascii="黑体" w:hAnsi="黑体" w:eastAsia="黑体"/>
          <w:color w:val="000000"/>
          <w:sz w:val="72"/>
          <w:szCs w:val="72"/>
        </w:rPr>
      </w:pPr>
    </w:p>
    <w:p>
      <w:pPr>
        <w:spacing w:line="360" w:lineRule="auto"/>
        <w:jc w:val="center"/>
        <w:rPr>
          <w:rFonts w:ascii="宋体" w:hAnsi="宋体"/>
          <w:color w:val="000000"/>
          <w:sz w:val="32"/>
        </w:rPr>
      </w:pPr>
    </w:p>
    <w:p>
      <w:pPr>
        <w:spacing w:line="360" w:lineRule="auto"/>
        <w:ind w:firstLine="1767" w:firstLineChars="550"/>
        <w:rPr>
          <w:rFonts w:ascii="宋体" w:hAnsi="宋体"/>
          <w:b/>
          <w:color w:val="000000"/>
          <w:sz w:val="32"/>
        </w:rPr>
      </w:pPr>
    </w:p>
    <w:p>
      <w:pPr>
        <w:spacing w:line="360" w:lineRule="auto"/>
        <w:ind w:firstLine="1767" w:firstLineChars="550"/>
        <w:rPr>
          <w:rFonts w:ascii="宋体" w:hAnsi="宋体"/>
          <w:b/>
          <w:color w:val="000000"/>
          <w:sz w:val="32"/>
        </w:rPr>
      </w:pPr>
      <w:r>
        <w:rPr>
          <w:rFonts w:hint="eastAsia" w:ascii="宋体" w:hAnsi="宋体"/>
          <w:b/>
          <w:color w:val="000000"/>
          <w:sz w:val="32"/>
        </w:rPr>
        <w:t>编制</w:t>
      </w:r>
      <w:r>
        <w:rPr>
          <w:rFonts w:ascii="宋体" w:hAnsi="宋体"/>
          <w:b/>
          <w:color w:val="000000"/>
          <w:sz w:val="32"/>
        </w:rPr>
        <w:t>：</w:t>
      </w:r>
    </w:p>
    <w:p>
      <w:pPr>
        <w:spacing w:line="360" w:lineRule="auto"/>
        <w:ind w:firstLine="1760" w:firstLineChars="550"/>
        <w:rPr>
          <w:rFonts w:ascii="宋体" w:hAnsi="宋体"/>
          <w:color w:val="000000"/>
          <w:sz w:val="32"/>
        </w:rPr>
      </w:pPr>
    </w:p>
    <w:p>
      <w:pPr>
        <w:spacing w:line="360" w:lineRule="auto"/>
        <w:ind w:firstLine="1767" w:firstLineChars="550"/>
        <w:rPr>
          <w:rFonts w:ascii="宋体" w:hAnsi="宋体"/>
          <w:b/>
          <w:color w:val="000000"/>
          <w:sz w:val="32"/>
        </w:rPr>
      </w:pPr>
      <w:r>
        <w:rPr>
          <w:rFonts w:hint="eastAsia" w:ascii="宋体" w:hAnsi="宋体"/>
          <w:b/>
          <w:color w:val="000000"/>
          <w:sz w:val="32"/>
        </w:rPr>
        <w:t>审核</w:t>
      </w:r>
      <w:r>
        <w:rPr>
          <w:rFonts w:ascii="宋体" w:hAnsi="宋体"/>
          <w:b/>
          <w:color w:val="000000"/>
          <w:sz w:val="32"/>
        </w:rPr>
        <w:t>：</w:t>
      </w:r>
    </w:p>
    <w:p>
      <w:pPr>
        <w:spacing w:line="360" w:lineRule="auto"/>
        <w:ind w:firstLine="1767" w:firstLineChars="550"/>
        <w:rPr>
          <w:rFonts w:ascii="宋体" w:hAnsi="宋体"/>
          <w:b/>
          <w:color w:val="000000"/>
          <w:sz w:val="32"/>
        </w:rPr>
      </w:pPr>
    </w:p>
    <w:p>
      <w:pPr>
        <w:spacing w:line="360" w:lineRule="auto"/>
        <w:ind w:firstLine="1767" w:firstLineChars="550"/>
        <w:rPr>
          <w:rFonts w:ascii="宋体" w:hAnsi="宋体"/>
          <w:b/>
          <w:color w:val="000000"/>
          <w:sz w:val="32"/>
        </w:rPr>
      </w:pPr>
      <w:r>
        <w:rPr>
          <w:rFonts w:hint="eastAsia" w:ascii="宋体" w:hAnsi="宋体"/>
          <w:b/>
          <w:color w:val="000000"/>
          <w:sz w:val="32"/>
        </w:rPr>
        <w:t>审批</w:t>
      </w:r>
      <w:r>
        <w:rPr>
          <w:rFonts w:ascii="宋体" w:hAnsi="宋体"/>
          <w:b/>
          <w:color w:val="000000"/>
          <w:sz w:val="32"/>
        </w:rPr>
        <w:t>：</w:t>
      </w:r>
    </w:p>
    <w:p>
      <w:pPr>
        <w:spacing w:line="360" w:lineRule="auto"/>
        <w:ind w:firstLine="1760" w:firstLineChars="550"/>
        <w:rPr>
          <w:rFonts w:ascii="宋体" w:hAnsi="宋体"/>
          <w:color w:val="000000"/>
          <w:sz w:val="32"/>
        </w:rPr>
      </w:pPr>
    </w:p>
    <w:p>
      <w:pPr>
        <w:spacing w:line="360" w:lineRule="auto"/>
        <w:ind w:firstLine="1760" w:firstLineChars="550"/>
        <w:rPr>
          <w:rFonts w:ascii="宋体" w:hAnsi="宋体"/>
          <w:color w:val="000000"/>
          <w:sz w:val="32"/>
        </w:rPr>
      </w:pPr>
    </w:p>
    <w:p>
      <w:pPr>
        <w:spacing w:line="360" w:lineRule="auto"/>
        <w:jc w:val="center"/>
        <w:rPr>
          <w:rFonts w:ascii="宋体" w:hAnsi="宋体"/>
          <w:b/>
          <w:sz w:val="32"/>
        </w:rPr>
      </w:pPr>
      <w:r>
        <w:rPr>
          <w:rFonts w:hint="eastAsia" w:ascii="宋体" w:hAnsi="宋体"/>
          <w:b/>
          <w:sz w:val="32"/>
        </w:rPr>
        <w:t>北方联合有限责任公司包头第二热电厂</w:t>
      </w:r>
    </w:p>
    <w:p>
      <w:pPr>
        <w:spacing w:line="360" w:lineRule="auto"/>
        <w:jc w:val="center"/>
        <w:rPr>
          <w:rFonts w:ascii="宋体" w:hAnsi="宋体"/>
          <w:b/>
          <w:color w:val="FF0000"/>
          <w:sz w:val="32"/>
        </w:rPr>
      </w:pPr>
      <w:r>
        <w:rPr>
          <w:rFonts w:hint="eastAsia" w:ascii="宋体" w:hAnsi="宋体"/>
          <w:b/>
          <w:sz w:val="32"/>
        </w:rPr>
        <w:t>2021年</w:t>
      </w:r>
      <w:r>
        <w:rPr>
          <w:rFonts w:ascii="宋体" w:hAnsi="宋体"/>
          <w:b/>
          <w:sz w:val="32"/>
        </w:rPr>
        <w:t>7</w:t>
      </w:r>
      <w:r>
        <w:rPr>
          <w:rFonts w:hint="eastAsia" w:ascii="宋体" w:hAnsi="宋体"/>
          <w:b/>
          <w:sz w:val="32"/>
        </w:rPr>
        <w:t>月1</w:t>
      </w:r>
      <w:r>
        <w:rPr>
          <w:rFonts w:ascii="宋体" w:hAnsi="宋体"/>
          <w:b/>
          <w:sz w:val="32"/>
        </w:rPr>
        <w:t>5</w:t>
      </w:r>
      <w:r>
        <w:rPr>
          <w:rFonts w:hint="eastAsia" w:ascii="宋体" w:hAnsi="宋体"/>
          <w:b/>
          <w:sz w:val="32"/>
        </w:rPr>
        <w:t>日</w:t>
      </w:r>
    </w:p>
    <w:p>
      <w:pPr>
        <w:spacing w:line="360" w:lineRule="auto"/>
        <w:jc w:val="center"/>
        <w:rPr>
          <w:rFonts w:asciiTheme="minorEastAsia" w:hAnsiTheme="minorEastAsia" w:eastAsiaTheme="minorEastAsia"/>
          <w:b/>
          <w:sz w:val="48"/>
          <w:szCs w:val="32"/>
        </w:rPr>
      </w:pPr>
    </w:p>
    <w:p>
      <w:pPr>
        <w:spacing w:line="360" w:lineRule="auto"/>
        <w:jc w:val="center"/>
        <w:rPr>
          <w:rFonts w:ascii="宋体" w:hAnsi="宋体"/>
          <w:color w:val="000000"/>
          <w:sz w:val="32"/>
        </w:rPr>
      </w:pPr>
      <w:r>
        <w:rPr>
          <w:rFonts w:ascii="宋体" w:hAnsi="宋体"/>
          <w:color w:val="000000"/>
          <w:sz w:val="32"/>
        </w:rPr>
        <w:drawing>
          <wp:inline distT="0" distB="0" distL="0" distR="0">
            <wp:extent cx="5274310" cy="74555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455535"/>
                    </a:xfrm>
                    <a:prstGeom prst="rect">
                      <a:avLst/>
                    </a:prstGeom>
                  </pic:spPr>
                </pic:pic>
              </a:graphicData>
            </a:graphic>
          </wp:inline>
        </w:drawing>
      </w:r>
    </w:p>
    <w:p>
      <w:pPr>
        <w:spacing w:line="360" w:lineRule="auto"/>
        <w:jc w:val="center"/>
        <w:rPr>
          <w:rFonts w:ascii="宋体" w:hAnsi="宋体"/>
          <w:color w:val="000000"/>
          <w:sz w:val="32"/>
        </w:rPr>
      </w:pPr>
    </w:p>
    <w:p>
      <w:pPr>
        <w:spacing w:line="360" w:lineRule="auto"/>
        <w:jc w:val="center"/>
        <w:rPr>
          <w:rFonts w:ascii="宋体" w:hAnsi="宋体"/>
          <w:color w:val="000000"/>
          <w:sz w:val="32"/>
        </w:rPr>
      </w:pPr>
    </w:p>
    <w:p>
      <w:pPr>
        <w:spacing w:line="360" w:lineRule="auto"/>
        <w:jc w:val="center"/>
        <w:rPr>
          <w:rFonts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供应商报价时凡涉及以下任一条款均视为无效报价并纳入供应商考评，具体条款如下：</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1.供应商单位负责人为同一人，存在控股、管理等法律禁止的关联关系；</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2.供应商处于人民法院“失信被执行人”名单或工商行政管理机关“严重违法失信企业”名单。</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3.供应商不上传附件（资格预审通知书），上传的文件未加盖本单位公章，上传的资质非原件扫描的。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4.供应商无法接受后付款方式。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5.供应商提供的资格、业绩、证明等材料存在造假行为的。</w:t>
      </w:r>
    </w:p>
    <w:p>
      <w:pPr>
        <w:pStyle w:val="13"/>
        <w:pageBreakBefore/>
        <w:jc w:val="center"/>
        <w:rPr>
          <w:b/>
          <w:sz w:val="44"/>
          <w:szCs w:val="44"/>
        </w:rPr>
      </w:pPr>
      <w:r>
        <w:rPr>
          <w:rFonts w:hint="eastAsia"/>
          <w:b/>
          <w:sz w:val="44"/>
          <w:szCs w:val="44"/>
        </w:rPr>
        <w:t>总目录</w:t>
      </w:r>
    </w:p>
    <w:p>
      <w:pPr>
        <w:pStyle w:val="13"/>
        <w:rPr>
          <w:sz w:val="32"/>
          <w:szCs w:val="32"/>
        </w:rPr>
      </w:pPr>
    </w:p>
    <w:p>
      <w:pPr>
        <w:pStyle w:val="13"/>
        <w:spacing w:line="360" w:lineRule="auto"/>
        <w:rPr>
          <w:rFonts w:asciiTheme="minorEastAsia" w:hAnsiTheme="minorEastAsia"/>
          <w:b/>
          <w:sz w:val="32"/>
          <w:szCs w:val="32"/>
        </w:rPr>
      </w:pPr>
      <w:r>
        <w:rPr>
          <w:rFonts w:hint="eastAsia" w:asciiTheme="minorEastAsia" w:hAnsiTheme="minorEastAsia"/>
          <w:b/>
          <w:sz w:val="32"/>
          <w:szCs w:val="32"/>
        </w:rPr>
        <w:t>第一章  供应商须知</w:t>
      </w:r>
    </w:p>
    <w:p>
      <w:pPr>
        <w:pStyle w:val="13"/>
        <w:spacing w:line="360" w:lineRule="auto"/>
        <w:rPr>
          <w:b/>
          <w:sz w:val="32"/>
          <w:szCs w:val="32"/>
        </w:rPr>
      </w:pPr>
      <w:r>
        <w:rPr>
          <w:rFonts w:hint="eastAsia"/>
          <w:b/>
          <w:sz w:val="32"/>
          <w:szCs w:val="32"/>
        </w:rPr>
        <w:t>第二章  采购项目概况</w:t>
      </w:r>
    </w:p>
    <w:p>
      <w:pPr>
        <w:pStyle w:val="13"/>
        <w:spacing w:line="360" w:lineRule="auto"/>
        <w:rPr>
          <w:b/>
          <w:sz w:val="32"/>
          <w:szCs w:val="32"/>
        </w:rPr>
      </w:pPr>
      <w:r>
        <w:rPr>
          <w:rFonts w:hint="eastAsia"/>
          <w:b/>
          <w:sz w:val="32"/>
          <w:szCs w:val="32"/>
        </w:rPr>
        <w:t>第三章  供应商资格要求</w:t>
      </w:r>
    </w:p>
    <w:p>
      <w:pPr>
        <w:pStyle w:val="13"/>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u w:val="single"/>
        </w:rPr>
      </w:pPr>
      <w:r>
        <w:rPr>
          <w:rFonts w:hint="eastAsia" w:ascii="黑体" w:hAnsi="黑体" w:eastAsia="黑体" w:cs="Arial"/>
          <w:sz w:val="32"/>
          <w:szCs w:val="32"/>
          <w:u w:val="single"/>
        </w:rPr>
        <w:t>北方联合电力有限责任公司包头第二热电厂</w:t>
      </w:r>
    </w:p>
    <w:p>
      <w:pPr>
        <w:spacing w:line="360" w:lineRule="auto"/>
        <w:jc w:val="center"/>
        <w:rPr>
          <w:rFonts w:ascii="黑体" w:hAnsi="黑体" w:eastAsia="黑体" w:cs="Arial"/>
          <w:sz w:val="32"/>
          <w:szCs w:val="32"/>
          <w:u w:val="single"/>
        </w:rPr>
      </w:pPr>
      <w:r>
        <w:rPr>
          <w:rFonts w:hint="eastAsia" w:ascii="黑体" w:hAnsi="黑体" w:eastAsia="黑体" w:cs="Arial"/>
          <w:sz w:val="32"/>
          <w:szCs w:val="32"/>
          <w:u w:val="single"/>
        </w:rPr>
        <w:t>#2机发变组保护装置改造控制电缆采购项目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11"/>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9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包头第二热电厂#2机发变组保护装置</w:t>
            </w:r>
            <w:bookmarkStart w:id="0" w:name="_Hlk77061047"/>
            <w:r>
              <w:rPr>
                <w:rFonts w:hint="eastAsia" w:ascii="宋体" w:hAnsi="宋体" w:cs="宋体"/>
                <w:kern w:val="0"/>
                <w:sz w:val="22"/>
              </w:rPr>
              <w:t>改造</w:t>
            </w:r>
            <w:bookmarkEnd w:id="0"/>
            <w:r>
              <w:rPr>
                <w:rFonts w:hint="eastAsia" w:ascii="宋体" w:hAnsi="宋体" w:cs="宋体"/>
                <w:kern w:val="0"/>
                <w:sz w:val="22"/>
              </w:rPr>
              <w:t>控制电缆采购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w:t>
            </w:r>
            <w:r>
              <w:rPr>
                <w:rFonts w:ascii="宋体" w:hAnsi="宋体" w:cs="宋体"/>
                <w:kern w:val="0"/>
                <w:sz w:val="22"/>
              </w:rPr>
              <w:t xml:space="preserve"> </w:t>
            </w:r>
            <w:r>
              <w:rPr>
                <w:rFonts w:hint="eastAsia" w:ascii="宋体" w:hAnsi="宋体" w:cs="宋体"/>
                <w:kern w:val="0"/>
                <w:sz w:val="22"/>
              </w:rPr>
              <w:t>包头第二热电厂</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地址：内蒙古包头市青山区</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人：王磊</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联系方式：0472-61614</w:t>
            </w:r>
            <w:r>
              <w:rPr>
                <w:rFonts w:ascii="宋体" w:hAnsi="宋体" w:cs="宋体"/>
                <w:kern w:val="0"/>
                <w:sz w:val="22"/>
              </w:rPr>
              <w:t>31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电商询价：高喆</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包头第二热电厂#2机发变组保护装置改造控制电缆采购</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自合同签订后10天</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kern w:val="0"/>
                <w:sz w:val="22"/>
              </w:rPr>
            </w:pPr>
            <w:r>
              <w:rPr>
                <w:rFonts w:hint="eastAsia" w:ascii="宋体" w:hAnsi="宋体" w:cs="宋体"/>
                <w:kern w:val="0"/>
                <w:sz w:val="22"/>
              </w:rPr>
              <w:t>(2) 采购方发起电商平台公开询价；</w:t>
            </w:r>
          </w:p>
          <w:p>
            <w:pPr>
              <w:widowControl/>
              <w:jc w:val="left"/>
              <w:rPr>
                <w:rFonts w:ascii="宋体" w:hAnsi="宋体" w:cs="宋体"/>
                <w:kern w:val="0"/>
                <w:sz w:val="22"/>
              </w:rPr>
            </w:pPr>
            <w:r>
              <w:rPr>
                <w:rFonts w:hint="eastAsia" w:ascii="宋体" w:hAnsi="宋体" w:cs="宋体"/>
                <w:kern w:val="0"/>
                <w:sz w:val="22"/>
              </w:rPr>
              <w:t>(3) 供应商严格按照询价文件要求编制并按时在线递交华能集团电缆《资格预审合格通知书》；</w:t>
            </w:r>
          </w:p>
          <w:p>
            <w:pPr>
              <w:widowControl/>
              <w:jc w:val="left"/>
              <w:rPr>
                <w:rFonts w:ascii="宋体" w:hAnsi="宋体" w:cs="宋体"/>
                <w:kern w:val="0"/>
                <w:sz w:val="22"/>
              </w:rPr>
            </w:pPr>
            <w:r>
              <w:rPr>
                <w:rFonts w:hint="eastAsia" w:ascii="宋体" w:hAnsi="宋体" w:cs="宋体"/>
                <w:kern w:val="0"/>
                <w:sz w:val="22"/>
              </w:rPr>
              <w:t>(4)</w:t>
            </w:r>
            <w:r>
              <w:rPr>
                <w:rFonts w:ascii="宋体" w:hAnsi="宋体" w:cs="宋体"/>
                <w:kern w:val="0"/>
                <w:sz w:val="22"/>
              </w:rPr>
              <w:t xml:space="preserve"> </w:t>
            </w:r>
            <w:r>
              <w:rPr>
                <w:rFonts w:hint="eastAsia" w:ascii="宋体" w:hAnsi="宋体" w:cs="宋体"/>
                <w:kern w:val="0"/>
                <w:sz w:val="22"/>
              </w:rPr>
              <w:t>采购方组织评审；</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w:t>
            </w:r>
            <w:r>
              <w:rPr>
                <w:rFonts w:ascii="宋体" w:hAnsi="宋体" w:cs="宋体"/>
                <w:kern w:val="0"/>
                <w:sz w:val="22"/>
              </w:rPr>
              <w:t>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 xml:space="preserve">(5) </w:t>
            </w:r>
            <w:r>
              <w:rPr>
                <w:rFonts w:hint="eastAsia" w:ascii="宋体" w:hAnsi="宋体" w:cs="宋体"/>
                <w:kern w:val="0"/>
                <w:szCs w:val="21"/>
              </w:rPr>
              <w:t>未上传</w:t>
            </w:r>
            <w:r>
              <w:rPr>
                <w:rFonts w:hint="eastAsia" w:ascii="宋体" w:hAnsi="宋体" w:cs="宋体"/>
                <w:kern w:val="0"/>
                <w:sz w:val="22"/>
              </w:rPr>
              <w:t>《资格预审合格通知书》</w:t>
            </w:r>
            <w:r>
              <w:rPr>
                <w:rFonts w:hint="eastAsia" w:ascii="宋体" w:hAnsi="宋体" w:cs="宋体"/>
                <w:kern w:val="0"/>
                <w:szCs w:val="21"/>
              </w:rPr>
              <w:t>的视为报价无效。</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中国华能集团公司电子商务平台规定日期内</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报价人通过中国华能集团公司电子商务平台在规定日期内进行报价并上传要求</w:t>
            </w:r>
            <w:r>
              <w:rPr>
                <w:rFonts w:ascii="宋体" w:hAnsi="宋体" w:cs="宋体"/>
                <w:kern w:val="0"/>
                <w:sz w:val="22"/>
              </w:rPr>
              <w:t>的</w:t>
            </w:r>
            <w:r>
              <w:rPr>
                <w:rFonts w:hint="eastAsia" w:ascii="宋体" w:hAnsi="宋体" w:cs="宋体"/>
                <w:kern w:val="0"/>
                <w:sz w:val="22"/>
              </w:rPr>
              <w:t>附件。</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Theme="minorEastAsia" w:hAnsiTheme="minorEastAsia"/>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交货期限</w:t>
            </w:r>
          </w:p>
        </w:tc>
        <w:tc>
          <w:tcPr>
            <w:tcW w:w="5594"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kern w:val="0"/>
                <w:sz w:val="22"/>
              </w:rPr>
              <w:t>10</w:t>
            </w:r>
            <w:r>
              <w:rPr>
                <w:rFonts w:ascii="宋体" w:hAnsi="宋体" w:cs="宋体"/>
                <w:kern w:val="0"/>
                <w:sz w:val="22"/>
              </w:rPr>
              <w:t>日</w:t>
            </w:r>
            <w:r>
              <w:rPr>
                <w:rFonts w:hint="eastAsia" w:ascii="宋体" w:hAnsi="宋体" w:cs="宋体"/>
                <w:kern w:val="0"/>
                <w:sz w:val="22"/>
              </w:rPr>
              <w:t>内</w:t>
            </w:r>
            <w:r>
              <w:rPr>
                <w:rFonts w:ascii="宋体" w:hAnsi="宋体" w:cs="宋体"/>
                <w:kern w:val="0"/>
                <w:sz w:val="22"/>
              </w:rPr>
              <w:t>到货</w:t>
            </w:r>
            <w:r>
              <w:rPr>
                <w:rFonts w:hint="eastAsia" w:ascii="宋体" w:hAnsi="宋体" w:cs="宋体"/>
                <w:kern w:val="0"/>
                <w:sz w:val="22"/>
              </w:rPr>
              <w:t>，</w:t>
            </w:r>
            <w:r>
              <w:rPr>
                <w:rFonts w:ascii="宋体" w:hAnsi="宋体" w:cs="宋体"/>
                <w:kern w:val="0"/>
                <w:sz w:val="22"/>
              </w:rPr>
              <w:t>如不能满足严禁</w:t>
            </w:r>
            <w:r>
              <w:rPr>
                <w:rFonts w:hint="eastAsia" w:ascii="宋体" w:hAnsi="宋体" w:cs="宋体"/>
                <w:kern w:val="0"/>
                <w:sz w:val="22"/>
              </w:rPr>
              <w:t>参与</w:t>
            </w:r>
            <w:r>
              <w:rPr>
                <w:rFonts w:ascii="宋体" w:hAnsi="宋体" w:cs="宋体"/>
                <w:kern w:val="0"/>
                <w:sz w:val="22"/>
              </w:rPr>
              <w:t>报价，否则</w:t>
            </w:r>
            <w:r>
              <w:rPr>
                <w:rFonts w:hint="eastAsia" w:ascii="宋体" w:hAnsi="宋体" w:cs="宋体"/>
                <w:kern w:val="0"/>
                <w:sz w:val="22"/>
              </w:rPr>
              <w:t>终止</w:t>
            </w:r>
            <w:r>
              <w:rPr>
                <w:rFonts w:ascii="宋体" w:hAnsi="宋体" w:cs="宋体"/>
                <w:kern w:val="0"/>
                <w:sz w:val="22"/>
              </w:rPr>
              <w:t>合同并</w:t>
            </w:r>
            <w:r>
              <w:rPr>
                <w:rFonts w:hint="eastAsia" w:ascii="宋体" w:hAnsi="宋体" w:cs="宋体"/>
                <w:kern w:val="0"/>
                <w:sz w:val="22"/>
              </w:rPr>
              <w:t>纳入</w:t>
            </w:r>
            <w:r>
              <w:rPr>
                <w:rFonts w:ascii="宋体" w:hAnsi="宋体" w:cs="宋体"/>
                <w:kern w:val="0"/>
                <w:sz w:val="22"/>
              </w:rPr>
              <w:t>供应商考评</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10</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合同后</w:t>
            </w:r>
            <w:r>
              <w:rPr>
                <w:rFonts w:ascii="宋体" w:hAnsi="宋体" w:cs="宋体"/>
                <w:kern w:val="0"/>
                <w:sz w:val="22"/>
              </w:rPr>
              <w:t>付款；</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13"/>
        <w:spacing w:line="360" w:lineRule="auto"/>
        <w:ind w:firstLine="480" w:firstLineChars="200"/>
        <w:jc w:val="left"/>
        <w:rPr>
          <w:rFonts w:asciiTheme="minorEastAsia" w:hAnsiTheme="minorEastAsia"/>
          <w:sz w:val="24"/>
        </w:rPr>
      </w:pPr>
    </w:p>
    <w:p>
      <w:pPr>
        <w:pStyle w:val="13"/>
        <w:spacing w:line="360" w:lineRule="auto"/>
        <w:ind w:firstLine="480" w:firstLineChars="200"/>
        <w:jc w:val="left"/>
        <w:rPr>
          <w:rFonts w:asciiTheme="minorEastAsia" w:hAnsiTheme="minorEastAsia"/>
          <w:sz w:val="24"/>
        </w:rPr>
      </w:pPr>
      <w:r>
        <w:rPr>
          <w:rFonts w:hint="eastAsia" w:asciiTheme="minorEastAsia" w:hAnsiTheme="minorEastAsia"/>
          <w:sz w:val="24"/>
        </w:rPr>
        <w:t>包头第二热电厂#2机发变组保护装置改造中使用的控制电缆采购。</w:t>
      </w:r>
    </w:p>
    <w:p>
      <w:pPr>
        <w:pStyle w:val="13"/>
        <w:spacing w:line="360" w:lineRule="auto"/>
        <w:jc w:val="center"/>
        <w:rPr>
          <w:rFonts w:ascii="黑体" w:hAnsi="黑体" w:eastAsia="黑体"/>
          <w:sz w:val="40"/>
          <w:szCs w:val="32"/>
        </w:rPr>
      </w:pPr>
    </w:p>
    <w:p>
      <w:pPr>
        <w:pStyle w:val="13"/>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3"/>
        <w:spacing w:line="360" w:lineRule="auto"/>
        <w:rPr>
          <w:rFonts w:ascii="黑体" w:hAnsi="黑体" w:eastAsia="黑体"/>
          <w:sz w:val="24"/>
        </w:rPr>
      </w:pPr>
    </w:p>
    <w:p>
      <w:pPr>
        <w:pStyle w:val="13"/>
        <w:spacing w:line="360" w:lineRule="auto"/>
        <w:rPr>
          <w:rFonts w:ascii="黑体" w:hAnsi="黑体" w:eastAsia="黑体"/>
          <w:b/>
          <w:sz w:val="24"/>
        </w:rPr>
      </w:pPr>
      <w:r>
        <w:rPr>
          <w:rFonts w:hint="eastAsia" w:ascii="黑体" w:hAnsi="黑体" w:eastAsia="黑体"/>
          <w:b/>
          <w:sz w:val="24"/>
        </w:rPr>
        <w:t>一、通用条款</w:t>
      </w:r>
    </w:p>
    <w:p>
      <w:pPr>
        <w:pStyle w:val="13"/>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3"/>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3"/>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3"/>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3"/>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13"/>
        <w:spacing w:line="360" w:lineRule="auto"/>
        <w:rPr>
          <w:rFonts w:ascii="黑体" w:hAnsi="黑体" w:eastAsia="黑体"/>
          <w:b/>
          <w:sz w:val="24"/>
        </w:rPr>
      </w:pPr>
      <w:r>
        <w:rPr>
          <w:rFonts w:hint="eastAsia" w:ascii="黑体" w:hAnsi="黑体" w:eastAsia="黑体"/>
          <w:b/>
          <w:sz w:val="24"/>
        </w:rPr>
        <w:t>二、专用条款</w:t>
      </w:r>
    </w:p>
    <w:p>
      <w:pPr>
        <w:pStyle w:val="13"/>
        <w:spacing w:line="360" w:lineRule="auto"/>
        <w:rPr>
          <w:rFonts w:asciiTheme="minorEastAsia" w:hAnsiTheme="minorEastAsia"/>
          <w:sz w:val="24"/>
        </w:rPr>
      </w:pPr>
      <w:r>
        <w:rPr>
          <w:rFonts w:hint="eastAsia" w:asciiTheme="minorEastAsia" w:hAnsiTheme="minorEastAsia"/>
          <w:sz w:val="24"/>
        </w:rPr>
        <w:t>1、仅限通过华能集团2019</w:t>
      </w:r>
      <w:r>
        <w:rPr>
          <w:rFonts w:asciiTheme="minorEastAsia" w:hAnsiTheme="minorEastAsia"/>
          <w:sz w:val="24"/>
        </w:rPr>
        <w:t>-2021</w:t>
      </w:r>
      <w:r>
        <w:rPr>
          <w:rFonts w:hint="eastAsia" w:asciiTheme="minorEastAsia" w:hAnsiTheme="minorEastAsia"/>
          <w:sz w:val="24"/>
        </w:rPr>
        <w:t>年度资格预审的供应商参与报价，并上传</w:t>
      </w:r>
      <w:r>
        <w:rPr>
          <w:rFonts w:hint="eastAsia" w:asciiTheme="minorEastAsia" w:hAnsiTheme="minorEastAsia"/>
          <w:b/>
          <w:sz w:val="24"/>
        </w:rPr>
        <w:t>华能集团《资格预审合格通知书》，</w:t>
      </w:r>
      <w:r>
        <w:rPr>
          <w:rFonts w:hint="eastAsia" w:asciiTheme="minorEastAsia" w:hAnsiTheme="minorEastAsia"/>
          <w:sz w:val="24"/>
        </w:rPr>
        <w:t>无资格随意报价将纳入考核。</w:t>
      </w:r>
    </w:p>
    <w:p>
      <w:pPr>
        <w:pStyle w:val="13"/>
        <w:spacing w:line="360" w:lineRule="auto"/>
        <w:rPr>
          <w:rFonts w:asciiTheme="minorEastAsia" w:hAnsiTheme="minorEastAsia"/>
          <w:sz w:val="24"/>
        </w:rPr>
        <w:sectPr>
          <w:pgSz w:w="11906" w:h="16838"/>
          <w:pgMar w:top="1440" w:right="1800" w:bottom="1440" w:left="1800" w:header="851" w:footer="992" w:gutter="0"/>
          <w:cols w:space="425" w:num="1"/>
          <w:docGrid w:type="lines" w:linePitch="312" w:charSpace="0"/>
        </w:sectPr>
      </w:pPr>
    </w:p>
    <w:p>
      <w:pPr>
        <w:pStyle w:val="13"/>
        <w:pageBreakBefore/>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13"/>
        <w:spacing w:line="360" w:lineRule="auto"/>
        <w:rPr>
          <w:rFonts w:asciiTheme="minorEastAsia" w:hAnsiTheme="minorEastAsia"/>
          <w:sz w:val="24"/>
        </w:rPr>
      </w:pPr>
      <w:r>
        <w:rPr>
          <w:rFonts w:hint="eastAsia" w:asciiTheme="minorEastAsia" w:hAnsiTheme="minorEastAsia"/>
          <w:sz w:val="24"/>
        </w:rPr>
        <w:t>一、设备需求一览表</w:t>
      </w:r>
    </w:p>
    <w:tbl>
      <w:tblPr>
        <w:tblStyle w:val="12"/>
        <w:tblW w:w="15081"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66"/>
        <w:gridCol w:w="1428"/>
        <w:gridCol w:w="2247"/>
        <w:gridCol w:w="840"/>
        <w:gridCol w:w="1020"/>
        <w:gridCol w:w="1215"/>
        <w:gridCol w:w="1215"/>
        <w:gridCol w:w="2115"/>
        <w:gridCol w:w="175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55"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序号</w:t>
            </w:r>
          </w:p>
        </w:tc>
        <w:tc>
          <w:tcPr>
            <w:tcW w:w="1566"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物料编码</w:t>
            </w:r>
          </w:p>
        </w:tc>
        <w:tc>
          <w:tcPr>
            <w:tcW w:w="1428"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物料描述</w:t>
            </w:r>
          </w:p>
        </w:tc>
        <w:tc>
          <w:tcPr>
            <w:tcW w:w="2247"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技术参数</w:t>
            </w:r>
          </w:p>
        </w:tc>
        <w:tc>
          <w:tcPr>
            <w:tcW w:w="840"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数量</w:t>
            </w:r>
          </w:p>
        </w:tc>
        <w:tc>
          <w:tcPr>
            <w:tcW w:w="1020"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单位</w:t>
            </w:r>
          </w:p>
        </w:tc>
        <w:tc>
          <w:tcPr>
            <w:tcW w:w="2430" w:type="dxa"/>
            <w:gridSpan w:val="2"/>
            <w:vAlign w:val="center"/>
          </w:tcPr>
          <w:p>
            <w:pPr>
              <w:pStyle w:val="13"/>
              <w:spacing w:line="360" w:lineRule="auto"/>
              <w:jc w:val="center"/>
              <w:rPr>
                <w:rFonts w:asciiTheme="minorEastAsia" w:hAnsiTheme="minorEastAsia"/>
                <w:sz w:val="24"/>
              </w:rPr>
            </w:pPr>
            <w:r>
              <w:rPr>
                <w:rFonts w:hint="eastAsia" w:asciiTheme="minorEastAsia" w:hAnsiTheme="minorEastAsia"/>
                <w:sz w:val="24"/>
              </w:rPr>
              <w:t>报价</w:t>
            </w:r>
            <w:r>
              <w:rPr>
                <w:rFonts w:asciiTheme="minorEastAsia" w:hAnsiTheme="minorEastAsia"/>
                <w:sz w:val="24"/>
              </w:rPr>
              <w:t>方</w:t>
            </w:r>
          </w:p>
        </w:tc>
        <w:tc>
          <w:tcPr>
            <w:tcW w:w="2115"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交货时间</w:t>
            </w:r>
          </w:p>
        </w:tc>
        <w:tc>
          <w:tcPr>
            <w:tcW w:w="1755" w:type="dxa"/>
            <w:vMerge w:val="restart"/>
            <w:vAlign w:val="center"/>
          </w:tcPr>
          <w:p>
            <w:pPr>
              <w:pStyle w:val="13"/>
              <w:spacing w:line="360" w:lineRule="auto"/>
              <w:jc w:val="center"/>
              <w:rPr>
                <w:rFonts w:asciiTheme="minorEastAsia" w:hAnsiTheme="minorEastAsia"/>
                <w:sz w:val="24"/>
              </w:rPr>
            </w:pPr>
            <w:r>
              <w:rPr>
                <w:rFonts w:hint="eastAsia" w:asciiTheme="minorEastAsia" w:hAnsiTheme="minorEastAsia"/>
                <w:sz w:val="24"/>
              </w:rPr>
              <w:t>交货地点</w:t>
            </w:r>
          </w:p>
        </w:tc>
        <w:tc>
          <w:tcPr>
            <w:tcW w:w="1125" w:type="dxa"/>
            <w:vMerge w:val="restart"/>
            <w:vAlign w:val="center"/>
          </w:tcPr>
          <w:p>
            <w:pPr>
              <w:pStyle w:val="13"/>
              <w:spacing w:line="360" w:lineRule="auto"/>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555" w:type="dxa"/>
            <w:vMerge w:val="continue"/>
            <w:vAlign w:val="center"/>
          </w:tcPr>
          <w:p>
            <w:pPr>
              <w:pStyle w:val="13"/>
              <w:spacing w:line="360" w:lineRule="auto"/>
              <w:rPr>
                <w:rFonts w:asciiTheme="minorEastAsia" w:hAnsiTheme="minorEastAsia"/>
                <w:sz w:val="24"/>
              </w:rPr>
            </w:pPr>
          </w:p>
        </w:tc>
        <w:tc>
          <w:tcPr>
            <w:tcW w:w="1566" w:type="dxa"/>
            <w:vMerge w:val="continue"/>
            <w:vAlign w:val="center"/>
          </w:tcPr>
          <w:p>
            <w:pPr>
              <w:pStyle w:val="13"/>
              <w:spacing w:line="360" w:lineRule="auto"/>
              <w:jc w:val="center"/>
              <w:rPr>
                <w:rFonts w:asciiTheme="minorEastAsia" w:hAnsiTheme="minorEastAsia"/>
                <w:sz w:val="24"/>
              </w:rPr>
            </w:pPr>
          </w:p>
        </w:tc>
        <w:tc>
          <w:tcPr>
            <w:tcW w:w="1428" w:type="dxa"/>
            <w:vMerge w:val="continue"/>
            <w:vAlign w:val="center"/>
          </w:tcPr>
          <w:p>
            <w:pPr>
              <w:pStyle w:val="13"/>
              <w:spacing w:line="360" w:lineRule="auto"/>
              <w:jc w:val="center"/>
              <w:rPr>
                <w:rFonts w:asciiTheme="minorEastAsia" w:hAnsiTheme="minorEastAsia"/>
                <w:sz w:val="24"/>
              </w:rPr>
            </w:pPr>
          </w:p>
        </w:tc>
        <w:tc>
          <w:tcPr>
            <w:tcW w:w="2247" w:type="dxa"/>
            <w:vMerge w:val="continue"/>
            <w:vAlign w:val="center"/>
          </w:tcPr>
          <w:p>
            <w:pPr>
              <w:pStyle w:val="13"/>
              <w:spacing w:line="360" w:lineRule="auto"/>
              <w:jc w:val="center"/>
              <w:rPr>
                <w:rFonts w:asciiTheme="minorEastAsia" w:hAnsiTheme="minorEastAsia"/>
                <w:sz w:val="24"/>
              </w:rPr>
            </w:pPr>
          </w:p>
        </w:tc>
        <w:tc>
          <w:tcPr>
            <w:tcW w:w="840" w:type="dxa"/>
            <w:vMerge w:val="continue"/>
            <w:vAlign w:val="center"/>
          </w:tcPr>
          <w:p>
            <w:pPr>
              <w:pStyle w:val="13"/>
              <w:spacing w:line="360" w:lineRule="auto"/>
              <w:rPr>
                <w:rFonts w:asciiTheme="minorEastAsia" w:hAnsiTheme="minorEastAsia"/>
                <w:sz w:val="24"/>
              </w:rPr>
            </w:pPr>
          </w:p>
        </w:tc>
        <w:tc>
          <w:tcPr>
            <w:tcW w:w="1020" w:type="dxa"/>
            <w:vMerge w:val="continue"/>
            <w:vAlign w:val="center"/>
          </w:tcPr>
          <w:p>
            <w:pPr>
              <w:pStyle w:val="13"/>
              <w:spacing w:line="360" w:lineRule="auto"/>
              <w:jc w:val="center"/>
              <w:rPr>
                <w:rFonts w:asciiTheme="minorEastAsia" w:hAnsiTheme="minorEastAsia"/>
                <w:sz w:val="24"/>
              </w:rPr>
            </w:pPr>
          </w:p>
        </w:tc>
        <w:tc>
          <w:tcPr>
            <w:tcW w:w="1215" w:type="dxa"/>
            <w:vAlign w:val="center"/>
          </w:tcPr>
          <w:p>
            <w:pPr>
              <w:pStyle w:val="13"/>
              <w:spacing w:line="360" w:lineRule="auto"/>
              <w:jc w:val="center"/>
              <w:rPr>
                <w:rFonts w:asciiTheme="minorEastAsia" w:hAnsiTheme="minorEastAsia"/>
                <w:b/>
                <w:sz w:val="24"/>
              </w:rPr>
            </w:pPr>
            <w:r>
              <w:rPr>
                <w:rFonts w:hint="eastAsia" w:asciiTheme="minorEastAsia" w:hAnsiTheme="minorEastAsia"/>
                <w:b/>
                <w:sz w:val="24"/>
              </w:rPr>
              <w:t>含税报</w:t>
            </w:r>
            <w:r>
              <w:rPr>
                <w:rFonts w:asciiTheme="minorEastAsia" w:hAnsiTheme="minorEastAsia"/>
                <w:b/>
                <w:sz w:val="24"/>
              </w:rPr>
              <w:t>单价</w:t>
            </w:r>
          </w:p>
        </w:tc>
        <w:tc>
          <w:tcPr>
            <w:tcW w:w="1215" w:type="dxa"/>
            <w:vAlign w:val="center"/>
          </w:tcPr>
          <w:p>
            <w:pPr>
              <w:pStyle w:val="13"/>
              <w:spacing w:line="360" w:lineRule="auto"/>
              <w:jc w:val="center"/>
              <w:rPr>
                <w:rFonts w:asciiTheme="minorEastAsia" w:hAnsiTheme="minorEastAsia"/>
                <w:b/>
                <w:sz w:val="24"/>
              </w:rPr>
            </w:pPr>
            <w:r>
              <w:rPr>
                <w:rFonts w:hint="eastAsia" w:asciiTheme="minorEastAsia" w:hAnsiTheme="minorEastAsia"/>
                <w:b/>
                <w:sz w:val="24"/>
              </w:rPr>
              <w:t>含税报总</w:t>
            </w:r>
            <w:r>
              <w:rPr>
                <w:rFonts w:asciiTheme="minorEastAsia" w:hAnsiTheme="minorEastAsia"/>
                <w:b/>
                <w:sz w:val="24"/>
              </w:rPr>
              <w:t>价</w:t>
            </w:r>
          </w:p>
        </w:tc>
        <w:tc>
          <w:tcPr>
            <w:tcW w:w="2115" w:type="dxa"/>
            <w:vMerge w:val="continue"/>
            <w:vAlign w:val="center"/>
          </w:tcPr>
          <w:p>
            <w:pPr>
              <w:pStyle w:val="13"/>
              <w:spacing w:line="360" w:lineRule="auto"/>
              <w:jc w:val="center"/>
              <w:rPr>
                <w:rFonts w:asciiTheme="minorEastAsia" w:hAnsiTheme="minorEastAsia"/>
                <w:sz w:val="24"/>
              </w:rPr>
            </w:pPr>
          </w:p>
        </w:tc>
        <w:tc>
          <w:tcPr>
            <w:tcW w:w="1755" w:type="dxa"/>
            <w:vMerge w:val="continue"/>
            <w:vAlign w:val="center"/>
          </w:tcPr>
          <w:p>
            <w:pPr>
              <w:pStyle w:val="13"/>
              <w:spacing w:line="360" w:lineRule="auto"/>
              <w:jc w:val="center"/>
              <w:rPr>
                <w:rFonts w:asciiTheme="minorEastAsia" w:hAnsiTheme="minorEastAsia"/>
                <w:sz w:val="24"/>
              </w:rPr>
            </w:pPr>
          </w:p>
        </w:tc>
        <w:tc>
          <w:tcPr>
            <w:tcW w:w="1125" w:type="dxa"/>
            <w:vMerge w:val="continue"/>
            <w:vAlign w:val="center"/>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5" w:type="dxa"/>
          </w:tcPr>
          <w:p>
            <w:pPr>
              <w:pStyle w:val="13"/>
              <w:spacing w:line="360" w:lineRule="auto"/>
              <w:rPr>
                <w:rFonts w:asciiTheme="minorEastAsia" w:hAnsiTheme="minorEastAsia"/>
                <w:sz w:val="24"/>
              </w:rPr>
            </w:pPr>
            <w:r>
              <w:rPr>
                <w:rFonts w:hint="eastAsia" w:asciiTheme="minorEastAsia" w:hAnsiTheme="minorEastAsia"/>
                <w:sz w:val="24"/>
              </w:rPr>
              <w:t>1</w:t>
            </w:r>
          </w:p>
        </w:tc>
        <w:tc>
          <w:tcPr>
            <w:tcW w:w="1566" w:type="dxa"/>
          </w:tcPr>
          <w:p>
            <w:pPr>
              <w:pStyle w:val="13"/>
              <w:spacing w:line="360" w:lineRule="auto"/>
              <w:rPr>
                <w:rFonts w:asciiTheme="minorEastAsia" w:hAnsiTheme="minorEastAsia"/>
                <w:sz w:val="24"/>
              </w:rPr>
            </w:pPr>
            <w:r>
              <w:rPr>
                <w:sz w:val="24"/>
              </w:rPr>
              <w:t>2020300627</w:t>
            </w:r>
          </w:p>
        </w:tc>
        <w:tc>
          <w:tcPr>
            <w:tcW w:w="1428" w:type="dxa"/>
          </w:tcPr>
          <w:p>
            <w:pPr>
              <w:widowControl/>
              <w:rPr>
                <w:rFonts w:asciiTheme="minorEastAsia" w:hAnsiTheme="minorEastAsia"/>
                <w:sz w:val="20"/>
                <w:szCs w:val="20"/>
              </w:rPr>
            </w:pPr>
            <w:r>
              <w:rPr>
                <w:rFonts w:hint="eastAsia" w:ascii="宋体" w:hAnsi="宋体" w:cs="宋体"/>
                <w:kern w:val="0"/>
                <w:sz w:val="20"/>
                <w:szCs w:val="20"/>
              </w:rPr>
              <w:t>控制</w:t>
            </w:r>
            <w:r>
              <w:fldChar w:fldCharType="begin"/>
            </w:r>
            <w:r>
              <w:instrText xml:space="preserve"> HYPERLINK "http://www.gyaaa.com.cn" \t "_blank" \o "电缆" </w:instrText>
            </w:r>
            <w:r>
              <w:fldChar w:fldCharType="separate"/>
            </w:r>
            <w:r>
              <w:rPr>
                <w:rFonts w:hint="eastAsia" w:ascii="宋体" w:hAnsi="宋体" w:cs="宋体"/>
                <w:kern w:val="0"/>
                <w:sz w:val="20"/>
                <w:szCs w:val="20"/>
              </w:rPr>
              <w:t>电缆</w:t>
            </w:r>
            <w:r>
              <w:rPr>
                <w:rFonts w:hint="eastAsia" w:ascii="宋体" w:hAnsi="宋体" w:cs="宋体"/>
                <w:kern w:val="0"/>
                <w:sz w:val="20"/>
                <w:szCs w:val="20"/>
              </w:rPr>
              <w:fldChar w:fldCharType="end"/>
            </w:r>
          </w:p>
        </w:tc>
        <w:tc>
          <w:tcPr>
            <w:tcW w:w="2247" w:type="dxa"/>
          </w:tcPr>
          <w:p>
            <w:pPr>
              <w:pStyle w:val="13"/>
              <w:spacing w:line="360" w:lineRule="auto"/>
              <w:rPr>
                <w:sz w:val="24"/>
              </w:rPr>
            </w:pPr>
            <w:r>
              <w:rPr>
                <w:kern w:val="0"/>
                <w:sz w:val="20"/>
              </w:rPr>
              <w:t>ZR-KVVP22 4*4</w:t>
            </w:r>
          </w:p>
        </w:tc>
        <w:tc>
          <w:tcPr>
            <w:tcW w:w="840" w:type="dxa"/>
          </w:tcPr>
          <w:p>
            <w:pPr>
              <w:pStyle w:val="13"/>
              <w:spacing w:line="360" w:lineRule="auto"/>
              <w:rPr>
                <w:rFonts w:asciiTheme="minorEastAsia" w:hAnsiTheme="minorEastAsia"/>
                <w:sz w:val="24"/>
              </w:rPr>
            </w:pPr>
            <w:r>
              <w:rPr>
                <w:rFonts w:asciiTheme="minorEastAsia" w:hAnsiTheme="minorEastAsia"/>
                <w:sz w:val="24"/>
              </w:rPr>
              <w:t>3500</w:t>
            </w:r>
          </w:p>
        </w:tc>
        <w:tc>
          <w:tcPr>
            <w:tcW w:w="1020" w:type="dxa"/>
          </w:tcPr>
          <w:p>
            <w:pPr>
              <w:pStyle w:val="13"/>
              <w:spacing w:line="360" w:lineRule="auto"/>
              <w:rPr>
                <w:rFonts w:asciiTheme="minorEastAsia" w:hAnsiTheme="minorEastAsia"/>
                <w:sz w:val="24"/>
              </w:rPr>
            </w:pPr>
            <w:r>
              <w:rPr>
                <w:rFonts w:hint="eastAsia" w:asciiTheme="minorEastAsia" w:hAnsiTheme="minorEastAsia"/>
                <w:sz w:val="24"/>
              </w:rPr>
              <w:t>米</w:t>
            </w:r>
          </w:p>
        </w:tc>
        <w:tc>
          <w:tcPr>
            <w:tcW w:w="1215" w:type="dxa"/>
          </w:tcPr>
          <w:p>
            <w:pPr>
              <w:pStyle w:val="13"/>
              <w:spacing w:line="360" w:lineRule="auto"/>
              <w:rPr>
                <w:rFonts w:asciiTheme="minorEastAsia" w:hAnsiTheme="minorEastAsia"/>
                <w:sz w:val="24"/>
              </w:rPr>
            </w:pPr>
          </w:p>
        </w:tc>
        <w:tc>
          <w:tcPr>
            <w:tcW w:w="1215" w:type="dxa"/>
          </w:tcPr>
          <w:p>
            <w:pPr>
              <w:pStyle w:val="13"/>
              <w:spacing w:line="360" w:lineRule="auto"/>
              <w:rPr>
                <w:rFonts w:asciiTheme="minorEastAsia" w:hAnsiTheme="minorEastAsia"/>
                <w:sz w:val="24"/>
              </w:rPr>
            </w:pPr>
          </w:p>
        </w:tc>
        <w:tc>
          <w:tcPr>
            <w:tcW w:w="2115" w:type="dxa"/>
            <w:vMerge w:val="restart"/>
            <w:vAlign w:val="center"/>
          </w:tcPr>
          <w:p>
            <w:pPr>
              <w:pStyle w:val="13"/>
              <w:spacing w:line="360" w:lineRule="auto"/>
              <w:jc w:val="center"/>
              <w:rPr>
                <w:rFonts w:ascii="宋体" w:hAnsi="宋体"/>
                <w:sz w:val="20"/>
                <w:szCs w:val="20"/>
              </w:rPr>
            </w:pPr>
            <w:r>
              <w:rPr>
                <w:rFonts w:hint="eastAsia" w:ascii="宋体" w:hAnsi="宋体"/>
                <w:sz w:val="28"/>
                <w:szCs w:val="28"/>
              </w:rPr>
              <w:t>合同签订后10天内</w:t>
            </w:r>
          </w:p>
        </w:tc>
        <w:tc>
          <w:tcPr>
            <w:tcW w:w="1755" w:type="dxa"/>
            <w:vMerge w:val="restart"/>
            <w:vAlign w:val="center"/>
          </w:tcPr>
          <w:p>
            <w:pPr>
              <w:pStyle w:val="13"/>
              <w:spacing w:line="360" w:lineRule="auto"/>
              <w:jc w:val="center"/>
              <w:rPr>
                <w:rFonts w:asciiTheme="minorEastAsia" w:hAnsiTheme="minorEastAsia" w:eastAsiaTheme="minorEastAsia" w:cstheme="minorBidi"/>
                <w:sz w:val="20"/>
                <w:szCs w:val="20"/>
              </w:rPr>
            </w:pPr>
            <w:r>
              <w:rPr>
                <w:rFonts w:hint="eastAsia" w:ascii="宋体" w:hAnsi="宋体"/>
                <w:sz w:val="28"/>
                <w:szCs w:val="28"/>
              </w:rPr>
              <w:t>包头市青山区包头第二热电厂内</w:t>
            </w:r>
          </w:p>
        </w:tc>
        <w:tc>
          <w:tcPr>
            <w:tcW w:w="1125" w:type="dxa"/>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555" w:type="dxa"/>
          </w:tcPr>
          <w:p>
            <w:pPr>
              <w:pStyle w:val="13"/>
              <w:spacing w:line="360" w:lineRule="auto"/>
              <w:rPr>
                <w:rFonts w:asciiTheme="minorEastAsia" w:hAnsiTheme="minorEastAsia"/>
                <w:sz w:val="24"/>
              </w:rPr>
            </w:pPr>
            <w:r>
              <w:rPr>
                <w:rFonts w:hint="eastAsia" w:asciiTheme="minorEastAsia" w:hAnsiTheme="minorEastAsia"/>
                <w:sz w:val="24"/>
              </w:rPr>
              <w:t>2</w:t>
            </w:r>
          </w:p>
        </w:tc>
        <w:tc>
          <w:tcPr>
            <w:tcW w:w="1566" w:type="dxa"/>
          </w:tcPr>
          <w:p>
            <w:pPr>
              <w:widowControl/>
              <w:rPr>
                <w:rFonts w:asciiTheme="minorEastAsia" w:hAnsiTheme="minorEastAsia"/>
                <w:sz w:val="24"/>
              </w:rPr>
            </w:pPr>
            <w:r>
              <w:rPr>
                <w:rFonts w:ascii="Times New Roman" w:hAnsi="Times New Roman" w:cs="Times New Roman"/>
                <w:kern w:val="0"/>
                <w:sz w:val="24"/>
                <w:szCs w:val="24"/>
              </w:rPr>
              <w:t>2020302550</w:t>
            </w:r>
          </w:p>
        </w:tc>
        <w:tc>
          <w:tcPr>
            <w:tcW w:w="1428" w:type="dxa"/>
          </w:tcPr>
          <w:p>
            <w:pPr>
              <w:widowControl/>
              <w:rPr>
                <w:rFonts w:ascii="宋体" w:hAnsi="宋体" w:cs="宋体"/>
                <w:kern w:val="0"/>
                <w:sz w:val="20"/>
                <w:szCs w:val="20"/>
              </w:rPr>
            </w:pPr>
            <w:r>
              <w:rPr>
                <w:rFonts w:hint="eastAsia" w:ascii="宋体" w:hAnsi="宋体" w:cs="宋体"/>
                <w:kern w:val="0"/>
                <w:sz w:val="20"/>
                <w:szCs w:val="20"/>
              </w:rPr>
              <w:t>控制电缆</w:t>
            </w:r>
          </w:p>
        </w:tc>
        <w:tc>
          <w:tcPr>
            <w:tcW w:w="2247" w:type="dxa"/>
          </w:tcPr>
          <w:p>
            <w:pPr>
              <w:pStyle w:val="13"/>
              <w:spacing w:line="360" w:lineRule="auto"/>
              <w:rPr>
                <w:kern w:val="0"/>
                <w:sz w:val="20"/>
              </w:rPr>
            </w:pPr>
            <w:r>
              <w:rPr>
                <w:rFonts w:hint="eastAsia"/>
                <w:kern w:val="0"/>
                <w:sz w:val="20"/>
              </w:rPr>
              <w:t>ZR-KVVP22</w:t>
            </w:r>
            <w:r>
              <w:rPr>
                <w:kern w:val="0"/>
                <w:sz w:val="20"/>
              </w:rPr>
              <w:t xml:space="preserve"> 8*2.5</w:t>
            </w:r>
          </w:p>
        </w:tc>
        <w:tc>
          <w:tcPr>
            <w:tcW w:w="840" w:type="dxa"/>
          </w:tcPr>
          <w:p>
            <w:pPr>
              <w:pStyle w:val="13"/>
              <w:spacing w:line="360" w:lineRule="auto"/>
              <w:rPr>
                <w:sz w:val="22"/>
                <w:szCs w:val="22"/>
              </w:rPr>
            </w:pPr>
            <w:r>
              <w:rPr>
                <w:sz w:val="22"/>
                <w:szCs w:val="22"/>
              </w:rPr>
              <w:t>1000</w:t>
            </w:r>
          </w:p>
        </w:tc>
        <w:tc>
          <w:tcPr>
            <w:tcW w:w="1020" w:type="dxa"/>
          </w:tcPr>
          <w:p>
            <w:pPr>
              <w:pStyle w:val="13"/>
              <w:spacing w:line="360" w:lineRule="auto"/>
              <w:rPr>
                <w:rFonts w:asciiTheme="minorEastAsia" w:hAnsiTheme="minorEastAsia"/>
                <w:sz w:val="24"/>
              </w:rPr>
            </w:pPr>
            <w:r>
              <w:rPr>
                <w:rFonts w:hint="eastAsia" w:asciiTheme="minorEastAsia" w:hAnsiTheme="minorEastAsia"/>
                <w:sz w:val="24"/>
              </w:rPr>
              <w:t>米</w:t>
            </w:r>
          </w:p>
        </w:tc>
        <w:tc>
          <w:tcPr>
            <w:tcW w:w="1215" w:type="dxa"/>
          </w:tcPr>
          <w:p>
            <w:pPr>
              <w:pStyle w:val="13"/>
              <w:spacing w:line="360" w:lineRule="auto"/>
              <w:rPr>
                <w:rFonts w:asciiTheme="minorEastAsia" w:hAnsiTheme="minorEastAsia"/>
                <w:sz w:val="24"/>
              </w:rPr>
            </w:pPr>
          </w:p>
        </w:tc>
        <w:tc>
          <w:tcPr>
            <w:tcW w:w="1215" w:type="dxa"/>
          </w:tcPr>
          <w:p>
            <w:pPr>
              <w:pStyle w:val="13"/>
              <w:spacing w:line="360" w:lineRule="auto"/>
              <w:rPr>
                <w:rFonts w:asciiTheme="minorEastAsia" w:hAnsiTheme="minorEastAsia"/>
                <w:sz w:val="24"/>
              </w:rPr>
            </w:pPr>
          </w:p>
        </w:tc>
        <w:tc>
          <w:tcPr>
            <w:tcW w:w="2115" w:type="dxa"/>
            <w:vMerge w:val="continue"/>
          </w:tcPr>
          <w:p>
            <w:pPr>
              <w:pStyle w:val="13"/>
              <w:spacing w:line="360" w:lineRule="auto"/>
              <w:rPr>
                <w:rFonts w:ascii="宋体" w:hAnsi="宋体"/>
                <w:sz w:val="20"/>
                <w:szCs w:val="20"/>
              </w:rPr>
            </w:pPr>
          </w:p>
        </w:tc>
        <w:tc>
          <w:tcPr>
            <w:tcW w:w="1755" w:type="dxa"/>
            <w:vMerge w:val="continue"/>
          </w:tcPr>
          <w:p>
            <w:pPr>
              <w:pStyle w:val="13"/>
              <w:spacing w:line="360" w:lineRule="auto"/>
              <w:rPr>
                <w:rFonts w:asciiTheme="minorEastAsia" w:hAnsiTheme="minorEastAsia" w:eastAsiaTheme="minorEastAsia" w:cstheme="minorBidi"/>
                <w:sz w:val="20"/>
                <w:szCs w:val="20"/>
              </w:rPr>
            </w:pPr>
          </w:p>
        </w:tc>
        <w:tc>
          <w:tcPr>
            <w:tcW w:w="1125" w:type="dxa"/>
          </w:tcPr>
          <w:p>
            <w:pPr>
              <w:pStyle w:val="13"/>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1" w:type="dxa"/>
            <w:gridSpan w:val="7"/>
            <w:shd w:val="clear" w:color="auto" w:fill="auto"/>
          </w:tcPr>
          <w:p>
            <w:pPr>
              <w:pStyle w:val="13"/>
              <w:spacing w:line="360" w:lineRule="auto"/>
              <w:jc w:val="center"/>
              <w:rPr>
                <w:rFonts w:asciiTheme="minorEastAsia" w:hAnsiTheme="minorEastAsia"/>
                <w:sz w:val="24"/>
              </w:rPr>
            </w:pPr>
            <w:r>
              <w:rPr>
                <w:rFonts w:hint="eastAsia" w:asciiTheme="minorEastAsia" w:hAnsiTheme="minorEastAsia"/>
                <w:sz w:val="24"/>
              </w:rPr>
              <w:t>合   计</w:t>
            </w:r>
          </w:p>
        </w:tc>
        <w:tc>
          <w:tcPr>
            <w:tcW w:w="6210" w:type="dxa"/>
            <w:gridSpan w:val="4"/>
          </w:tcPr>
          <w:p>
            <w:pPr>
              <w:pStyle w:val="13"/>
              <w:spacing w:line="360" w:lineRule="auto"/>
              <w:rPr>
                <w:rFonts w:asciiTheme="minorEastAsia" w:hAnsiTheme="minorEastAsia"/>
                <w:sz w:val="24"/>
              </w:rPr>
            </w:pPr>
          </w:p>
        </w:tc>
      </w:tr>
    </w:tbl>
    <w:p>
      <w:pPr>
        <w:pStyle w:val="13"/>
        <w:spacing w:line="360" w:lineRule="auto"/>
        <w:rPr>
          <w:rFonts w:asciiTheme="minorEastAsia" w:hAnsiTheme="minorEastAsia"/>
          <w:sz w:val="24"/>
        </w:rPr>
        <w:sectPr>
          <w:pgSz w:w="16838" w:h="11906" w:orient="landscape"/>
          <w:pgMar w:top="1800" w:right="1440" w:bottom="1800" w:left="1440" w:header="851" w:footer="992" w:gutter="0"/>
          <w:cols w:space="425" w:num="1"/>
          <w:docGrid w:type="lines" w:linePitch="312" w:charSpace="0"/>
        </w:sectPr>
      </w:pPr>
    </w:p>
    <w:p>
      <w:pPr>
        <w:pStyle w:val="13"/>
        <w:spacing w:line="360" w:lineRule="auto"/>
        <w:rPr>
          <w:rFonts w:asciiTheme="minorEastAsia" w:hAnsiTheme="minorEastAsia"/>
          <w:sz w:val="24"/>
        </w:rPr>
      </w:pPr>
    </w:p>
    <w:p>
      <w:pPr>
        <w:pStyle w:val="13"/>
        <w:spacing w:line="360" w:lineRule="auto"/>
        <w:ind w:firstLine="480" w:firstLineChars="200"/>
        <w:rPr>
          <w:rFonts w:ascii="宋体" w:hAnsi="宋体"/>
          <w:sz w:val="24"/>
        </w:rPr>
      </w:pPr>
      <w:r>
        <w:rPr>
          <w:rFonts w:hint="eastAsia" w:asciiTheme="minorEastAsia" w:hAnsiTheme="minorEastAsia"/>
          <w:sz w:val="24"/>
        </w:rPr>
        <w:t>二、</w:t>
      </w:r>
      <w:bookmarkStart w:id="1" w:name="_Toc472273608"/>
      <w:bookmarkStart w:id="2" w:name="_Toc472152196"/>
      <w:bookmarkStart w:id="3" w:name="_Toc472152427"/>
      <w:bookmarkStart w:id="4" w:name="_Toc424885679"/>
      <w:bookmarkStart w:id="5" w:name="_Toc472226746"/>
      <w:bookmarkStart w:id="6" w:name="_Toc67566622"/>
      <w:r>
        <w:rPr>
          <w:rFonts w:hint="eastAsia" w:ascii="宋体" w:hAnsi="宋体"/>
          <w:sz w:val="24"/>
        </w:rPr>
        <w:t>技术</w:t>
      </w:r>
      <w:bookmarkEnd w:id="1"/>
      <w:bookmarkEnd w:id="2"/>
      <w:bookmarkEnd w:id="3"/>
      <w:bookmarkEnd w:id="4"/>
      <w:bookmarkEnd w:id="5"/>
      <w:bookmarkEnd w:id="6"/>
      <w:r>
        <w:rPr>
          <w:rFonts w:hint="eastAsia" w:ascii="宋体" w:hAnsi="宋体"/>
          <w:sz w:val="24"/>
        </w:rPr>
        <w:t>性能</w:t>
      </w:r>
    </w:p>
    <w:p>
      <w:pPr>
        <w:pStyle w:val="3"/>
        <w:spacing w:line="360" w:lineRule="auto"/>
        <w:rPr>
          <w:rFonts w:hAnsi="宋体"/>
          <w:spacing w:val="0"/>
          <w:sz w:val="24"/>
        </w:rPr>
      </w:pPr>
      <w:r>
        <w:rPr>
          <w:rFonts w:hAnsi="宋体"/>
          <w:spacing w:val="0"/>
          <w:sz w:val="24"/>
        </w:rPr>
        <w:t xml:space="preserve">1  </w:t>
      </w:r>
      <w:r>
        <w:rPr>
          <w:rFonts w:hint="eastAsia" w:hAnsi="宋体"/>
          <w:spacing w:val="0"/>
          <w:sz w:val="24"/>
        </w:rPr>
        <w:t>基本技术要求</w:t>
      </w:r>
    </w:p>
    <w:p>
      <w:pPr>
        <w:pStyle w:val="3"/>
        <w:spacing w:line="360" w:lineRule="auto"/>
        <w:rPr>
          <w:rFonts w:hAnsi="宋体"/>
          <w:spacing w:val="0"/>
          <w:sz w:val="24"/>
        </w:rPr>
      </w:pPr>
      <w:r>
        <w:rPr>
          <w:rFonts w:hint="eastAsia" w:hAnsi="宋体"/>
          <w:spacing w:val="0"/>
          <w:sz w:val="24"/>
        </w:rPr>
        <w:t>1.1</w:t>
      </w:r>
      <w:r>
        <w:rPr>
          <w:rFonts w:hAnsi="宋体"/>
          <w:spacing w:val="0"/>
          <w:sz w:val="24"/>
        </w:rPr>
        <w:t xml:space="preserve"> </w:t>
      </w:r>
      <w:r>
        <w:rPr>
          <w:rFonts w:hint="eastAsia" w:hAnsi="宋体"/>
          <w:spacing w:val="0"/>
          <w:sz w:val="24"/>
        </w:rPr>
        <w:t xml:space="preserve"> 安装位置：户内、户外。</w:t>
      </w:r>
    </w:p>
    <w:p>
      <w:pPr>
        <w:pStyle w:val="3"/>
        <w:spacing w:line="360" w:lineRule="auto"/>
        <w:rPr>
          <w:rFonts w:hAnsi="宋体"/>
          <w:spacing w:val="0"/>
          <w:sz w:val="24"/>
        </w:rPr>
      </w:pPr>
      <w:r>
        <w:rPr>
          <w:rFonts w:hint="eastAsia" w:hAnsi="宋体"/>
          <w:spacing w:val="0"/>
          <w:sz w:val="24"/>
        </w:rPr>
        <w:t>1.2</w:t>
      </w:r>
      <w:r>
        <w:rPr>
          <w:rFonts w:hAnsi="宋体"/>
          <w:spacing w:val="0"/>
          <w:sz w:val="24"/>
        </w:rPr>
        <w:t xml:space="preserve"> </w:t>
      </w:r>
      <w:r>
        <w:rPr>
          <w:rFonts w:hint="eastAsia" w:hAnsi="宋体"/>
          <w:spacing w:val="0"/>
          <w:sz w:val="24"/>
        </w:rPr>
        <w:t xml:space="preserve"> 敷设方式：电缆沟、架空桥架、电缆夹层、穿（套）管。</w:t>
      </w:r>
    </w:p>
    <w:p>
      <w:pPr>
        <w:pStyle w:val="3"/>
        <w:spacing w:line="360" w:lineRule="auto"/>
        <w:rPr>
          <w:rFonts w:hAnsi="宋体"/>
          <w:spacing w:val="0"/>
          <w:sz w:val="24"/>
        </w:rPr>
      </w:pPr>
      <w:r>
        <w:rPr>
          <w:rFonts w:hint="eastAsia" w:hAnsi="宋体"/>
          <w:spacing w:val="0"/>
          <w:sz w:val="24"/>
        </w:rPr>
        <w:t xml:space="preserve">1.3 </w:t>
      </w:r>
      <w:r>
        <w:rPr>
          <w:rFonts w:hAnsi="宋体"/>
          <w:spacing w:val="0"/>
          <w:sz w:val="24"/>
        </w:rPr>
        <w:t xml:space="preserve"> </w:t>
      </w:r>
      <w:r>
        <w:rPr>
          <w:rFonts w:hint="eastAsia" w:hAnsi="宋体"/>
          <w:spacing w:val="0"/>
          <w:sz w:val="24"/>
        </w:rPr>
        <w:t>敷设环境：电缆沟内可能有积水，此时电缆将可能浸泡于水中；</w:t>
      </w:r>
    </w:p>
    <w:p>
      <w:pPr>
        <w:pStyle w:val="3"/>
        <w:spacing w:line="360" w:lineRule="auto"/>
        <w:rPr>
          <w:rFonts w:hAnsi="宋体"/>
          <w:spacing w:val="0"/>
          <w:sz w:val="24"/>
        </w:rPr>
      </w:pPr>
      <w:r>
        <w:rPr>
          <w:rFonts w:hint="eastAsia" w:hAnsi="宋体"/>
          <w:spacing w:val="0"/>
          <w:sz w:val="24"/>
        </w:rPr>
        <w:t xml:space="preserve">1.4 </w:t>
      </w:r>
      <w:r>
        <w:rPr>
          <w:rFonts w:hAnsi="宋体"/>
          <w:spacing w:val="0"/>
          <w:sz w:val="24"/>
        </w:rPr>
        <w:t xml:space="preserve"> </w:t>
      </w:r>
      <w:r>
        <w:rPr>
          <w:rFonts w:hint="eastAsia" w:hAnsi="宋体"/>
          <w:spacing w:val="0"/>
          <w:sz w:val="24"/>
        </w:rPr>
        <w:t>使用技术条件</w:t>
      </w:r>
    </w:p>
    <w:p>
      <w:pPr>
        <w:pStyle w:val="3"/>
        <w:spacing w:line="360" w:lineRule="auto"/>
        <w:rPr>
          <w:rFonts w:hAnsi="宋体"/>
          <w:spacing w:val="0"/>
          <w:sz w:val="24"/>
        </w:rPr>
      </w:pPr>
      <w:r>
        <w:rPr>
          <w:rFonts w:hAnsi="宋体"/>
          <w:spacing w:val="0"/>
          <w:sz w:val="24"/>
        </w:rPr>
        <w:t xml:space="preserve">   a)</w:t>
      </w:r>
      <w:r>
        <w:rPr>
          <w:rFonts w:hint="eastAsia" w:hAnsi="宋体"/>
          <w:spacing w:val="0"/>
          <w:sz w:val="24"/>
        </w:rPr>
        <w:t xml:space="preserve"> 电缆导体长期工作温度：</w:t>
      </w:r>
      <w:r>
        <w:rPr>
          <w:rFonts w:hAnsi="宋体"/>
          <w:spacing w:val="0"/>
          <w:sz w:val="24"/>
        </w:rPr>
        <w:t>-30</w:t>
      </w:r>
      <w:r>
        <w:rPr>
          <w:rFonts w:hint="eastAsia" w:hAnsi="宋体"/>
          <w:spacing w:val="0"/>
          <w:sz w:val="24"/>
        </w:rPr>
        <w:t>℃</w:t>
      </w:r>
      <w:r>
        <w:rPr>
          <w:rFonts w:hint="eastAsia" w:hAnsi="宋体" w:cs="宋体"/>
          <w:spacing w:val="0"/>
          <w:sz w:val="24"/>
        </w:rPr>
        <w:t>～</w:t>
      </w:r>
      <w:r>
        <w:rPr>
          <w:rFonts w:hint="eastAsia" w:hAnsi="宋体"/>
          <w:spacing w:val="0"/>
          <w:sz w:val="24"/>
        </w:rPr>
        <w:t>+90℃</w:t>
      </w:r>
    </w:p>
    <w:p>
      <w:pPr>
        <w:pStyle w:val="3"/>
        <w:spacing w:line="360" w:lineRule="auto"/>
        <w:rPr>
          <w:rFonts w:hAnsi="宋体"/>
          <w:spacing w:val="0"/>
          <w:sz w:val="24"/>
        </w:rPr>
      </w:pPr>
      <w:r>
        <w:rPr>
          <w:rFonts w:hint="eastAsia" w:hAnsi="宋体"/>
          <w:spacing w:val="0"/>
          <w:sz w:val="24"/>
        </w:rPr>
        <w:t xml:space="preserve">      短路温度应不超过+250℃(持续时间5秒)</w:t>
      </w:r>
    </w:p>
    <w:p>
      <w:pPr>
        <w:pStyle w:val="3"/>
        <w:spacing w:line="360" w:lineRule="auto"/>
        <w:rPr>
          <w:rFonts w:hAnsi="宋体"/>
          <w:spacing w:val="0"/>
          <w:sz w:val="24"/>
        </w:rPr>
      </w:pPr>
      <w:r>
        <w:rPr>
          <w:rFonts w:hAnsi="宋体"/>
          <w:spacing w:val="0"/>
          <w:sz w:val="24"/>
        </w:rPr>
        <w:t xml:space="preserve">   b)</w:t>
      </w:r>
      <w:r>
        <w:rPr>
          <w:rFonts w:hint="eastAsia" w:hAnsi="宋体"/>
          <w:spacing w:val="0"/>
          <w:sz w:val="24"/>
        </w:rPr>
        <w:t xml:space="preserve"> 额定频率：50Hz</w:t>
      </w:r>
    </w:p>
    <w:p>
      <w:pPr>
        <w:pStyle w:val="3"/>
        <w:spacing w:line="360" w:lineRule="auto"/>
        <w:rPr>
          <w:rFonts w:hAnsi="宋体"/>
          <w:spacing w:val="0"/>
          <w:sz w:val="24"/>
        </w:rPr>
      </w:pPr>
      <w:r>
        <w:rPr>
          <w:rFonts w:hint="eastAsia" w:hAnsi="宋体"/>
          <w:spacing w:val="0"/>
          <w:sz w:val="24"/>
        </w:rPr>
        <w:t xml:space="preserve">   c) 额定工作电压：600/1000V          </w:t>
      </w:r>
    </w:p>
    <w:p>
      <w:pPr>
        <w:pStyle w:val="3"/>
        <w:spacing w:line="360" w:lineRule="auto"/>
        <w:rPr>
          <w:rFonts w:hAnsi="宋体"/>
          <w:spacing w:val="0"/>
          <w:sz w:val="24"/>
        </w:rPr>
      </w:pPr>
      <w:r>
        <w:rPr>
          <w:rFonts w:hAnsi="宋体"/>
          <w:spacing w:val="0"/>
          <w:sz w:val="24"/>
        </w:rPr>
        <w:t xml:space="preserve">   d)</w:t>
      </w:r>
      <w:r>
        <w:rPr>
          <w:rFonts w:hint="eastAsia" w:hAnsi="宋体"/>
          <w:spacing w:val="0"/>
          <w:sz w:val="24"/>
        </w:rPr>
        <w:t xml:space="preserve"> 弯曲半径：≥电缆外径的10倍。</w:t>
      </w:r>
    </w:p>
    <w:p>
      <w:pPr>
        <w:pStyle w:val="3"/>
        <w:spacing w:line="360" w:lineRule="auto"/>
        <w:rPr>
          <w:rFonts w:hAnsi="宋体"/>
          <w:spacing w:val="0"/>
          <w:sz w:val="24"/>
        </w:rPr>
      </w:pPr>
      <w:r>
        <w:rPr>
          <w:rFonts w:hint="eastAsia" w:hAnsi="宋体"/>
          <w:spacing w:val="0"/>
          <w:sz w:val="24"/>
        </w:rPr>
        <w:t xml:space="preserve">   </w:t>
      </w:r>
      <w:r>
        <w:rPr>
          <w:rFonts w:hAnsi="宋体"/>
          <w:spacing w:val="0"/>
          <w:sz w:val="24"/>
        </w:rPr>
        <w:t xml:space="preserve">e) </w:t>
      </w:r>
      <w:r>
        <w:rPr>
          <w:rFonts w:hint="eastAsia" w:hAnsi="宋体"/>
          <w:spacing w:val="0"/>
          <w:sz w:val="24"/>
        </w:rPr>
        <w:t>使用年限：30年</w:t>
      </w:r>
    </w:p>
    <w:p>
      <w:pPr>
        <w:pStyle w:val="3"/>
        <w:spacing w:line="360" w:lineRule="auto"/>
        <w:rPr>
          <w:rFonts w:hAnsi="宋体"/>
          <w:spacing w:val="0"/>
          <w:sz w:val="24"/>
        </w:rPr>
      </w:pPr>
      <w:r>
        <w:rPr>
          <w:rFonts w:hAnsi="宋体"/>
          <w:spacing w:val="0"/>
          <w:sz w:val="24"/>
        </w:rPr>
        <w:t xml:space="preserve">2  </w:t>
      </w:r>
      <w:r>
        <w:rPr>
          <w:rFonts w:hint="eastAsia" w:hAnsi="宋体"/>
          <w:spacing w:val="0"/>
          <w:sz w:val="24"/>
        </w:rPr>
        <w:t>工艺要求</w:t>
      </w:r>
    </w:p>
    <w:p>
      <w:pPr>
        <w:pStyle w:val="3"/>
        <w:spacing w:line="360" w:lineRule="auto"/>
        <w:rPr>
          <w:rFonts w:hAnsi="宋体"/>
          <w:spacing w:val="0"/>
          <w:sz w:val="24"/>
        </w:rPr>
      </w:pPr>
      <w:r>
        <w:rPr>
          <w:rFonts w:hAnsi="宋体"/>
          <w:spacing w:val="0"/>
          <w:sz w:val="24"/>
        </w:rPr>
        <w:t xml:space="preserve">   </w:t>
      </w:r>
      <w:r>
        <w:rPr>
          <w:rFonts w:hint="eastAsia" w:hAnsi="宋体"/>
          <w:spacing w:val="0"/>
          <w:sz w:val="24"/>
        </w:rPr>
        <w:t xml:space="preserve"> </w:t>
      </w:r>
      <w:r>
        <w:rPr>
          <w:rFonts w:hAnsi="宋体"/>
          <w:spacing w:val="0"/>
          <w:sz w:val="24"/>
        </w:rPr>
        <w:t xml:space="preserve">a) </w:t>
      </w:r>
      <w:r>
        <w:rPr>
          <w:rFonts w:hint="eastAsia" w:hAnsi="宋体"/>
          <w:spacing w:val="0"/>
          <w:sz w:val="24"/>
        </w:rPr>
        <w:t>绝缘线芯数在</w:t>
      </w:r>
      <w:r>
        <w:rPr>
          <w:rFonts w:hAnsi="宋体"/>
          <w:spacing w:val="0"/>
          <w:sz w:val="24"/>
        </w:rPr>
        <w:t>8</w:t>
      </w:r>
      <w:r>
        <w:rPr>
          <w:rFonts w:hint="eastAsia" w:hAnsi="宋体"/>
          <w:spacing w:val="0"/>
          <w:sz w:val="24"/>
        </w:rPr>
        <w:t>芯及以下时，应采用颜色标志，其它采用数字以示识别，且印刷标志要求耐涂擦。</w:t>
      </w:r>
    </w:p>
    <w:p>
      <w:pPr>
        <w:pStyle w:val="3"/>
        <w:spacing w:line="360" w:lineRule="auto"/>
        <w:rPr>
          <w:rFonts w:hAnsi="宋体"/>
          <w:spacing w:val="0"/>
          <w:sz w:val="24"/>
        </w:rPr>
      </w:pPr>
      <w:r>
        <w:rPr>
          <w:rFonts w:hAnsi="宋体"/>
          <w:spacing w:val="0"/>
          <w:sz w:val="24"/>
        </w:rPr>
        <w:t xml:space="preserve">    b) </w:t>
      </w:r>
      <w:r>
        <w:rPr>
          <w:rFonts w:hint="eastAsia" w:hAnsi="宋体"/>
          <w:spacing w:val="0"/>
          <w:sz w:val="24"/>
        </w:rPr>
        <w:t>护套应紧挤包在绞合的绝缘线芯及铠装层上，且应容易剥离而不损伤绝缘或护套，护套表面应光滑。</w:t>
      </w:r>
    </w:p>
    <w:p>
      <w:pPr>
        <w:pStyle w:val="3"/>
        <w:spacing w:line="360" w:lineRule="auto"/>
        <w:ind w:firstLine="480"/>
        <w:rPr>
          <w:rFonts w:hAnsi="宋体"/>
          <w:spacing w:val="0"/>
          <w:sz w:val="24"/>
        </w:rPr>
      </w:pPr>
      <w:r>
        <w:rPr>
          <w:rFonts w:hAnsi="宋体"/>
          <w:spacing w:val="0"/>
          <w:sz w:val="24"/>
        </w:rPr>
        <w:t xml:space="preserve">c) </w:t>
      </w:r>
      <w:r>
        <w:rPr>
          <w:rFonts w:hint="eastAsia" w:hAnsi="宋体"/>
          <w:spacing w:val="0"/>
          <w:sz w:val="24"/>
        </w:rPr>
        <w:t>电缆的绝缘标称厚度、护套标称厚度、平均外径上下限、阻燃性、耐火性以及</w:t>
      </w:r>
      <w:r>
        <w:rPr>
          <w:rFonts w:hAnsi="宋体"/>
          <w:spacing w:val="0"/>
          <w:sz w:val="24"/>
        </w:rPr>
        <w:t>70</w:t>
      </w:r>
      <w:r>
        <w:rPr>
          <w:rFonts w:hint="eastAsia" w:hAnsi="宋体"/>
          <w:spacing w:val="0"/>
          <w:sz w:val="24"/>
        </w:rPr>
        <w:t>℃的最小绝缘电阻等均应符合国标要求。</w:t>
      </w:r>
    </w:p>
    <w:p>
      <w:pPr>
        <w:pStyle w:val="3"/>
        <w:spacing w:line="360" w:lineRule="auto"/>
        <w:ind w:firstLine="480"/>
        <w:rPr>
          <w:rFonts w:hAnsi="宋体"/>
          <w:spacing w:val="0"/>
          <w:sz w:val="24"/>
        </w:rPr>
      </w:pPr>
      <w:r>
        <w:rPr>
          <w:rFonts w:hAnsi="宋体"/>
          <w:spacing w:val="0"/>
          <w:sz w:val="24"/>
        </w:rPr>
        <w:t>d)</w:t>
      </w:r>
      <w:r>
        <w:rPr>
          <w:rFonts w:hint="eastAsia" w:hAnsi="宋体"/>
          <w:spacing w:val="0"/>
          <w:sz w:val="24"/>
        </w:rPr>
        <w:t>整轴电缆不允许有接头及断头。</w:t>
      </w:r>
    </w:p>
    <w:p>
      <w:pPr>
        <w:autoSpaceDE w:val="0"/>
        <w:autoSpaceDN w:val="0"/>
        <w:adjustRightInd w:val="0"/>
        <w:spacing w:line="360" w:lineRule="auto"/>
        <w:rPr>
          <w:rFonts w:ascii="宋体" w:hAnsi="宋体"/>
          <w:sz w:val="24"/>
        </w:rPr>
      </w:pPr>
      <w:r>
        <w:rPr>
          <w:rFonts w:ascii="宋体" w:hAnsi="宋体"/>
          <w:sz w:val="24"/>
        </w:rPr>
        <w:t xml:space="preserve">3  </w:t>
      </w:r>
      <w:r>
        <w:rPr>
          <w:rFonts w:hint="eastAsia" w:ascii="宋体" w:hAnsi="宋体"/>
          <w:sz w:val="24"/>
        </w:rPr>
        <w:t>报价方所提供的控制及相关电缆应符合本技术规范书，满足各种运行工况下热控系统及控制装置的要求，确保机组安全、</w:t>
      </w:r>
      <w:r>
        <w:rPr>
          <w:rFonts w:ascii="宋体" w:hAnsi="宋体"/>
          <w:sz w:val="24"/>
        </w:rPr>
        <w:t xml:space="preserve"> </w:t>
      </w:r>
      <w:r>
        <w:rPr>
          <w:rFonts w:hint="eastAsia" w:ascii="宋体" w:hAnsi="宋体"/>
          <w:sz w:val="24"/>
        </w:rPr>
        <w:t>高效运行。电缆应有长度标识。</w:t>
      </w:r>
    </w:p>
    <w:p>
      <w:pPr>
        <w:spacing w:line="360" w:lineRule="auto"/>
        <w:jc w:val="left"/>
        <w:rPr>
          <w:rFonts w:ascii="宋体" w:hAnsi="宋体"/>
          <w:szCs w:val="21"/>
        </w:rPr>
      </w:pPr>
      <w:r>
        <w:rPr>
          <w:rFonts w:ascii="宋体" w:hAnsi="宋体"/>
          <w:sz w:val="24"/>
        </w:rPr>
        <w:t xml:space="preserve">4  </w:t>
      </w:r>
      <w:r>
        <w:rPr>
          <w:rFonts w:hint="eastAsia" w:ascii="宋体" w:hAnsi="宋体"/>
          <w:sz w:val="24"/>
        </w:rPr>
        <w:t>控制电缆的绝缘水平，不得低于500V额定电压级。</w:t>
      </w:r>
    </w:p>
    <w:p>
      <w:pPr>
        <w:autoSpaceDE w:val="0"/>
        <w:autoSpaceDN w:val="0"/>
        <w:adjustRightInd w:val="0"/>
        <w:spacing w:line="360" w:lineRule="auto"/>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控制电缆、计算机电缆线芯截面为</w:t>
      </w:r>
      <w:r>
        <w:rPr>
          <w:rFonts w:ascii="宋体" w:hAnsi="宋体"/>
          <w:sz w:val="24"/>
        </w:rPr>
        <w:t>1.</w:t>
      </w:r>
      <w:r>
        <w:rPr>
          <w:rFonts w:hint="eastAsia" w:ascii="宋体" w:hAnsi="宋体"/>
          <w:sz w:val="24"/>
        </w:rPr>
        <w:t>5</w:t>
      </w:r>
      <w:r>
        <w:rPr>
          <w:rFonts w:ascii="宋体" w:hAnsi="宋体"/>
          <w:sz w:val="24"/>
        </w:rPr>
        <w:t>mm</w:t>
      </w:r>
      <w:r>
        <w:rPr>
          <w:rFonts w:ascii="宋体" w:hAnsi="宋体"/>
          <w:sz w:val="24"/>
          <w:vertAlign w:val="superscript"/>
        </w:rPr>
        <w:t>2</w:t>
      </w:r>
      <w:r>
        <w:rPr>
          <w:rFonts w:hint="eastAsia" w:ascii="宋体" w:hAnsi="宋体"/>
          <w:sz w:val="24"/>
        </w:rPr>
        <w:t>。报价方提供的电缆线芯应保证均匀性。</w:t>
      </w:r>
    </w:p>
    <w:p>
      <w:pPr>
        <w:spacing w:line="360" w:lineRule="auto"/>
        <w:jc w:val="left"/>
        <w:rPr>
          <w:rFonts w:ascii="宋体" w:hAnsi="宋体"/>
          <w:sz w:val="24"/>
          <w:szCs w:val="24"/>
        </w:rPr>
      </w:pPr>
      <w:r>
        <w:rPr>
          <w:rFonts w:hint="eastAsia" w:ascii="宋体" w:hAnsi="宋体"/>
          <w:sz w:val="24"/>
        </w:rPr>
        <w:t>6</w:t>
      </w:r>
      <w:r>
        <w:rPr>
          <w:rFonts w:ascii="宋体" w:hAnsi="宋体"/>
          <w:sz w:val="24"/>
        </w:rPr>
        <w:t xml:space="preserve"> </w:t>
      </w:r>
      <w:r>
        <w:rPr>
          <w:rFonts w:hint="eastAsia" w:ascii="宋体" w:hAnsi="宋体"/>
          <w:sz w:val="24"/>
        </w:rPr>
        <w:t xml:space="preserve"> 屏蔽层采用铜网屏蔽，且具有分屏和总屏，</w:t>
      </w:r>
      <w:r>
        <w:rPr>
          <w:rFonts w:ascii="宋体" w:hAnsi="宋体"/>
          <w:sz w:val="24"/>
          <w:szCs w:val="24"/>
        </w:rPr>
        <w:t>表面光滑</w:t>
      </w:r>
      <w:r>
        <w:rPr>
          <w:rFonts w:hint="eastAsia" w:ascii="宋体" w:hAnsi="宋体"/>
          <w:sz w:val="24"/>
          <w:szCs w:val="24"/>
        </w:rPr>
        <w:t>，</w:t>
      </w:r>
      <w:r>
        <w:rPr>
          <w:rFonts w:ascii="宋体" w:hAnsi="宋体"/>
          <w:sz w:val="24"/>
          <w:szCs w:val="24"/>
        </w:rPr>
        <w:t>无明显绞线凸纹，无尖角、颗粒、烧焦或擦伤的痕迹。在剥离导体屏蔽时，半导电层无卡留在导体绞股之间的现象。电缆铜</w:t>
      </w:r>
      <w:r>
        <w:rPr>
          <w:rFonts w:hint="eastAsia" w:ascii="宋体" w:hAnsi="宋体"/>
          <w:sz w:val="24"/>
          <w:szCs w:val="24"/>
        </w:rPr>
        <w:t>网</w:t>
      </w:r>
      <w:r>
        <w:rPr>
          <w:rFonts w:ascii="宋体" w:hAnsi="宋体"/>
          <w:sz w:val="24"/>
          <w:szCs w:val="24"/>
        </w:rPr>
        <w:t>编织屏蔽要求覆盖密度大于90%,其编织线直径应大于0.1mm。对于所有具有屏蔽层的相关电缆,组屏蔽引流线直经应大于0.4mm;总屏蔽引流线直径应大于0.6mm</w:t>
      </w:r>
      <w:r>
        <w:rPr>
          <w:rFonts w:hint="eastAsia" w:ascii="宋体" w:hAnsi="宋体"/>
          <w:sz w:val="24"/>
          <w:szCs w:val="24"/>
        </w:rPr>
        <w:t>。</w:t>
      </w:r>
    </w:p>
    <w:p>
      <w:pPr>
        <w:spacing w:line="360" w:lineRule="auto"/>
        <w:jc w:val="left"/>
        <w:rPr>
          <w:rFonts w:ascii="宋体" w:hAnsi="宋体"/>
          <w:sz w:val="24"/>
          <w:szCs w:val="24"/>
        </w:rPr>
      </w:pPr>
      <w:r>
        <w:rPr>
          <w:rFonts w:hint="eastAsia" w:ascii="宋体" w:hAnsi="宋体"/>
          <w:sz w:val="24"/>
          <w:szCs w:val="24"/>
        </w:rPr>
        <w:t xml:space="preserve">7 </w:t>
      </w:r>
      <w:r>
        <w:rPr>
          <w:rFonts w:ascii="宋体" w:hAnsi="宋体"/>
          <w:sz w:val="24"/>
          <w:szCs w:val="24"/>
        </w:rPr>
        <w:t xml:space="preserve">多芯电缆应有衬垫，衬垫适用于规定运行温度。衬垫采用耐高温绝缘材料。 </w:t>
      </w:r>
    </w:p>
    <w:p>
      <w:pPr>
        <w:spacing w:line="360" w:lineRule="auto"/>
        <w:jc w:val="left"/>
        <w:rPr>
          <w:rFonts w:ascii="宋体" w:hAnsi="宋体"/>
          <w:sz w:val="24"/>
          <w:szCs w:val="24"/>
        </w:rPr>
      </w:pPr>
      <w:r>
        <w:rPr>
          <w:rFonts w:hint="eastAsia" w:ascii="宋体" w:hAnsi="宋体"/>
          <w:sz w:val="24"/>
          <w:szCs w:val="24"/>
        </w:rPr>
        <w:t xml:space="preserve">8 </w:t>
      </w:r>
      <w:r>
        <w:rPr>
          <w:rFonts w:ascii="宋体" w:hAnsi="宋体"/>
          <w:sz w:val="24"/>
          <w:szCs w:val="24"/>
        </w:rPr>
        <w:t>所有电缆应提供阻燃和耐低酸、透气性能好的外护套。护套适用于不良工作环境。 阻燃和有关试验的</w:t>
      </w:r>
      <w:r>
        <w:rPr>
          <w:rFonts w:hint="eastAsia" w:ascii="宋体" w:hAnsi="宋体"/>
          <w:sz w:val="24"/>
          <w:szCs w:val="24"/>
        </w:rPr>
        <w:t>项</w:t>
      </w:r>
      <w:r>
        <w:rPr>
          <w:rFonts w:ascii="宋体" w:hAnsi="宋体"/>
          <w:sz w:val="24"/>
          <w:szCs w:val="24"/>
        </w:rPr>
        <w:t>目随投标书提供。 所有电缆的永久标记用永久表面打字或压印（不超过外护套厚度的15%）</w:t>
      </w:r>
      <w:r>
        <w:rPr>
          <w:rFonts w:hint="eastAsia" w:ascii="宋体" w:hAnsi="宋体"/>
          <w:sz w:val="24"/>
          <w:szCs w:val="24"/>
        </w:rPr>
        <w:t>。</w:t>
      </w:r>
      <w:r>
        <w:rPr>
          <w:rFonts w:ascii="宋体" w:hAnsi="宋体"/>
          <w:sz w:val="24"/>
          <w:szCs w:val="24"/>
        </w:rPr>
        <w:t>其内容</w:t>
      </w:r>
      <w:r>
        <w:rPr>
          <w:rFonts w:hint="eastAsia" w:ascii="宋体" w:hAnsi="宋体"/>
          <w:sz w:val="24"/>
          <w:szCs w:val="24"/>
        </w:rPr>
        <w:t>包括</w:t>
      </w:r>
      <w:r>
        <w:rPr>
          <w:rFonts w:ascii="宋体" w:hAnsi="宋体"/>
          <w:sz w:val="24"/>
          <w:szCs w:val="24"/>
        </w:rPr>
        <w:t>：制造厂厂名</w:t>
      </w:r>
      <w:r>
        <w:rPr>
          <w:rFonts w:hint="eastAsia" w:ascii="宋体" w:hAnsi="宋体"/>
          <w:sz w:val="24"/>
          <w:szCs w:val="24"/>
        </w:rPr>
        <w:t>、</w:t>
      </w:r>
      <w:r>
        <w:rPr>
          <w:rFonts w:ascii="宋体" w:hAnsi="宋体"/>
          <w:sz w:val="24"/>
          <w:szCs w:val="24"/>
        </w:rPr>
        <w:t>回路电压额定值</w:t>
      </w:r>
      <w:r>
        <w:rPr>
          <w:rFonts w:hint="eastAsia" w:ascii="宋体" w:hAnsi="宋体"/>
          <w:sz w:val="24"/>
          <w:szCs w:val="24"/>
        </w:rPr>
        <w:t>、</w:t>
      </w:r>
      <w:r>
        <w:rPr>
          <w:rFonts w:ascii="宋体" w:hAnsi="宋体"/>
          <w:sz w:val="24"/>
          <w:szCs w:val="24"/>
        </w:rPr>
        <w:t>芯线截面</w:t>
      </w:r>
      <w:r>
        <w:rPr>
          <w:rFonts w:hint="eastAsia" w:ascii="宋体" w:hAnsi="宋体"/>
          <w:sz w:val="24"/>
          <w:szCs w:val="24"/>
        </w:rPr>
        <w:t>、</w:t>
      </w:r>
      <w:r>
        <w:rPr>
          <w:rFonts w:ascii="宋体" w:hAnsi="宋体"/>
          <w:sz w:val="24"/>
          <w:szCs w:val="24"/>
        </w:rPr>
        <w:t>芯数</w:t>
      </w:r>
      <w:r>
        <w:rPr>
          <w:rFonts w:hint="eastAsia" w:ascii="宋体" w:hAnsi="宋体"/>
          <w:sz w:val="24"/>
          <w:szCs w:val="24"/>
        </w:rPr>
        <w:t>、</w:t>
      </w:r>
      <w:r>
        <w:rPr>
          <w:rFonts w:ascii="宋体" w:hAnsi="宋体"/>
          <w:sz w:val="24"/>
          <w:szCs w:val="24"/>
        </w:rPr>
        <w:t>绝缘材料</w:t>
      </w:r>
      <w:r>
        <w:rPr>
          <w:rFonts w:hint="eastAsia" w:ascii="宋体" w:hAnsi="宋体"/>
          <w:sz w:val="24"/>
          <w:szCs w:val="24"/>
        </w:rPr>
        <w:t>、</w:t>
      </w:r>
      <w:r>
        <w:rPr>
          <w:rFonts w:ascii="宋体" w:hAnsi="宋体"/>
          <w:sz w:val="24"/>
          <w:szCs w:val="24"/>
        </w:rPr>
        <w:t>护套材料</w:t>
      </w:r>
      <w:r>
        <w:rPr>
          <w:rFonts w:hint="eastAsia" w:ascii="宋体" w:hAnsi="宋体"/>
          <w:sz w:val="24"/>
          <w:szCs w:val="24"/>
        </w:rPr>
        <w:t>、</w:t>
      </w:r>
      <w:r>
        <w:rPr>
          <w:rFonts w:ascii="宋体" w:hAnsi="宋体"/>
          <w:sz w:val="24"/>
          <w:szCs w:val="24"/>
        </w:rPr>
        <w:t>长度标记（按米标记）</w:t>
      </w:r>
      <w:r>
        <w:rPr>
          <w:rFonts w:hint="eastAsia" w:ascii="宋体" w:hAnsi="宋体"/>
          <w:sz w:val="24"/>
          <w:szCs w:val="24"/>
        </w:rPr>
        <w:t>、</w:t>
      </w:r>
      <w:r>
        <w:rPr>
          <w:rFonts w:ascii="宋体" w:hAnsi="宋体"/>
          <w:sz w:val="24"/>
          <w:szCs w:val="24"/>
        </w:rPr>
        <w:t>制造年月</w:t>
      </w:r>
      <w:r>
        <w:rPr>
          <w:rFonts w:hint="eastAsia" w:ascii="宋体" w:hAnsi="宋体"/>
          <w:sz w:val="24"/>
          <w:szCs w:val="24"/>
        </w:rPr>
        <w:t>等。</w:t>
      </w:r>
      <w:r>
        <w:rPr>
          <w:rFonts w:ascii="宋体" w:hAnsi="宋体"/>
          <w:sz w:val="24"/>
          <w:szCs w:val="24"/>
        </w:rPr>
        <w:t xml:space="preserve">一个完整的标记的末端与下一个完整标记的始端之间的距离不应超过 </w:t>
      </w:r>
      <w:r>
        <w:rPr>
          <w:rFonts w:hint="eastAsia" w:ascii="宋体" w:hAnsi="宋体"/>
          <w:sz w:val="24"/>
          <w:szCs w:val="24"/>
        </w:rPr>
        <w:t>1000</w:t>
      </w:r>
      <w:r>
        <w:rPr>
          <w:rFonts w:ascii="宋体" w:hAnsi="宋体"/>
          <w:sz w:val="24"/>
          <w:szCs w:val="24"/>
        </w:rPr>
        <w:t xml:space="preserve"> ㎜。所有标记的颜色</w:t>
      </w:r>
      <w:r>
        <w:rPr>
          <w:rFonts w:hint="eastAsia" w:ascii="宋体" w:hAnsi="宋体"/>
          <w:sz w:val="24"/>
          <w:szCs w:val="24"/>
        </w:rPr>
        <w:t>应</w:t>
      </w:r>
      <w:r>
        <w:rPr>
          <w:rFonts w:ascii="宋体" w:hAnsi="宋体"/>
          <w:sz w:val="24"/>
          <w:szCs w:val="24"/>
        </w:rPr>
        <w:t>与外护套颜色不同。</w:t>
      </w:r>
    </w:p>
    <w:p>
      <w:pPr>
        <w:pStyle w:val="2"/>
        <w:spacing w:before="120" w:after="0" w:line="360" w:lineRule="auto"/>
        <w:rPr>
          <w:rFonts w:ascii="宋体" w:hAnsi="宋体"/>
          <w:b w:val="0"/>
          <w:bCs/>
          <w:sz w:val="24"/>
        </w:rPr>
      </w:pPr>
      <w:bookmarkStart w:id="7" w:name="_Toc472152212"/>
      <w:bookmarkStart w:id="8" w:name="_Toc472273623"/>
      <w:bookmarkStart w:id="9" w:name="_Toc472226761"/>
      <w:bookmarkStart w:id="10" w:name="_Toc424885681"/>
      <w:bookmarkStart w:id="11" w:name="_Toc67566624"/>
      <w:bookmarkStart w:id="12" w:name="_Toc472152442"/>
      <w:r>
        <w:rPr>
          <w:rFonts w:hint="eastAsia" w:ascii="宋体" w:hAnsi="宋体"/>
          <w:b w:val="0"/>
          <w:bCs/>
          <w:sz w:val="24"/>
        </w:rPr>
        <w:t>三、验收和试验</w:t>
      </w:r>
      <w:bookmarkEnd w:id="7"/>
      <w:bookmarkEnd w:id="8"/>
      <w:bookmarkEnd w:id="9"/>
      <w:bookmarkEnd w:id="10"/>
      <w:bookmarkEnd w:id="11"/>
      <w:bookmarkEnd w:id="12"/>
    </w:p>
    <w:p/>
    <w:p>
      <w:pPr>
        <w:autoSpaceDE w:val="0"/>
        <w:autoSpaceDN w:val="0"/>
        <w:adjustRightInd w:val="0"/>
        <w:spacing w:line="360" w:lineRule="auto"/>
        <w:rPr>
          <w:rFonts w:ascii="宋体" w:hAnsi="宋体"/>
          <w:sz w:val="24"/>
        </w:rPr>
      </w:pPr>
      <w:r>
        <w:rPr>
          <w:rFonts w:ascii="宋体" w:hAnsi="宋体"/>
          <w:sz w:val="24"/>
        </w:rPr>
        <w:t xml:space="preserve">1  </w:t>
      </w:r>
      <w:r>
        <w:rPr>
          <w:rFonts w:hint="eastAsia" w:ascii="宋体" w:hAnsi="宋体"/>
          <w:sz w:val="24"/>
        </w:rPr>
        <w:t>报价方在制造过程中，应对制造电缆的材料进行试验和检查，以保证产品完全符合本技术规范书要求。</w:t>
      </w:r>
    </w:p>
    <w:p>
      <w:pPr>
        <w:autoSpaceDE w:val="0"/>
        <w:autoSpaceDN w:val="0"/>
        <w:adjustRightInd w:val="0"/>
        <w:spacing w:line="360" w:lineRule="auto"/>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询价方有权在任何时候，对电缆的质量管理情况，包括设备试验的记录进行检查。</w:t>
      </w:r>
    </w:p>
    <w:p>
      <w:pPr>
        <w:autoSpaceDE w:val="0"/>
        <w:autoSpaceDN w:val="0"/>
        <w:adjustRightInd w:val="0"/>
        <w:spacing w:line="360" w:lineRule="auto"/>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报价方应进行工厂验收试验和现场试验。在试验和检查过程中，如发现任何不符合本协议要求的原材料或成品，报价方都必须及时更换。由此而引起的所有费用都应由报价方承担。</w:t>
      </w:r>
    </w:p>
    <w:p>
      <w:pPr>
        <w:pStyle w:val="6"/>
        <w:rPr>
          <w:rFonts w:ascii="宋体" w:hAnsi="宋体"/>
          <w:b w:val="0"/>
          <w:bCs w:val="0"/>
          <w:sz w:val="24"/>
        </w:rPr>
      </w:pPr>
      <w:bookmarkStart w:id="13" w:name="_Toc67566627"/>
      <w:bookmarkStart w:id="14" w:name="_Toc424885682"/>
      <w:r>
        <w:rPr>
          <w:rFonts w:hint="eastAsia" w:ascii="宋体" w:hAnsi="宋体"/>
          <w:b w:val="0"/>
          <w:bCs w:val="0"/>
          <w:sz w:val="24"/>
        </w:rPr>
        <w:t xml:space="preserve">四 </w:t>
      </w:r>
      <w:r>
        <w:rPr>
          <w:rFonts w:ascii="宋体" w:hAnsi="宋体"/>
          <w:b w:val="0"/>
          <w:bCs w:val="0"/>
          <w:sz w:val="24"/>
        </w:rPr>
        <w:t xml:space="preserve"> </w:t>
      </w:r>
      <w:r>
        <w:rPr>
          <w:rFonts w:hint="eastAsia" w:ascii="宋体" w:hAnsi="宋体"/>
          <w:b w:val="0"/>
          <w:bCs w:val="0"/>
          <w:sz w:val="24"/>
        </w:rPr>
        <w:t>质量保证</w:t>
      </w:r>
      <w:bookmarkEnd w:id="13"/>
      <w:bookmarkEnd w:id="14"/>
      <w:r>
        <w:rPr>
          <w:rFonts w:hint="eastAsia" w:ascii="宋体" w:hAnsi="宋体"/>
          <w:b w:val="0"/>
          <w:bCs w:val="0"/>
          <w:sz w:val="24"/>
        </w:rPr>
        <w:t>及入厂验收</w:t>
      </w:r>
    </w:p>
    <w:p>
      <w:pPr>
        <w:pStyle w:val="3"/>
        <w:spacing w:line="360" w:lineRule="auto"/>
        <w:rPr>
          <w:rFonts w:hAnsi="宋体"/>
          <w:spacing w:val="0"/>
          <w:sz w:val="24"/>
        </w:rPr>
      </w:pPr>
      <w:r>
        <w:rPr>
          <w:rFonts w:hint="eastAsia" w:hAnsi="宋体"/>
          <w:spacing w:val="0"/>
          <w:sz w:val="24"/>
        </w:rPr>
        <w:t>l  质量保证</w:t>
      </w:r>
    </w:p>
    <w:p>
      <w:pPr>
        <w:pStyle w:val="3"/>
        <w:spacing w:line="360" w:lineRule="auto"/>
        <w:rPr>
          <w:rFonts w:hAnsi="宋体"/>
          <w:spacing w:val="0"/>
          <w:sz w:val="24"/>
        </w:rPr>
      </w:pPr>
      <w:r>
        <w:rPr>
          <w:rFonts w:hint="eastAsia" w:hAnsi="宋体"/>
          <w:spacing w:val="0"/>
          <w:sz w:val="24"/>
        </w:rPr>
        <w:t>1.l 报价方应保证制造过程中的所有工艺、材料、试验等（包括报价方的外购件在内）均应符合本技术规范书的规定。</w:t>
      </w:r>
    </w:p>
    <w:p>
      <w:pPr>
        <w:pStyle w:val="3"/>
        <w:spacing w:line="360" w:lineRule="auto"/>
        <w:rPr>
          <w:rFonts w:hAnsi="宋体"/>
          <w:spacing w:val="0"/>
          <w:sz w:val="24"/>
        </w:rPr>
      </w:pPr>
      <w:r>
        <w:rPr>
          <w:rFonts w:hint="eastAsia" w:hAnsi="宋体"/>
          <w:spacing w:val="0"/>
          <w:sz w:val="24"/>
        </w:rPr>
        <w:t>1.2附属及配套设备必须满足本技术规范书的有关规定及厂标和行业标准的要求，并提供试验报告和产品合格证。</w:t>
      </w:r>
    </w:p>
    <w:p>
      <w:pPr>
        <w:pStyle w:val="3"/>
        <w:spacing w:line="360" w:lineRule="auto"/>
        <w:rPr>
          <w:rFonts w:hAnsi="宋体"/>
          <w:spacing w:val="0"/>
          <w:sz w:val="24"/>
        </w:rPr>
      </w:pPr>
      <w:r>
        <w:rPr>
          <w:rFonts w:hint="eastAsia" w:hAnsi="宋体"/>
          <w:spacing w:val="0"/>
          <w:sz w:val="24"/>
        </w:rPr>
        <w:t>1.3 报价方应有遵守本技术规范书中各条款和工作项目的ISO900</w:t>
      </w:r>
      <w:r>
        <w:rPr>
          <w:rFonts w:hint="eastAsia" w:hAnsi="宋体"/>
          <w:spacing w:val="0"/>
          <w:sz w:val="24"/>
          <w:u w:val="single"/>
        </w:rPr>
        <w:t>1</w:t>
      </w:r>
      <w:r>
        <w:rPr>
          <w:rFonts w:hint="eastAsia" w:hAnsi="宋体"/>
          <w:spacing w:val="0"/>
          <w:sz w:val="24"/>
        </w:rPr>
        <w:t>GB／T1900</w:t>
      </w:r>
      <w:r>
        <w:rPr>
          <w:rFonts w:hint="eastAsia" w:hAnsi="宋体"/>
          <w:spacing w:val="0"/>
          <w:sz w:val="24"/>
          <w:u w:val="single"/>
        </w:rPr>
        <w:t>1</w:t>
      </w:r>
      <w:r>
        <w:rPr>
          <w:rFonts w:hint="eastAsia" w:hAnsi="宋体"/>
          <w:spacing w:val="0"/>
          <w:sz w:val="24"/>
        </w:rPr>
        <w:t>质量保证体系，该质量保证体系已经通过国家认证和正常运转。</w:t>
      </w:r>
    </w:p>
    <w:p>
      <w:pPr>
        <w:autoSpaceDE w:val="0"/>
        <w:autoSpaceDN w:val="0"/>
        <w:adjustRightInd w:val="0"/>
        <w:spacing w:line="360" w:lineRule="auto"/>
        <w:rPr>
          <w:rFonts w:ascii="宋体" w:hAnsi="宋体"/>
          <w:sz w:val="24"/>
        </w:rPr>
      </w:pPr>
      <w:r>
        <w:rPr>
          <w:rFonts w:hint="eastAsia" w:ascii="宋体" w:hAnsi="宋体"/>
          <w:sz w:val="24"/>
          <w:szCs w:val="21"/>
        </w:rPr>
        <w:t>1.4</w:t>
      </w:r>
      <w:r>
        <w:rPr>
          <w:rFonts w:hint="eastAsia" w:hAnsi="宋体"/>
          <w:sz w:val="24"/>
        </w:rPr>
        <w:t xml:space="preserve"> 每轴的电缆长度按国家规定执行，不能出现断头。</w:t>
      </w:r>
      <w:r>
        <w:rPr>
          <w:rFonts w:hint="eastAsia" w:ascii="宋体" w:hAnsi="宋体"/>
          <w:sz w:val="24"/>
        </w:rPr>
        <w:t>所有电缆标称长度与实际长度误差不大于0.5%。</w:t>
      </w:r>
    </w:p>
    <w:p>
      <w:pPr>
        <w:autoSpaceDE w:val="0"/>
        <w:autoSpaceDN w:val="0"/>
        <w:adjustRightInd w:val="0"/>
        <w:spacing w:line="360" w:lineRule="auto"/>
        <w:rPr>
          <w:rFonts w:ascii="宋体" w:hAnsi="宋体"/>
          <w:sz w:val="24"/>
        </w:rPr>
      </w:pPr>
      <w:r>
        <w:rPr>
          <w:rFonts w:hint="eastAsia" w:ascii="宋体" w:hAnsi="宋体"/>
          <w:sz w:val="24"/>
          <w:szCs w:val="21"/>
        </w:rPr>
        <w:t>1.5</w:t>
      </w:r>
      <w:r>
        <w:rPr>
          <w:rFonts w:hint="eastAsia"/>
          <w:sz w:val="24"/>
        </w:rPr>
        <w:t xml:space="preserve"> 保证期投运后一年。</w:t>
      </w:r>
    </w:p>
    <w:p>
      <w:pPr>
        <w:pStyle w:val="3"/>
        <w:spacing w:line="360" w:lineRule="auto"/>
        <w:rPr>
          <w:rFonts w:hAnsi="宋体"/>
          <w:spacing w:val="0"/>
          <w:sz w:val="24"/>
        </w:rPr>
      </w:pPr>
      <w:r>
        <w:rPr>
          <w:rFonts w:hint="eastAsia" w:hAnsi="宋体"/>
          <w:spacing w:val="0"/>
          <w:sz w:val="24"/>
        </w:rPr>
        <w:t>2  入厂验收</w:t>
      </w:r>
    </w:p>
    <w:p>
      <w:pPr>
        <w:autoSpaceDE w:val="0"/>
        <w:autoSpaceDN w:val="0"/>
        <w:adjustRightInd w:val="0"/>
        <w:spacing w:line="360" w:lineRule="auto"/>
        <w:rPr>
          <w:rFonts w:hAnsi="宋体"/>
          <w:sz w:val="24"/>
        </w:rPr>
      </w:pPr>
      <w:r>
        <w:rPr>
          <w:rFonts w:hint="eastAsia" w:ascii="宋体" w:hAnsi="宋体"/>
          <w:sz w:val="24"/>
          <w:szCs w:val="21"/>
        </w:rPr>
        <w:t>2.1</w:t>
      </w:r>
      <w:r>
        <w:rPr>
          <w:rFonts w:hint="eastAsia" w:hAnsi="宋体"/>
          <w:sz w:val="24"/>
        </w:rPr>
        <w:t xml:space="preserve"> 每盘电缆应附有产品质量验收合格证和出厂试验报告。电缆应有出厂质量证明文件，包括：合格证、厂家检测报告。电缆质量证明文件应为原件，如果是复印件，复印件和原件内容一致，并加盖原件存放单位公章，注明原件存放处，并有经办人签字和时间，生产厂家要有企业法人营业执照、生产许可证。</w:t>
      </w:r>
    </w:p>
    <w:p>
      <w:pPr>
        <w:pStyle w:val="3"/>
        <w:spacing w:line="360" w:lineRule="auto"/>
        <w:rPr>
          <w:rFonts w:hAnsi="宋体"/>
          <w:spacing w:val="0"/>
          <w:sz w:val="24"/>
        </w:rPr>
      </w:pPr>
      <w:r>
        <w:rPr>
          <w:rFonts w:hint="eastAsia" w:hAnsi="宋体"/>
          <w:sz w:val="24"/>
        </w:rPr>
        <w:t>2.2</w:t>
      </w:r>
      <w:r>
        <w:rPr>
          <w:rFonts w:hint="eastAsia" w:hAnsi="宋体"/>
          <w:spacing w:val="0"/>
          <w:sz w:val="24"/>
        </w:rPr>
        <w:t xml:space="preserve">  询价方对所供产品可进行产品结构尺寸解剖检查验收。</w:t>
      </w:r>
    </w:p>
    <w:p>
      <w:pPr>
        <w:pStyle w:val="3"/>
        <w:spacing w:line="360" w:lineRule="auto"/>
        <w:rPr>
          <w:rFonts w:hAnsi="宋体"/>
          <w:spacing w:val="0"/>
          <w:sz w:val="24"/>
        </w:rPr>
      </w:pPr>
      <w:r>
        <w:rPr>
          <w:rFonts w:hint="eastAsia" w:hAnsi="宋体"/>
          <w:sz w:val="24"/>
        </w:rPr>
        <w:t xml:space="preserve">2.3 </w:t>
      </w:r>
      <w:r>
        <w:rPr>
          <w:rFonts w:hint="eastAsia" w:hAnsi="宋体"/>
          <w:spacing w:val="0"/>
          <w:sz w:val="24"/>
        </w:rPr>
        <w:t xml:space="preserve"> 按有关规定进行抽样试验，若产品不合格，按照招标文件的商务条款进行处罚。</w:t>
      </w:r>
    </w:p>
    <w:p>
      <w:pPr>
        <w:pStyle w:val="3"/>
        <w:spacing w:line="360" w:lineRule="auto"/>
        <w:rPr>
          <w:rFonts w:hAnsi="宋体"/>
          <w:sz w:val="24"/>
          <w:szCs w:val="24"/>
        </w:rPr>
      </w:pPr>
      <w:r>
        <w:rPr>
          <w:rFonts w:hint="eastAsia" w:hAnsi="宋体"/>
          <w:sz w:val="24"/>
        </w:rPr>
        <w:t xml:space="preserve">2.4 </w:t>
      </w:r>
      <w:r>
        <w:rPr>
          <w:rFonts w:hint="eastAsia" w:hAnsi="宋体"/>
          <w:sz w:val="24"/>
          <w:szCs w:val="24"/>
        </w:rPr>
        <w:t xml:space="preserve"> </w:t>
      </w:r>
      <w:r>
        <w:rPr>
          <w:rFonts w:hint="eastAsia" w:hAnsi="宋体"/>
          <w:spacing w:val="0"/>
          <w:sz w:val="24"/>
        </w:rPr>
        <w:t>验收标准：</w:t>
      </w:r>
    </w:p>
    <w:p>
      <w:pPr>
        <w:spacing w:line="360" w:lineRule="auto"/>
        <w:ind w:left="480" w:hanging="480" w:hangingChars="200"/>
        <w:rPr>
          <w:rFonts w:ascii="宋体" w:hAnsi="宋体"/>
          <w:sz w:val="24"/>
          <w:szCs w:val="24"/>
        </w:rPr>
      </w:pPr>
      <w:r>
        <w:rPr>
          <w:rFonts w:hint="eastAsia" w:ascii="宋体" w:hAnsi="宋体"/>
          <w:sz w:val="24"/>
          <w:szCs w:val="24"/>
        </w:rPr>
        <w:t>（1）</w:t>
      </w:r>
      <w:r>
        <w:rPr>
          <w:rFonts w:hint="eastAsia"/>
          <w:sz w:val="24"/>
          <w:szCs w:val="24"/>
        </w:rPr>
        <w:t>电缆绝缘皮标识清楚，标识间距不大于1米，应标明生产厂名、规格型号、额定电压和“CCC”认证标识；标识要字迹清晰，用浸有汽油或酒精的棉布以1m/s的速度匀速连续擦拭五次，字迹仍清晰可辨；</w:t>
      </w:r>
    </w:p>
    <w:p>
      <w:pPr>
        <w:spacing w:line="360" w:lineRule="auto"/>
        <w:rPr>
          <w:sz w:val="24"/>
          <w:szCs w:val="24"/>
        </w:rPr>
      </w:pPr>
      <w:r>
        <w:rPr>
          <w:rFonts w:hint="eastAsia"/>
          <w:sz w:val="24"/>
          <w:szCs w:val="24"/>
        </w:rPr>
        <w:t>（2）检测电缆线径和绝缘皮厚度（用卡尺或千分尺）；</w:t>
      </w:r>
    </w:p>
    <w:p>
      <w:pPr>
        <w:spacing w:line="360" w:lineRule="auto"/>
        <w:ind w:left="480" w:hanging="480" w:hangingChars="200"/>
        <w:rPr>
          <w:sz w:val="24"/>
          <w:szCs w:val="24"/>
        </w:rPr>
      </w:pPr>
      <w:r>
        <w:rPr>
          <w:rFonts w:hint="eastAsia"/>
          <w:sz w:val="24"/>
          <w:szCs w:val="24"/>
        </w:rPr>
        <w:t>（3）测量线皮绝缘电阻值，将电线浸在水中24小时，用750V绝缘摇表摇测，阻值大于</w:t>
      </w:r>
      <w:r>
        <w:rPr>
          <w:rFonts w:hint="eastAsia" w:asciiTheme="majorEastAsia" w:hAnsiTheme="majorEastAsia" w:eastAsiaTheme="majorEastAsia" w:cstheme="majorEastAsia"/>
          <w:sz w:val="24"/>
          <w:szCs w:val="24"/>
        </w:rPr>
        <w:t>0.5MΩ</w:t>
      </w:r>
      <w:r>
        <w:rPr>
          <w:rFonts w:hint="eastAsia"/>
          <w:sz w:val="24"/>
          <w:szCs w:val="24"/>
        </w:rPr>
        <w:t>；</w:t>
      </w:r>
    </w:p>
    <w:p>
      <w:pPr>
        <w:spacing w:line="360" w:lineRule="auto"/>
        <w:rPr>
          <w:sz w:val="24"/>
          <w:szCs w:val="24"/>
        </w:rPr>
      </w:pPr>
      <w:r>
        <w:rPr>
          <w:rFonts w:hint="eastAsia"/>
          <w:sz w:val="24"/>
          <w:szCs w:val="24"/>
        </w:rPr>
        <w:t>（4）线芯不能松动；</w:t>
      </w:r>
    </w:p>
    <w:p>
      <w:pPr>
        <w:spacing w:line="360" w:lineRule="auto"/>
        <w:ind w:left="480" w:hanging="480" w:hangingChars="200"/>
        <w:rPr>
          <w:sz w:val="24"/>
          <w:szCs w:val="24"/>
        </w:rPr>
      </w:pPr>
      <w:r>
        <w:rPr>
          <w:rFonts w:hint="eastAsia"/>
          <w:sz w:val="24"/>
          <w:szCs w:val="24"/>
        </w:rPr>
        <w:t>（5）检测电缆长度，将电缆展开拉直用皮尺量，将实际长度和标识长度对比；</w:t>
      </w:r>
    </w:p>
    <w:p>
      <w:pPr>
        <w:spacing w:line="360" w:lineRule="auto"/>
        <w:ind w:left="480" w:hanging="480" w:hangingChars="200"/>
        <w:rPr>
          <w:sz w:val="24"/>
          <w:szCs w:val="24"/>
        </w:rPr>
      </w:pPr>
      <w:r>
        <w:rPr>
          <w:rFonts w:hint="eastAsia"/>
          <w:sz w:val="24"/>
          <w:szCs w:val="24"/>
        </w:rPr>
        <w:t>（6）称重，抽检整盘线的重量；</w:t>
      </w:r>
    </w:p>
    <w:p>
      <w:pPr>
        <w:pStyle w:val="3"/>
        <w:spacing w:line="360" w:lineRule="auto"/>
        <w:rPr>
          <w:rFonts w:hAnsi="宋体"/>
          <w:spacing w:val="0"/>
          <w:sz w:val="24"/>
        </w:rPr>
      </w:pPr>
      <w:r>
        <w:rPr>
          <w:rFonts w:hint="eastAsia" w:ascii="Calibri" w:hAnsi="Calibri"/>
          <w:spacing w:val="0"/>
          <w:sz w:val="24"/>
          <w:szCs w:val="24"/>
        </w:rPr>
        <w:t>（7）报价方所供电缆如不能满足该验收标准的验收要求，询价方对报价方所供的电缆款项全部不予支付。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92F6B"/>
    <w:rsid w:val="001C234E"/>
    <w:rsid w:val="00336BE6"/>
    <w:rsid w:val="00340FDE"/>
    <w:rsid w:val="00365739"/>
    <w:rsid w:val="003A1EAE"/>
    <w:rsid w:val="003A320C"/>
    <w:rsid w:val="003A36BA"/>
    <w:rsid w:val="0041784D"/>
    <w:rsid w:val="00462804"/>
    <w:rsid w:val="00465279"/>
    <w:rsid w:val="00473C16"/>
    <w:rsid w:val="004762AD"/>
    <w:rsid w:val="004C4363"/>
    <w:rsid w:val="005462F7"/>
    <w:rsid w:val="005A2892"/>
    <w:rsid w:val="005B6375"/>
    <w:rsid w:val="006729B1"/>
    <w:rsid w:val="00692D58"/>
    <w:rsid w:val="00710230"/>
    <w:rsid w:val="00733294"/>
    <w:rsid w:val="0074346E"/>
    <w:rsid w:val="00775DC9"/>
    <w:rsid w:val="0079271D"/>
    <w:rsid w:val="00801DD6"/>
    <w:rsid w:val="00847D4F"/>
    <w:rsid w:val="008A2F54"/>
    <w:rsid w:val="008F665F"/>
    <w:rsid w:val="00920AF7"/>
    <w:rsid w:val="00987243"/>
    <w:rsid w:val="009B049E"/>
    <w:rsid w:val="009C1CD3"/>
    <w:rsid w:val="00A33903"/>
    <w:rsid w:val="00A82314"/>
    <w:rsid w:val="00A952A3"/>
    <w:rsid w:val="00BD1AE1"/>
    <w:rsid w:val="00C2331F"/>
    <w:rsid w:val="00C727D6"/>
    <w:rsid w:val="00CB4F9B"/>
    <w:rsid w:val="00CF35C7"/>
    <w:rsid w:val="00CF7DE1"/>
    <w:rsid w:val="00D2729A"/>
    <w:rsid w:val="00D55961"/>
    <w:rsid w:val="00E01989"/>
    <w:rsid w:val="00E10656"/>
    <w:rsid w:val="00FA185D"/>
    <w:rsid w:val="00FD0A3E"/>
    <w:rsid w:val="010422D0"/>
    <w:rsid w:val="036B7BE5"/>
    <w:rsid w:val="038070AD"/>
    <w:rsid w:val="06A42D8F"/>
    <w:rsid w:val="073711BE"/>
    <w:rsid w:val="075858D6"/>
    <w:rsid w:val="0864254B"/>
    <w:rsid w:val="08B0488B"/>
    <w:rsid w:val="08BE1006"/>
    <w:rsid w:val="08C901DC"/>
    <w:rsid w:val="0D373062"/>
    <w:rsid w:val="0E4E5855"/>
    <w:rsid w:val="0F61721D"/>
    <w:rsid w:val="100517A8"/>
    <w:rsid w:val="11CF5B4B"/>
    <w:rsid w:val="11DC3309"/>
    <w:rsid w:val="1373276F"/>
    <w:rsid w:val="14491FD2"/>
    <w:rsid w:val="1516149B"/>
    <w:rsid w:val="15B05C8B"/>
    <w:rsid w:val="164909B0"/>
    <w:rsid w:val="1730798E"/>
    <w:rsid w:val="1B5A5D67"/>
    <w:rsid w:val="1B8D3AF3"/>
    <w:rsid w:val="1D2F7A43"/>
    <w:rsid w:val="1EDB65D9"/>
    <w:rsid w:val="1FA05B82"/>
    <w:rsid w:val="1FA54EB0"/>
    <w:rsid w:val="20804555"/>
    <w:rsid w:val="212D665D"/>
    <w:rsid w:val="21367660"/>
    <w:rsid w:val="219D797B"/>
    <w:rsid w:val="2369068A"/>
    <w:rsid w:val="23D578E1"/>
    <w:rsid w:val="28236B03"/>
    <w:rsid w:val="2A1A3ED0"/>
    <w:rsid w:val="2C0F69BE"/>
    <w:rsid w:val="2D2042D8"/>
    <w:rsid w:val="2D4B3307"/>
    <w:rsid w:val="2DA51BB8"/>
    <w:rsid w:val="2DBF106C"/>
    <w:rsid w:val="2E38304D"/>
    <w:rsid w:val="3042311A"/>
    <w:rsid w:val="30D72A47"/>
    <w:rsid w:val="31BD21CA"/>
    <w:rsid w:val="32F40D70"/>
    <w:rsid w:val="342C5A86"/>
    <w:rsid w:val="349D13AB"/>
    <w:rsid w:val="34DC2F9A"/>
    <w:rsid w:val="358558AD"/>
    <w:rsid w:val="384A148D"/>
    <w:rsid w:val="38A1659F"/>
    <w:rsid w:val="3A66254E"/>
    <w:rsid w:val="3B392073"/>
    <w:rsid w:val="3BE92332"/>
    <w:rsid w:val="3C9F3FFB"/>
    <w:rsid w:val="42204986"/>
    <w:rsid w:val="423E59B2"/>
    <w:rsid w:val="42D636AF"/>
    <w:rsid w:val="42FF0EEB"/>
    <w:rsid w:val="43E560A5"/>
    <w:rsid w:val="44275845"/>
    <w:rsid w:val="447E143B"/>
    <w:rsid w:val="44B01A37"/>
    <w:rsid w:val="45FB291F"/>
    <w:rsid w:val="46103AE7"/>
    <w:rsid w:val="46EA5065"/>
    <w:rsid w:val="474860CF"/>
    <w:rsid w:val="476A1C87"/>
    <w:rsid w:val="47CC5D52"/>
    <w:rsid w:val="496358EB"/>
    <w:rsid w:val="4A3C7CC7"/>
    <w:rsid w:val="4A8F6EBA"/>
    <w:rsid w:val="4C4B6C65"/>
    <w:rsid w:val="4EA95A84"/>
    <w:rsid w:val="51DC313B"/>
    <w:rsid w:val="51E93EC7"/>
    <w:rsid w:val="52AE2A45"/>
    <w:rsid w:val="52DE221E"/>
    <w:rsid w:val="530E6454"/>
    <w:rsid w:val="54B47D7A"/>
    <w:rsid w:val="568A0462"/>
    <w:rsid w:val="574D000B"/>
    <w:rsid w:val="575E1B9A"/>
    <w:rsid w:val="57DD7371"/>
    <w:rsid w:val="58FA2284"/>
    <w:rsid w:val="5900572F"/>
    <w:rsid w:val="59443F5F"/>
    <w:rsid w:val="5A0B408F"/>
    <w:rsid w:val="5C03031D"/>
    <w:rsid w:val="5C306845"/>
    <w:rsid w:val="603C4FA6"/>
    <w:rsid w:val="637750E2"/>
    <w:rsid w:val="63BC2854"/>
    <w:rsid w:val="63F87BBC"/>
    <w:rsid w:val="649636EF"/>
    <w:rsid w:val="65E137E8"/>
    <w:rsid w:val="668E48BE"/>
    <w:rsid w:val="685D0AEF"/>
    <w:rsid w:val="6882354C"/>
    <w:rsid w:val="691E139D"/>
    <w:rsid w:val="6A064E83"/>
    <w:rsid w:val="6B0C3BFF"/>
    <w:rsid w:val="6BAB1660"/>
    <w:rsid w:val="6E112D56"/>
    <w:rsid w:val="6EB76939"/>
    <w:rsid w:val="6EC72C1B"/>
    <w:rsid w:val="70ED2037"/>
    <w:rsid w:val="719C02F6"/>
    <w:rsid w:val="722143AC"/>
    <w:rsid w:val="746808AC"/>
    <w:rsid w:val="747527E1"/>
    <w:rsid w:val="748326E4"/>
    <w:rsid w:val="750E7C8C"/>
    <w:rsid w:val="754D3EF1"/>
    <w:rsid w:val="762626FB"/>
    <w:rsid w:val="7790295C"/>
    <w:rsid w:val="788870A4"/>
    <w:rsid w:val="7E76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pacing w:val="-20"/>
      <w:szCs w:val="21"/>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2"/>
    <w:next w:val="1"/>
    <w:qFormat/>
    <w:uiPriority w:val="39"/>
    <w:pPr>
      <w:keepNext w:val="0"/>
      <w:keepLines w:val="0"/>
      <w:spacing w:before="120" w:after="120" w:line="240" w:lineRule="auto"/>
      <w:jc w:val="left"/>
      <w:outlineLvl w:val="9"/>
    </w:pPr>
    <w:rPr>
      <w:rFonts w:cs="Calibri"/>
      <w:bCs/>
      <w:caps/>
      <w:kern w:val="2"/>
      <w:sz w:val="2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link w:val="14"/>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character" w:styleId="10">
    <w:name w:val="Hyperlink"/>
    <w:basedOn w:val="9"/>
    <w:unhideWhenUsed/>
    <w:qFormat/>
    <w:uiPriority w:val="99"/>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link w:val="1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字符"/>
    <w:basedOn w:val="9"/>
    <w:link w:val="8"/>
    <w:qFormat/>
    <w:uiPriority w:val="10"/>
    <w:rPr>
      <w:rFonts w:ascii="Arial" w:hAnsi="Arial" w:eastAsia="宋体" w:cs="Times New Roman"/>
      <w:b/>
      <w:kern w:val="0"/>
      <w:sz w:val="32"/>
      <w:szCs w:val="20"/>
      <w:lang w:val="zh-CN" w:eastAsia="zh-CN"/>
    </w:rPr>
  </w:style>
  <w:style w:type="character" w:customStyle="1" w:styleId="15">
    <w:name w:val="无间隔 字符"/>
    <w:link w:val="13"/>
    <w:qFormat/>
    <w:uiPriority w:val="1"/>
    <w:rPr>
      <w:rFonts w:ascii="Times New Roman" w:hAnsi="Times New Roman" w:eastAsia="宋体" w:cs="Times New Roman"/>
      <w:szCs w:val="24"/>
    </w:rPr>
  </w:style>
  <w:style w:type="character" w:customStyle="1" w:styleId="16">
    <w:name w:val="页眉 字符"/>
    <w:basedOn w:val="9"/>
    <w:link w:val="5"/>
    <w:qFormat/>
    <w:uiPriority w:val="99"/>
    <w:rPr>
      <w:rFonts w:ascii="Calibri" w:hAnsi="Calibri" w:eastAsia="宋体" w:cs="黑体"/>
      <w:sz w:val="18"/>
      <w:szCs w:val="18"/>
    </w:rPr>
  </w:style>
  <w:style w:type="character" w:customStyle="1" w:styleId="17">
    <w:name w:val="页脚 字符"/>
    <w:basedOn w:val="9"/>
    <w:link w:val="4"/>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567</Words>
  <Characters>3238</Characters>
  <Lines>26</Lines>
  <Paragraphs>7</Paragraphs>
  <TotalTime>164</TotalTime>
  <ScaleCrop>false</ScaleCrop>
  <LinksUpToDate>false</LinksUpToDate>
  <CharactersWithSpaces>3798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李明明/BFGS/CHNG</cp:lastModifiedBy>
  <cp:lastPrinted>2021-03-11T00:16:00Z</cp:lastPrinted>
  <dcterms:modified xsi:type="dcterms:W3CDTF">2021-07-16T02:30:57Z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