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snapToGrid/>
        <w:spacing w:line="240" w:lineRule="auto"/>
        <w:ind w:firstLine="0" w:firstLineChars="0"/>
        <w:jc w:val="left"/>
      </w:pPr>
    </w:p>
    <w:p>
      <w:pPr>
        <w:ind w:firstLine="0" w:firstLineChars="0"/>
      </w:pPr>
    </w:p>
    <w:p>
      <w:pPr>
        <w:spacing w:line="360" w:lineRule="auto"/>
        <w:ind w:firstLine="0" w:firstLineChars="0"/>
        <w:jc w:val="center"/>
        <w:rPr>
          <w:rFonts w:eastAsia="黑体"/>
          <w:sz w:val="36"/>
          <w:szCs w:val="22"/>
        </w:rPr>
      </w:pPr>
      <w:r>
        <w:rPr>
          <w:rFonts w:hint="eastAsia" w:ascii="Times New Roman" w:hAnsi="Times New Roman" w:eastAsia="黑体" w:cs="Times New Roman"/>
          <w:sz w:val="36"/>
          <w:szCs w:val="22"/>
          <w:lang w:eastAsia="zh-CN"/>
        </w:rPr>
        <w:t>华能渑池热电有限责任公</w:t>
      </w:r>
      <w:r>
        <w:rPr>
          <w:rFonts w:hint="eastAsia" w:ascii="Times New Roman" w:hAnsi="Times New Roman" w:eastAsia="黑体" w:cs="Times New Roman"/>
          <w:sz w:val="36"/>
          <w:szCs w:val="22"/>
          <w:highlight w:val="none"/>
          <w:lang w:eastAsia="zh-CN"/>
        </w:rPr>
        <w:t>司</w:t>
      </w:r>
      <w:r>
        <w:rPr>
          <w:rFonts w:hint="eastAsia" w:eastAsia="黑体" w:cs="Times New Roman"/>
          <w:sz w:val="36"/>
          <w:szCs w:val="22"/>
          <w:highlight w:val="none"/>
          <w:lang w:val="en-US" w:eastAsia="zh-CN"/>
        </w:rPr>
        <w:t>电缆</w:t>
      </w:r>
      <w:r>
        <w:rPr>
          <w:rFonts w:hint="eastAsia" w:ascii="Times New Roman" w:hAnsi="Times New Roman" w:eastAsia="黑体" w:cs="Times New Roman"/>
          <w:sz w:val="36"/>
          <w:szCs w:val="22"/>
          <w:lang w:eastAsia="zh-CN"/>
        </w:rPr>
        <w:t>最低价法</w:t>
      </w:r>
      <w:r>
        <w:rPr>
          <w:rFonts w:hint="eastAsia" w:ascii="Times New Roman" w:hAnsi="Times New Roman" w:eastAsia="黑体" w:cs="Times New Roman"/>
          <w:sz w:val="36"/>
          <w:szCs w:val="22"/>
        </w:rPr>
        <w:t>询价</w:t>
      </w:r>
      <w:r>
        <w:rPr>
          <w:rFonts w:ascii="Times New Roman" w:hAnsi="Times New Roman" w:eastAsia="黑体" w:cs="Times New Roman"/>
          <w:sz w:val="36"/>
          <w:szCs w:val="22"/>
        </w:rPr>
        <w:t>公</w:t>
      </w:r>
      <w:r>
        <w:rPr>
          <w:rFonts w:eastAsia="黑体"/>
          <w:sz w:val="36"/>
          <w:szCs w:val="22"/>
        </w:rPr>
        <w:t>告</w:t>
      </w:r>
    </w:p>
    <w:p>
      <w:pPr>
        <w:spacing w:before="120"/>
        <w:ind w:firstLine="0" w:firstLineChars="0"/>
      </w:pPr>
    </w:p>
    <w:p>
      <w:pPr>
        <w:pStyle w:val="4"/>
        <w:spacing w:before="156"/>
      </w:pPr>
      <w:bookmarkStart w:id="0" w:name="_Toc352691465"/>
      <w:bookmarkEnd w:id="0"/>
      <w:bookmarkStart w:id="1" w:name="_Toc18885"/>
      <w:bookmarkEnd w:id="1"/>
      <w:bookmarkStart w:id="2" w:name="_Toc369531507"/>
      <w:bookmarkEnd w:id="2"/>
      <w:bookmarkStart w:id="3" w:name="_Toc384308199"/>
      <w:bookmarkEnd w:id="3"/>
      <w:bookmarkStart w:id="4" w:name="_Toc361508574"/>
      <w:bookmarkEnd w:id="4"/>
      <w:bookmarkStart w:id="5" w:name="_Toc384308200"/>
      <w:bookmarkStart w:id="6" w:name="_Toc361508575"/>
      <w:r>
        <w:rPr>
          <w:rFonts w:hint="eastAsia"/>
        </w:rPr>
        <w:t>一、</w:t>
      </w:r>
      <w:r>
        <w:t>项目介绍</w:t>
      </w:r>
    </w:p>
    <w:p>
      <w:pPr>
        <w:ind w:firstLine="480"/>
        <w:rPr>
          <w:rFonts w:ascii="宋体" w:hAnsi="宋体" w:cs="宋体"/>
          <w:szCs w:val="24"/>
        </w:rPr>
      </w:pPr>
      <w:r>
        <w:rPr>
          <w:rFonts w:hint="eastAsia" w:ascii="宋体" w:hAnsi="宋体" w:cs="宋体"/>
          <w:szCs w:val="24"/>
        </w:rPr>
        <w:t>1.</w:t>
      </w:r>
      <w:r>
        <w:rPr>
          <w:rFonts w:ascii="宋体" w:hAnsi="宋体" w:cs="宋体"/>
          <w:szCs w:val="24"/>
        </w:rPr>
        <w:t xml:space="preserve"> </w:t>
      </w:r>
      <w:r>
        <w:rPr>
          <w:rFonts w:hint="eastAsia" w:ascii="宋体" w:hAnsi="宋体" w:cs="宋体"/>
          <w:szCs w:val="24"/>
        </w:rPr>
        <w:t>项目概况：</w:t>
      </w:r>
      <w:r>
        <w:rPr>
          <w:rFonts w:hint="eastAsia"/>
          <w:szCs w:val="22"/>
          <w:lang w:eastAsia="zh-CN"/>
        </w:rPr>
        <w:t>华能渑池热电有限责任公司厂址位于河南省三门峡市渑池县，建设规模为2×350MW热电联产机组</w:t>
      </w:r>
      <w:r>
        <w:rPr>
          <w:rFonts w:hint="eastAsia" w:ascii="宋体" w:hAnsi="宋体" w:cs="宋体"/>
          <w:szCs w:val="24"/>
        </w:rPr>
        <w:t>。</w:t>
      </w:r>
    </w:p>
    <w:p>
      <w:pPr>
        <w:ind w:firstLine="480"/>
        <w:rPr>
          <w:rFonts w:hint="eastAsia"/>
          <w:color w:val="auto"/>
          <w:szCs w:val="22"/>
          <w:lang w:eastAsia="zh-CN"/>
        </w:rPr>
      </w:pPr>
      <w:r>
        <w:rPr>
          <w:rFonts w:hint="eastAsia" w:ascii="宋体" w:hAnsi="宋体" w:cs="宋体"/>
          <w:szCs w:val="24"/>
        </w:rPr>
        <w:t>2.</w:t>
      </w:r>
      <w:r>
        <w:rPr>
          <w:rFonts w:ascii="宋体" w:hAnsi="宋体" w:cs="宋体"/>
          <w:szCs w:val="24"/>
        </w:rPr>
        <w:t xml:space="preserve"> </w:t>
      </w:r>
      <w:r>
        <w:rPr>
          <w:rFonts w:hint="eastAsia" w:ascii="宋体" w:hAnsi="宋体" w:cs="宋体"/>
          <w:szCs w:val="24"/>
        </w:rPr>
        <w:t>交货地点</w:t>
      </w:r>
      <w:r>
        <w:rPr>
          <w:rFonts w:hint="eastAsia" w:ascii="宋体" w:hAnsi="宋体" w:cs="宋体"/>
          <w:szCs w:val="24"/>
          <w:u w:val="none"/>
        </w:rPr>
        <w:t>：河南省</w:t>
      </w:r>
      <w:r>
        <w:rPr>
          <w:rFonts w:hint="eastAsia" w:ascii="宋体" w:hAnsi="宋体" w:cs="宋体"/>
          <w:szCs w:val="24"/>
          <w:u w:val="none"/>
          <w:lang w:val="en-US" w:eastAsia="zh-CN"/>
        </w:rPr>
        <w:t xml:space="preserve"> </w:t>
      </w:r>
      <w:r>
        <w:rPr>
          <w:rFonts w:hint="eastAsia" w:ascii="宋体" w:hAnsi="宋体" w:cs="宋体"/>
          <w:szCs w:val="24"/>
          <w:u w:val="none"/>
        </w:rPr>
        <w:t>三门峡市</w:t>
      </w:r>
      <w:r>
        <w:rPr>
          <w:rFonts w:hint="eastAsia" w:ascii="宋体" w:hAnsi="宋体" w:cs="宋体"/>
          <w:szCs w:val="24"/>
          <w:u w:val="none"/>
          <w:lang w:val="en-US" w:eastAsia="zh-CN"/>
        </w:rPr>
        <w:t xml:space="preserve"> </w:t>
      </w:r>
      <w:r>
        <w:rPr>
          <w:rFonts w:hint="eastAsia" w:ascii="宋体" w:hAnsi="宋体" w:cs="宋体"/>
          <w:szCs w:val="24"/>
          <w:u w:val="none"/>
        </w:rPr>
        <w:t>渑池县</w:t>
      </w:r>
      <w:r>
        <w:rPr>
          <w:rFonts w:hint="eastAsia" w:ascii="宋体" w:hAnsi="宋体" w:cs="宋体"/>
          <w:szCs w:val="24"/>
          <w:u w:val="none"/>
          <w:lang w:val="en-US" w:eastAsia="zh-CN"/>
        </w:rPr>
        <w:t xml:space="preserve"> </w:t>
      </w:r>
      <w:r>
        <w:rPr>
          <w:rFonts w:hint="eastAsia" w:ascii="宋体" w:hAnsi="宋体" w:cs="宋体"/>
          <w:szCs w:val="24"/>
          <w:u w:val="none"/>
        </w:rPr>
        <w:t>会盟路东段</w:t>
      </w:r>
      <w:r>
        <w:rPr>
          <w:rFonts w:hint="eastAsia" w:ascii="宋体" w:hAnsi="宋体" w:cs="宋体"/>
          <w:szCs w:val="24"/>
          <w:u w:val="none"/>
          <w:lang w:val="en-US" w:eastAsia="zh-CN"/>
        </w:rPr>
        <w:t xml:space="preserve"> </w:t>
      </w:r>
      <w:r>
        <w:rPr>
          <w:rFonts w:hint="eastAsia"/>
          <w:color w:val="auto"/>
          <w:szCs w:val="22"/>
          <w:lang w:val="en-US" w:eastAsia="zh-CN"/>
        </w:rPr>
        <w:t>华能渑池热电有限责任公司物资仓库</w:t>
      </w:r>
      <w:r>
        <w:rPr>
          <w:rFonts w:hint="eastAsia"/>
          <w:color w:val="auto"/>
          <w:szCs w:val="22"/>
          <w:lang w:eastAsia="zh-CN"/>
        </w:rPr>
        <w:t>。时间为工作日上午9:00-11:00，下午1:30-4:00，环保期间根据环保局要求使用国5及以上标准车辆供货。</w:t>
      </w:r>
    </w:p>
    <w:p>
      <w:pPr>
        <w:ind w:firstLine="480"/>
        <w:rPr>
          <w:rFonts w:hint="eastAsia" w:ascii="宋体" w:hAnsi="宋体" w:eastAsia="宋体" w:cs="宋体"/>
          <w:szCs w:val="24"/>
          <w:lang w:eastAsia="zh-CN"/>
        </w:rPr>
      </w:pPr>
      <w:r>
        <w:rPr>
          <w:rFonts w:hint="eastAsia" w:ascii="宋体" w:hAnsi="宋体" w:cs="宋体"/>
          <w:szCs w:val="24"/>
        </w:rPr>
        <w:t>3.</w:t>
      </w:r>
      <w:r>
        <w:rPr>
          <w:rFonts w:ascii="宋体" w:hAnsi="宋体" w:cs="宋体"/>
          <w:szCs w:val="24"/>
        </w:rPr>
        <w:t xml:space="preserve"> </w:t>
      </w:r>
      <w:r>
        <w:rPr>
          <w:rFonts w:hint="eastAsia" w:ascii="宋体" w:hAnsi="宋体" w:cs="宋体"/>
          <w:szCs w:val="24"/>
        </w:rPr>
        <w:t>采购内容：</w:t>
      </w:r>
      <w:r>
        <w:rPr>
          <w:rFonts w:hint="eastAsia" w:ascii="宋体" w:hAnsi="宋体" w:cs="宋体"/>
          <w:szCs w:val="24"/>
          <w:lang w:eastAsia="zh-CN"/>
        </w:rPr>
        <w:t>见采购需求信息</w:t>
      </w:r>
    </w:p>
    <w:p>
      <w:pPr>
        <w:ind w:firstLine="480"/>
        <w:rPr>
          <w:rFonts w:ascii="宋体" w:hAnsi="宋体" w:cs="宋体"/>
          <w:szCs w:val="24"/>
        </w:rPr>
      </w:pPr>
      <w:r>
        <w:rPr>
          <w:rFonts w:hint="eastAsia" w:ascii="宋体" w:hAnsi="宋体" w:cs="宋体"/>
          <w:szCs w:val="24"/>
        </w:rPr>
        <w:t>4.</w:t>
      </w:r>
      <w:r>
        <w:rPr>
          <w:rFonts w:ascii="宋体" w:hAnsi="宋体" w:cs="宋体"/>
          <w:szCs w:val="24"/>
        </w:rPr>
        <w:t xml:space="preserve"> </w:t>
      </w:r>
      <w:r>
        <w:rPr>
          <w:rFonts w:hint="eastAsia" w:ascii="宋体" w:hAnsi="宋体" w:cs="宋体"/>
          <w:szCs w:val="24"/>
        </w:rPr>
        <w:t>交货期</w:t>
      </w:r>
      <w:r>
        <w:rPr>
          <w:rFonts w:hint="eastAsia" w:ascii="宋体" w:hAnsi="宋体" w:cs="宋体"/>
          <w:szCs w:val="24"/>
          <w:highlight w:val="none"/>
        </w:rPr>
        <w:t>：</w:t>
      </w:r>
      <w:r>
        <w:rPr>
          <w:rFonts w:hint="eastAsia" w:ascii="宋体" w:hAnsi="宋体" w:cs="宋体"/>
          <w:szCs w:val="24"/>
          <w:highlight w:val="none"/>
          <w:u w:val="single"/>
          <w:lang w:eastAsia="zh-CN"/>
        </w:rPr>
        <w:t>见电子商务平台</w:t>
      </w:r>
      <w:r>
        <w:rPr>
          <w:rFonts w:hint="eastAsia" w:ascii="宋体" w:hAnsi="宋体" w:cs="宋体"/>
          <w:szCs w:val="24"/>
          <w:highlight w:val="none"/>
          <w:u w:val="single"/>
          <w:lang w:val="en-US" w:eastAsia="zh-CN"/>
        </w:rPr>
        <w:t>-</w:t>
      </w:r>
      <w:r>
        <w:rPr>
          <w:rFonts w:hint="eastAsia" w:ascii="宋体" w:hAnsi="宋体" w:cs="宋体"/>
          <w:szCs w:val="24"/>
          <w:highlight w:val="none"/>
          <w:u w:val="single"/>
          <w:lang w:eastAsia="zh-CN"/>
        </w:rPr>
        <w:t>公开询价公告</w:t>
      </w:r>
      <w:r>
        <w:rPr>
          <w:rFonts w:hint="eastAsia" w:ascii="宋体" w:hAnsi="宋体" w:cs="宋体"/>
          <w:szCs w:val="24"/>
          <w:highlight w:val="none"/>
          <w:u w:val="single"/>
          <w:lang w:val="en-US" w:eastAsia="zh-CN"/>
        </w:rPr>
        <w:t>-</w:t>
      </w:r>
      <w:r>
        <w:rPr>
          <w:rFonts w:hint="eastAsia" w:ascii="宋体" w:hAnsi="宋体" w:cs="宋体"/>
          <w:szCs w:val="24"/>
          <w:highlight w:val="none"/>
          <w:u w:val="single"/>
          <w:lang w:eastAsia="zh-CN"/>
        </w:rPr>
        <w:t>产品信息</w:t>
      </w:r>
      <w:r>
        <w:rPr>
          <w:rFonts w:hint="eastAsia" w:ascii="宋体" w:hAnsi="宋体" w:cs="宋体"/>
          <w:szCs w:val="24"/>
          <w:highlight w:val="none"/>
        </w:rPr>
        <w:t>。</w:t>
      </w:r>
    </w:p>
    <w:p>
      <w:pPr>
        <w:numPr>
          <w:ilvl w:val="0"/>
          <w:numId w:val="0"/>
        </w:numPr>
        <w:ind w:firstLine="480" w:firstLineChars="200"/>
        <w:rPr>
          <w:rFonts w:hint="eastAsia"/>
          <w:color w:val="auto"/>
          <w:szCs w:val="22"/>
          <w:lang w:val="en-US" w:eastAsia="zh-CN"/>
        </w:rPr>
      </w:pPr>
      <w:r>
        <w:rPr>
          <w:rFonts w:hint="eastAsia" w:ascii="宋体" w:hAnsi="宋体" w:cs="宋体"/>
          <w:szCs w:val="24"/>
        </w:rPr>
        <w:t>5</w:t>
      </w:r>
      <w:r>
        <w:rPr>
          <w:rFonts w:ascii="宋体" w:hAnsi="宋体" w:cs="宋体"/>
          <w:szCs w:val="24"/>
        </w:rPr>
        <w:t xml:space="preserve">. </w:t>
      </w:r>
      <w:r>
        <w:rPr>
          <w:rFonts w:hint="eastAsia" w:ascii="宋体" w:hAnsi="宋体" w:cs="宋体"/>
          <w:szCs w:val="24"/>
        </w:rPr>
        <w:t>其他需要说明内容：</w:t>
      </w:r>
      <w:r>
        <w:rPr>
          <w:rFonts w:hint="eastAsia"/>
          <w:color w:val="auto"/>
          <w:szCs w:val="22"/>
          <w:lang w:val="en-US" w:eastAsia="zh-CN"/>
        </w:rPr>
        <w:t>供货时需提供合同内所有产品相关的合格证、材质证明、质量证明、说明书等资料；是进口产品的供应商必须提供进口产品的原产地证明，还应提供海关报关单、商检证明等作为付款单据。(属于进口品牌的，如属原装进口备件，需要提供该备件整件进口报关单；如属于进口品牌国内组装生产的，则需要提供原生产厂家授权生产证明，同时提供组件进口报关单，非进口材料提供材质合格证明。)国产备件及材料，需提供厂家产品合格证,如出现提供假冒伪劣产品或因质量问题给我方造成损失的，应承担全部赔偿责任。所供产品保证质量及现场使用要求，备件质保期未作特殊说明要求12个月。进口产品需在供货时提供厂家授权书，或与被授权厂家签订的购货合同和被授权厂家的授权书等证明文件。所供货物的质量及货期不得受疫情影响，请各供应商知晓并注意，谨慎报价。</w:t>
      </w:r>
    </w:p>
    <w:p>
      <w:pPr>
        <w:pStyle w:val="4"/>
        <w:spacing w:before="156"/>
      </w:pPr>
      <w:r>
        <w:rPr>
          <w:rFonts w:hint="eastAsia"/>
        </w:rPr>
        <w:t>二、报价须知</w:t>
      </w:r>
    </w:p>
    <w:p>
      <w:pPr>
        <w:ind w:firstLine="480"/>
      </w:pPr>
      <w:r>
        <w:t xml:space="preserve">1. </w:t>
      </w:r>
      <w:r>
        <w:rPr>
          <w:rFonts w:hint="eastAsia"/>
        </w:rPr>
        <w:t>供应商资格要求：</w:t>
      </w:r>
    </w:p>
    <w:p>
      <w:pPr>
        <w:ind w:firstLine="480"/>
        <w:jc w:val="left"/>
      </w:pPr>
      <w:r>
        <w:rPr>
          <w:rFonts w:hint="eastAsia"/>
        </w:rPr>
        <w:t>（1）供应商须为华能集团供应商库内合格供应商，且未处于暂停参加采购活动的处罚期限内，满足供应商参与业务的权限。</w:t>
      </w:r>
    </w:p>
    <w:p>
      <w:pPr>
        <w:ind w:firstLine="480"/>
        <w:jc w:val="left"/>
      </w:pPr>
      <w:r>
        <w:rPr>
          <w:rFonts w:hint="eastAsia"/>
        </w:rPr>
        <w:t>（</w:t>
      </w:r>
      <w:r>
        <w:t>2</w:t>
      </w:r>
      <w:r>
        <w:rPr>
          <w:rFonts w:hint="eastAsia"/>
        </w:rPr>
        <w:t>）近三年没有严重违约，没有经鉴定部门认定的因其产品/服务/工程引起的重大及以上质量事故或重大及以上安全事故；</w:t>
      </w:r>
    </w:p>
    <w:p>
      <w:pPr>
        <w:ind w:firstLine="480"/>
        <w:jc w:val="left"/>
      </w:pPr>
      <w:r>
        <w:rPr>
          <w:rFonts w:hint="eastAsia"/>
        </w:rPr>
        <w:t>（</w:t>
      </w:r>
      <w:r>
        <w:t>3</w:t>
      </w:r>
      <w:r>
        <w:rPr>
          <w:rFonts w:hint="eastAsia"/>
        </w:rPr>
        <w:t>）未被市场监督管理部门在全国企业信用信息公示系统中列入经营异常名录或者严重违法企业名单；</w:t>
      </w:r>
    </w:p>
    <w:p>
      <w:pPr>
        <w:ind w:firstLine="480"/>
        <w:jc w:val="left"/>
      </w:pPr>
      <w:r>
        <w:rPr>
          <w:rFonts w:hint="eastAsia"/>
        </w:rPr>
        <w:t>（</w:t>
      </w:r>
      <w:r>
        <w:t>4</w:t>
      </w:r>
      <w:r>
        <w:rPr>
          <w:rFonts w:hint="eastAsia"/>
        </w:rPr>
        <w:t>）未被最高人民法院在“信用中国”网站（www.creditchina.gov.cn）或各级信用信息共享平台中列入失信被执行人名单；</w:t>
      </w:r>
    </w:p>
    <w:p>
      <w:pPr>
        <w:ind w:firstLine="480"/>
        <w:jc w:val="left"/>
      </w:pPr>
      <w:r>
        <w:rPr>
          <w:rFonts w:hint="eastAsia"/>
        </w:rPr>
        <w:t>（</w:t>
      </w:r>
      <w:r>
        <w:t>5</w:t>
      </w:r>
      <w:r>
        <w:rPr>
          <w:rFonts w:hint="eastAsia"/>
        </w:rPr>
        <w:t>）不存在不同供应商的响应文件的互联网协议地址（</w:t>
      </w:r>
      <w:r>
        <w:t>IP</w:t>
      </w:r>
      <w:r>
        <w:rPr>
          <w:rFonts w:hint="eastAsia"/>
        </w:rPr>
        <w:t>地址）信息检查一致的情况</w:t>
      </w:r>
      <w:r>
        <w:rPr>
          <w:rFonts w:hint="eastAsia"/>
          <w:lang w:eastAsia="zh-CN"/>
        </w:rPr>
        <w:t>（如出现，将认定为特别严重不良行为）</w:t>
      </w:r>
      <w:r>
        <w:rPr>
          <w:rFonts w:hint="eastAsia"/>
        </w:rPr>
        <w:t>。</w:t>
      </w:r>
    </w:p>
    <w:p>
      <w:pPr>
        <w:ind w:firstLine="480"/>
        <w:jc w:val="left"/>
      </w:pPr>
      <w:r>
        <w:rPr>
          <w:rFonts w:hint="eastAsia"/>
        </w:rPr>
        <w:t>（6） 与采购人存在利害关系可能影响采购公正性的法人、其他组织或者个人，不得参加询价；单位负责人为同一人或者存在控股、管理关系的不同单位，不得参加同一询价项目。</w:t>
      </w:r>
    </w:p>
    <w:p>
      <w:pPr>
        <w:ind w:firstLine="480"/>
        <w:jc w:val="left"/>
        <w:rPr>
          <w:rFonts w:hint="eastAsia"/>
        </w:rPr>
      </w:pPr>
      <w:r>
        <w:rPr>
          <w:rFonts w:hint="eastAsia"/>
        </w:rPr>
        <w:t>（</w:t>
      </w:r>
      <w:r>
        <w:t>7</w:t>
      </w:r>
      <w:r>
        <w:rPr>
          <w:rFonts w:hint="eastAsia"/>
        </w:rPr>
        <w:t>）不存在违反国家相关法规和华能集团相关制度的情况。</w:t>
      </w:r>
    </w:p>
    <w:p>
      <w:pPr>
        <w:ind w:firstLine="480"/>
        <w:jc w:val="left"/>
        <w:rPr>
          <w:rFonts w:hint="eastAsia"/>
          <w:szCs w:val="22"/>
        </w:rPr>
      </w:pPr>
      <w:r>
        <w:rPr>
          <w:rFonts w:hint="eastAsia"/>
          <w:szCs w:val="22"/>
        </w:rPr>
        <w:t>（</w:t>
      </w:r>
      <w:r>
        <w:rPr>
          <w:rFonts w:hint="eastAsia"/>
          <w:szCs w:val="22"/>
          <w:lang w:val="en-US" w:eastAsia="zh-CN"/>
        </w:rPr>
        <w:t>8</w:t>
      </w:r>
      <w:r>
        <w:rPr>
          <w:rFonts w:hint="eastAsia"/>
          <w:szCs w:val="22"/>
        </w:rPr>
        <w:t>）</w:t>
      </w:r>
      <w:r>
        <w:rPr>
          <w:rFonts w:hint="eastAsia"/>
          <w:szCs w:val="22"/>
          <w:lang w:val="en-US" w:eastAsia="zh-CN"/>
        </w:rPr>
        <w:t>对于在非招标采购中揭示报价后放弃或退出的供应商认定为严重不良行为。</w:t>
      </w:r>
    </w:p>
    <w:p>
      <w:pPr>
        <w:ind w:firstLine="480"/>
        <w:rPr>
          <w:rFonts w:hint="eastAsia"/>
        </w:rPr>
      </w:pPr>
      <w:r>
        <w:t xml:space="preserve">2. </w:t>
      </w:r>
      <w:r>
        <w:rPr>
          <w:rFonts w:hint="eastAsia"/>
        </w:rPr>
        <w:t>报价要求：</w:t>
      </w:r>
    </w:p>
    <w:p>
      <w:pPr>
        <w:ind w:firstLine="480"/>
      </w:pPr>
      <w:r>
        <w:rPr>
          <w:rFonts w:hint="eastAsia"/>
        </w:rPr>
        <w:t>本次报价要求为</w:t>
      </w:r>
      <w:r>
        <w:rPr>
          <w:rFonts w:hint="eastAsia"/>
          <w:u w:val="single"/>
        </w:rPr>
        <w:t>含税价</w:t>
      </w:r>
      <w:r>
        <w:rPr>
          <w:rFonts w:hint="eastAsia"/>
          <w:u w:val="single"/>
          <w:lang w:val="en-US" w:eastAsia="zh-CN"/>
        </w:rPr>
        <w:t>(要求可整除13</w:t>
      </w:r>
      <w:r>
        <w:rPr>
          <w:u w:val="single"/>
        </w:rPr>
        <w:t>%</w:t>
      </w:r>
      <w:r>
        <w:rPr>
          <w:rFonts w:hint="eastAsia"/>
          <w:u w:val="single"/>
          <w:lang w:val="en-US" w:eastAsia="zh-CN"/>
        </w:rPr>
        <w:t>税率，方便开票及付款)</w:t>
      </w:r>
      <w:r>
        <w:rPr>
          <w:rFonts w:hint="eastAsia"/>
        </w:rPr>
        <w:t>，现场交货价（含运杂费等），运、杂、保费处报价0（如不会操作请拨打400-010-1086咨询）需提供增值税发票类型：</w:t>
      </w:r>
      <w:r>
        <w:rPr>
          <w:rFonts w:hint="eastAsia"/>
          <w:u w:val="single"/>
        </w:rPr>
        <w:t>专用</w:t>
      </w:r>
      <w:r>
        <w:rPr>
          <w:rFonts w:hint="eastAsia"/>
        </w:rPr>
        <w:t>，税率要求：</w:t>
      </w:r>
      <w:r>
        <w:rPr>
          <w:rFonts w:hint="eastAsia"/>
          <w:u w:val="single"/>
          <w:lang w:val="en-US" w:eastAsia="zh-CN"/>
        </w:rPr>
        <w:t>13</w:t>
      </w:r>
      <w:r>
        <w:rPr>
          <w:u w:val="single"/>
        </w:rPr>
        <w:t>%</w:t>
      </w:r>
      <w:r>
        <w:rPr>
          <w:rFonts w:hint="eastAsia"/>
        </w:rPr>
        <w:t>。</w:t>
      </w:r>
    </w:p>
    <w:p>
      <w:pPr>
        <w:ind w:firstLine="480"/>
      </w:pPr>
      <w:r>
        <w:t xml:space="preserve">3. </w:t>
      </w:r>
      <w:r>
        <w:rPr>
          <w:rFonts w:hint="eastAsia"/>
        </w:rPr>
        <w:t>价格评审：</w:t>
      </w:r>
    </w:p>
    <w:p>
      <w:pPr>
        <w:ind w:firstLine="480"/>
      </w:pPr>
      <w:r>
        <w:rPr>
          <w:rFonts w:hint="eastAsia"/>
        </w:rPr>
        <w:t>以含税总价进行评审。</w:t>
      </w:r>
    </w:p>
    <w:p>
      <w:pPr>
        <w:ind w:firstLine="480"/>
      </w:pPr>
      <w:r>
        <w:t xml:space="preserve">4. </w:t>
      </w:r>
      <w:r>
        <w:rPr>
          <w:rFonts w:hint="eastAsia"/>
        </w:rPr>
        <w:t>成交候选供应商推荐原则：本项目评审办法采用最低价法。按照供应商报价由低到高的顺序依次推荐成交候选供应商。若价格相同，按照提交报价时间由先到后顺序推荐成交候选供应商。</w:t>
      </w:r>
    </w:p>
    <w:p>
      <w:pPr>
        <w:ind w:firstLine="480"/>
      </w:pPr>
      <w:r>
        <w:rPr>
          <w:rFonts w:hint="eastAsia"/>
        </w:rPr>
        <w:t>本项目只能有一个成交供应商；</w:t>
      </w:r>
    </w:p>
    <w:p>
      <w:pPr>
        <w:numPr>
          <w:ilvl w:val="0"/>
          <w:numId w:val="1"/>
        </w:numPr>
        <w:ind w:firstLine="480"/>
        <w:rPr>
          <w:rFonts w:hint="eastAsia"/>
        </w:rPr>
      </w:pPr>
      <w:r>
        <w:rPr>
          <w:rFonts w:hint="eastAsia"/>
        </w:rPr>
        <w:t>本项目</w:t>
      </w:r>
      <w:r>
        <w:rPr>
          <w:rFonts w:hint="eastAsia"/>
          <w:u w:val="single"/>
        </w:rPr>
        <w:t>不是</w:t>
      </w:r>
      <w:r>
        <w:rPr>
          <w:rFonts w:hint="eastAsia"/>
        </w:rPr>
        <w:t>采购代理项目。</w:t>
      </w:r>
    </w:p>
    <w:p>
      <w:pPr>
        <w:pStyle w:val="4"/>
        <w:spacing w:before="156"/>
      </w:pPr>
      <w:r>
        <w:rPr>
          <w:rFonts w:hint="eastAsia"/>
        </w:rPr>
        <w:t>三、</w:t>
      </w:r>
      <w:r>
        <w:t>基本信息</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9"/>
        <w:gridCol w:w="2131"/>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9"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采购方案名称</w:t>
            </w:r>
          </w:p>
        </w:tc>
        <w:tc>
          <w:tcPr>
            <w:tcW w:w="2131" w:type="dxa"/>
            <w:shd w:val="clear" w:color="auto" w:fill="auto"/>
            <w:vAlign w:val="center"/>
          </w:tcPr>
          <w:p>
            <w:pPr>
              <w:widowControl/>
              <w:spacing w:line="240" w:lineRule="auto"/>
              <w:ind w:firstLine="420"/>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华能渑池热电有限责任公司电缆采购</w:t>
            </w:r>
          </w:p>
        </w:tc>
        <w:tc>
          <w:tcPr>
            <w:tcW w:w="2131"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采购单位</w:t>
            </w:r>
          </w:p>
        </w:tc>
        <w:tc>
          <w:tcPr>
            <w:tcW w:w="2131" w:type="dxa"/>
            <w:shd w:val="clear" w:color="auto" w:fill="auto"/>
            <w:vAlign w:val="center"/>
          </w:tcPr>
          <w:p>
            <w:pPr>
              <w:widowControl/>
              <w:spacing w:line="240" w:lineRule="auto"/>
              <w:ind w:firstLine="420"/>
              <w:jc w:val="center"/>
              <w:rPr>
                <w:rFonts w:ascii="宋体" w:hAnsi="宋体" w:cs="宋体"/>
                <w:sz w:val="21"/>
                <w:szCs w:val="21"/>
              </w:rPr>
            </w:pPr>
            <w:r>
              <w:rPr>
                <w:rFonts w:hint="eastAsia" w:ascii="宋体" w:hAnsi="宋体" w:cs="宋体"/>
                <w:kern w:val="0"/>
                <w:sz w:val="21"/>
                <w:szCs w:val="21"/>
                <w:lang w:eastAsia="zh-CN"/>
              </w:rPr>
              <w:t>华能渑池热电有限责任公司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9"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采购项目类型</w:t>
            </w:r>
          </w:p>
        </w:tc>
        <w:tc>
          <w:tcPr>
            <w:tcW w:w="2131" w:type="dxa"/>
            <w:shd w:val="clear" w:color="auto" w:fill="auto"/>
            <w:vAlign w:val="center"/>
          </w:tcPr>
          <w:p>
            <w:pPr>
              <w:widowControl/>
              <w:spacing w:line="240" w:lineRule="auto"/>
              <w:ind w:firstLine="420"/>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货物（物资）</w:t>
            </w:r>
          </w:p>
        </w:tc>
        <w:tc>
          <w:tcPr>
            <w:tcW w:w="2131"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采购项目类别</w:t>
            </w:r>
          </w:p>
        </w:tc>
        <w:tc>
          <w:tcPr>
            <w:tcW w:w="2131" w:type="dxa"/>
            <w:shd w:val="clear" w:color="auto" w:fill="auto"/>
            <w:vAlign w:val="center"/>
          </w:tcPr>
          <w:p>
            <w:pPr>
              <w:widowControl/>
              <w:spacing w:line="240" w:lineRule="auto"/>
              <w:ind w:firstLine="420"/>
              <w:jc w:val="center"/>
              <w:rPr>
                <w:rFonts w:hint="eastAsia" w:ascii="宋体" w:hAnsi="宋体" w:eastAsia="宋体" w:cs="宋体"/>
                <w:sz w:val="21"/>
                <w:szCs w:val="21"/>
                <w:lang w:eastAsia="zh-CN"/>
              </w:rPr>
            </w:pPr>
            <w:r>
              <w:rPr>
                <w:rFonts w:hint="eastAsia" w:ascii="宋体" w:hAnsi="宋体" w:cs="宋体"/>
                <w:sz w:val="21"/>
                <w:szCs w:val="21"/>
                <w:lang w:eastAsia="zh-CN"/>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9"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工程项目编号</w:t>
            </w:r>
          </w:p>
        </w:tc>
        <w:tc>
          <w:tcPr>
            <w:tcW w:w="2131" w:type="dxa"/>
            <w:shd w:val="clear" w:color="auto" w:fill="auto"/>
            <w:vAlign w:val="center"/>
          </w:tcPr>
          <w:p>
            <w:pPr>
              <w:spacing w:line="240" w:lineRule="auto"/>
              <w:ind w:firstLine="420"/>
              <w:jc w:val="center"/>
              <w:rPr>
                <w:rFonts w:ascii="宋体" w:hAnsi="宋体" w:cs="宋体"/>
                <w:sz w:val="21"/>
                <w:szCs w:val="21"/>
              </w:rPr>
            </w:pPr>
          </w:p>
        </w:tc>
        <w:tc>
          <w:tcPr>
            <w:tcW w:w="2131"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工程项目名称</w:t>
            </w:r>
          </w:p>
        </w:tc>
        <w:tc>
          <w:tcPr>
            <w:tcW w:w="2131" w:type="dxa"/>
            <w:shd w:val="clear" w:color="auto" w:fill="auto"/>
            <w:vAlign w:val="center"/>
          </w:tcPr>
          <w:p>
            <w:pPr>
              <w:widowControl/>
              <w:spacing w:line="240" w:lineRule="auto"/>
              <w:ind w:firstLine="420"/>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9"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寻源类型</w:t>
            </w:r>
          </w:p>
        </w:tc>
        <w:tc>
          <w:tcPr>
            <w:tcW w:w="2131"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询价</w:t>
            </w:r>
          </w:p>
        </w:tc>
        <w:tc>
          <w:tcPr>
            <w:tcW w:w="2131"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寻源方式</w:t>
            </w:r>
          </w:p>
        </w:tc>
        <w:tc>
          <w:tcPr>
            <w:tcW w:w="2131"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合格供应商公开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9"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评价原则</w:t>
            </w:r>
          </w:p>
        </w:tc>
        <w:tc>
          <w:tcPr>
            <w:tcW w:w="2131"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最低价法</w:t>
            </w:r>
          </w:p>
        </w:tc>
        <w:tc>
          <w:tcPr>
            <w:tcW w:w="2131"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是否紧急采购</w:t>
            </w:r>
          </w:p>
        </w:tc>
        <w:tc>
          <w:tcPr>
            <w:tcW w:w="2131" w:type="dxa"/>
            <w:shd w:val="clear" w:color="auto" w:fill="auto"/>
            <w:vAlign w:val="center"/>
          </w:tcPr>
          <w:p>
            <w:pPr>
              <w:widowControl/>
              <w:spacing w:line="240" w:lineRule="auto"/>
              <w:ind w:firstLine="420"/>
              <w:jc w:val="center"/>
              <w:rPr>
                <w:rFonts w:hint="eastAsia" w:ascii="宋体" w:hAnsi="宋体" w:eastAsia="宋体" w:cs="宋体"/>
                <w:sz w:val="21"/>
                <w:szCs w:val="21"/>
                <w:lang w:eastAsia="zh-CN"/>
              </w:rPr>
            </w:pPr>
            <w:r>
              <w:rPr>
                <w:rFonts w:hint="eastAsia" w:ascii="宋体" w:hAnsi="宋体" w:cs="宋体"/>
                <w:sz w:val="21"/>
                <w:szCs w:val="21"/>
                <w:lang w:eastAsia="zh-CN"/>
              </w:rPr>
              <w:t>否</w:t>
            </w:r>
          </w:p>
        </w:tc>
      </w:tr>
    </w:tbl>
    <w:p>
      <w:pPr>
        <w:pStyle w:val="4"/>
        <w:spacing w:before="156"/>
      </w:pPr>
      <w:r>
        <w:rPr>
          <w:rFonts w:hint="eastAsia"/>
        </w:rPr>
        <w:t>四、</w:t>
      </w:r>
      <w:r>
        <w:t>报价要求</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5"/>
        <w:gridCol w:w="2125"/>
        <w:gridCol w:w="2167"/>
        <w:gridCol w:w="2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5"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结算币种</w:t>
            </w:r>
          </w:p>
        </w:tc>
        <w:tc>
          <w:tcPr>
            <w:tcW w:w="2125"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人民币</w:t>
            </w:r>
          </w:p>
        </w:tc>
        <w:tc>
          <w:tcPr>
            <w:tcW w:w="2167" w:type="dxa"/>
            <w:shd w:val="clear" w:color="auto" w:fill="auto"/>
            <w:vAlign w:val="center"/>
          </w:tcPr>
          <w:p>
            <w:pPr>
              <w:widowControl/>
              <w:spacing w:line="240" w:lineRule="auto"/>
              <w:ind w:firstLine="0" w:firstLineChars="0"/>
              <w:jc w:val="center"/>
              <w:rPr>
                <w:rFonts w:ascii="宋体" w:hAnsi="宋体" w:cs="宋体"/>
                <w:kern w:val="0"/>
                <w:sz w:val="21"/>
                <w:szCs w:val="21"/>
                <w:highlight w:val="yellow"/>
              </w:rPr>
            </w:pPr>
            <w:r>
              <w:rPr>
                <w:rFonts w:hint="eastAsia" w:ascii="宋体" w:hAnsi="宋体" w:cs="宋体"/>
                <w:kern w:val="0"/>
                <w:sz w:val="21"/>
                <w:szCs w:val="21"/>
              </w:rPr>
              <w:t>报价截止前是否允许 供应商修改报价</w:t>
            </w:r>
          </w:p>
        </w:tc>
        <w:tc>
          <w:tcPr>
            <w:tcW w:w="2105" w:type="dxa"/>
            <w:shd w:val="clear" w:color="auto" w:fill="auto"/>
            <w:vAlign w:val="center"/>
          </w:tcPr>
          <w:p>
            <w:pPr>
              <w:widowControl/>
              <w:spacing w:line="240" w:lineRule="auto"/>
              <w:ind w:firstLine="0" w:firstLineChars="0"/>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none"/>
                <w:lang w:eastAsia="zh-CN"/>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5"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是否缴纳保证金</w:t>
            </w:r>
          </w:p>
        </w:tc>
        <w:tc>
          <w:tcPr>
            <w:tcW w:w="2125" w:type="dxa"/>
            <w:shd w:val="clear" w:color="auto" w:fill="auto"/>
            <w:vAlign w:val="center"/>
          </w:tcPr>
          <w:p>
            <w:pPr>
              <w:widowControl/>
              <w:spacing w:line="240" w:lineRule="auto"/>
              <w:ind w:firstLine="0" w:firstLineChars="0"/>
              <w:jc w:val="center"/>
              <w:rPr>
                <w:rFonts w:hint="eastAsia" w:ascii="宋体" w:hAnsi="宋体" w:eastAsia="宋体" w:cs="宋体"/>
                <w:kern w:val="0"/>
                <w:sz w:val="21"/>
                <w:szCs w:val="21"/>
                <w:lang w:eastAsia="zh-CN"/>
              </w:rPr>
            </w:pPr>
            <w:r>
              <w:rPr>
                <w:rFonts w:hint="eastAsia" w:ascii="宋体" w:hAnsi="宋体" w:cs="宋体"/>
                <w:kern w:val="0"/>
                <w:sz w:val="21"/>
                <w:szCs w:val="21"/>
                <w:lang w:eastAsia="zh-CN"/>
              </w:rPr>
              <w:t>否</w:t>
            </w:r>
          </w:p>
        </w:tc>
        <w:tc>
          <w:tcPr>
            <w:tcW w:w="2167"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保证金金额（元）</w:t>
            </w:r>
          </w:p>
        </w:tc>
        <w:tc>
          <w:tcPr>
            <w:tcW w:w="2105" w:type="dxa"/>
            <w:shd w:val="clear" w:color="auto" w:fill="auto"/>
            <w:vAlign w:val="center"/>
          </w:tcPr>
          <w:p>
            <w:pPr>
              <w:spacing w:line="240" w:lineRule="auto"/>
              <w:ind w:firstLine="420"/>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5"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报价开始时间</w:t>
            </w:r>
          </w:p>
        </w:tc>
        <w:tc>
          <w:tcPr>
            <w:tcW w:w="2125" w:type="dxa"/>
            <w:shd w:val="clear" w:color="auto" w:fill="auto"/>
            <w:vAlign w:val="center"/>
          </w:tcPr>
          <w:p>
            <w:pPr>
              <w:widowControl/>
              <w:spacing w:line="240" w:lineRule="auto"/>
              <w:ind w:firstLine="0" w:firstLineChars="0"/>
              <w:jc w:val="center"/>
              <w:rPr>
                <w:rFonts w:hint="eastAsia" w:ascii="宋体" w:hAnsi="宋体" w:eastAsia="宋体" w:cs="宋体"/>
                <w:kern w:val="0"/>
                <w:sz w:val="21"/>
                <w:szCs w:val="21"/>
                <w:lang w:eastAsia="zh-CN"/>
              </w:rPr>
            </w:pPr>
          </w:p>
        </w:tc>
        <w:tc>
          <w:tcPr>
            <w:tcW w:w="2167"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报价截止时间</w:t>
            </w:r>
          </w:p>
        </w:tc>
        <w:tc>
          <w:tcPr>
            <w:tcW w:w="2105" w:type="dxa"/>
            <w:shd w:val="clear" w:color="auto" w:fill="auto"/>
            <w:vAlign w:val="center"/>
          </w:tcPr>
          <w:p>
            <w:pPr>
              <w:widowControl/>
              <w:spacing w:line="240" w:lineRule="auto"/>
              <w:ind w:firstLine="0" w:firstLineChars="0"/>
              <w:jc w:val="center"/>
              <w:rPr>
                <w:rFonts w:hint="eastAsia" w:ascii="宋体" w:hAnsi="宋体" w:eastAsia="宋体" w:cs="宋体"/>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5"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答疑／澄清时间</w:t>
            </w:r>
          </w:p>
        </w:tc>
        <w:tc>
          <w:tcPr>
            <w:tcW w:w="6397" w:type="dxa"/>
            <w:gridSpan w:val="3"/>
            <w:shd w:val="clear" w:color="auto" w:fill="auto"/>
            <w:vAlign w:val="center"/>
          </w:tcPr>
          <w:p>
            <w:pPr>
              <w:widowControl/>
              <w:spacing w:line="240" w:lineRule="auto"/>
              <w:ind w:firstLine="0" w:firstLineChars="0"/>
              <w:jc w:val="center"/>
              <w:rPr>
                <w:rFonts w:ascii="宋体" w:hAnsi="宋体" w:cs="宋体"/>
                <w:kern w:val="0"/>
                <w:sz w:val="21"/>
                <w:szCs w:val="21"/>
              </w:rPr>
            </w:pPr>
          </w:p>
        </w:tc>
      </w:tr>
    </w:tbl>
    <w:p>
      <w:pPr>
        <w:pStyle w:val="4"/>
        <w:numPr>
          <w:ilvl w:val="0"/>
          <w:numId w:val="2"/>
        </w:numPr>
        <w:spacing w:before="120"/>
      </w:pPr>
      <w:r>
        <w:rPr>
          <w:rFonts w:hint="eastAsia"/>
        </w:rPr>
        <w:t>采购需求</w:t>
      </w:r>
      <w:r>
        <w:t>信息</w:t>
      </w:r>
    </w:p>
    <w:tbl>
      <w:tblPr>
        <w:tblStyle w:val="15"/>
        <w:tblW w:w="91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797"/>
        <w:gridCol w:w="1315"/>
        <w:gridCol w:w="1998"/>
        <w:gridCol w:w="660"/>
        <w:gridCol w:w="709"/>
        <w:gridCol w:w="3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12" w:type="dxa"/>
            <w:vAlign w:val="center"/>
          </w:tcPr>
          <w:p>
            <w:pPr>
              <w:keepNext w:val="0"/>
              <w:keepLines w:val="0"/>
              <w:widowControl/>
              <w:suppressLineNumbers w:val="0"/>
              <w:ind w:left="0" w:leftChars="0" w:firstLine="0" w:firstLineChars="0"/>
              <w:jc w:val="center"/>
              <w:textAlignment w:val="center"/>
              <w:rPr>
                <w:rFonts w:hint="eastAsia"/>
                <w:color w:val="FF0000"/>
                <w:highlight w:val="yellow"/>
                <w:vertAlign w:val="baseline"/>
                <w:lang w:eastAsia="zh-CN"/>
              </w:rPr>
            </w:pPr>
            <w:r>
              <w:rPr>
                <w:rFonts w:hint="eastAsia" w:ascii="宋体" w:hAnsi="宋体" w:eastAsia="宋体" w:cs="宋体"/>
                <w:i w:val="0"/>
                <w:color w:val="FF0000"/>
                <w:kern w:val="0"/>
                <w:sz w:val="22"/>
                <w:szCs w:val="22"/>
                <w:highlight w:val="yellow"/>
                <w:u w:val="none"/>
                <w:lang w:val="en-US" w:eastAsia="zh-CN" w:bidi="ar"/>
              </w:rPr>
              <w:t>序号</w:t>
            </w:r>
          </w:p>
        </w:tc>
        <w:tc>
          <w:tcPr>
            <w:tcW w:w="797"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FF0000"/>
                <w:kern w:val="0"/>
                <w:sz w:val="22"/>
                <w:szCs w:val="22"/>
                <w:highlight w:val="yellow"/>
                <w:u w:val="none"/>
                <w:lang w:val="en-US" w:eastAsia="zh-CN" w:bidi="ar"/>
              </w:rPr>
            </w:pPr>
            <w:r>
              <w:rPr>
                <w:rFonts w:hint="eastAsia" w:ascii="宋体" w:hAnsi="宋体" w:cs="宋体"/>
                <w:i w:val="0"/>
                <w:color w:val="FF0000"/>
                <w:kern w:val="0"/>
                <w:sz w:val="22"/>
                <w:szCs w:val="22"/>
                <w:highlight w:val="yellow"/>
                <w:u w:val="none"/>
                <w:lang w:val="en-US" w:eastAsia="zh-CN" w:bidi="ar"/>
              </w:rPr>
              <w:t>结算</w:t>
            </w:r>
            <w:r>
              <w:rPr>
                <w:rFonts w:hint="eastAsia" w:ascii="宋体" w:hAnsi="宋体" w:eastAsia="宋体" w:cs="宋体"/>
                <w:i w:val="0"/>
                <w:color w:val="FF0000"/>
                <w:kern w:val="0"/>
                <w:sz w:val="22"/>
                <w:szCs w:val="22"/>
                <w:highlight w:val="yellow"/>
                <w:u w:val="none"/>
                <w:lang w:val="en-US" w:eastAsia="zh-CN" w:bidi="ar"/>
              </w:rPr>
              <w:t>方式</w:t>
            </w:r>
          </w:p>
        </w:tc>
        <w:tc>
          <w:tcPr>
            <w:tcW w:w="1315" w:type="dxa"/>
            <w:vAlign w:val="center"/>
          </w:tcPr>
          <w:p>
            <w:pPr>
              <w:keepNext w:val="0"/>
              <w:keepLines w:val="0"/>
              <w:widowControl/>
              <w:suppressLineNumbers w:val="0"/>
              <w:ind w:left="0" w:leftChars="0" w:firstLine="0" w:firstLineChars="0"/>
              <w:jc w:val="center"/>
              <w:textAlignment w:val="center"/>
              <w:rPr>
                <w:rFonts w:hint="eastAsia"/>
                <w:color w:val="FF0000"/>
                <w:highlight w:val="yellow"/>
                <w:vertAlign w:val="baseline"/>
                <w:lang w:eastAsia="zh-CN"/>
              </w:rPr>
            </w:pPr>
            <w:r>
              <w:rPr>
                <w:rFonts w:hint="eastAsia" w:ascii="宋体" w:hAnsi="宋体" w:eastAsia="宋体" w:cs="宋体"/>
                <w:i w:val="0"/>
                <w:color w:val="FF0000"/>
                <w:kern w:val="0"/>
                <w:sz w:val="22"/>
                <w:szCs w:val="22"/>
                <w:highlight w:val="yellow"/>
                <w:u w:val="none"/>
                <w:lang w:val="en-US" w:eastAsia="zh-CN" w:bidi="ar"/>
              </w:rPr>
              <w:t>编码</w:t>
            </w:r>
          </w:p>
        </w:tc>
        <w:tc>
          <w:tcPr>
            <w:tcW w:w="1998" w:type="dxa"/>
            <w:vAlign w:val="center"/>
          </w:tcPr>
          <w:p>
            <w:pPr>
              <w:keepNext w:val="0"/>
              <w:keepLines w:val="0"/>
              <w:widowControl/>
              <w:suppressLineNumbers w:val="0"/>
              <w:ind w:left="0" w:leftChars="0" w:firstLine="0" w:firstLineChars="0"/>
              <w:jc w:val="center"/>
              <w:textAlignment w:val="center"/>
              <w:rPr>
                <w:rFonts w:hint="eastAsia"/>
                <w:color w:val="FF0000"/>
                <w:highlight w:val="yellow"/>
                <w:vertAlign w:val="baseline"/>
                <w:lang w:eastAsia="zh-CN"/>
              </w:rPr>
            </w:pPr>
            <w:r>
              <w:rPr>
                <w:rFonts w:hint="eastAsia" w:ascii="宋体" w:hAnsi="宋体" w:eastAsia="宋体" w:cs="宋体"/>
                <w:i w:val="0"/>
                <w:color w:val="FF0000"/>
                <w:kern w:val="0"/>
                <w:sz w:val="22"/>
                <w:szCs w:val="22"/>
                <w:highlight w:val="yellow"/>
                <w:u w:val="none"/>
                <w:lang w:val="en-US" w:eastAsia="zh-CN" w:bidi="ar"/>
              </w:rPr>
              <w:t>物料描述</w:t>
            </w:r>
          </w:p>
        </w:tc>
        <w:tc>
          <w:tcPr>
            <w:tcW w:w="660" w:type="dxa"/>
            <w:vAlign w:val="center"/>
          </w:tcPr>
          <w:p>
            <w:pPr>
              <w:keepNext w:val="0"/>
              <w:keepLines w:val="0"/>
              <w:widowControl/>
              <w:suppressLineNumbers w:val="0"/>
              <w:ind w:left="0" w:leftChars="0" w:firstLine="0" w:firstLineChars="0"/>
              <w:jc w:val="center"/>
              <w:textAlignment w:val="center"/>
              <w:rPr>
                <w:rFonts w:hint="eastAsia"/>
                <w:color w:val="FF0000"/>
                <w:highlight w:val="yellow"/>
                <w:vertAlign w:val="baseline"/>
                <w:lang w:eastAsia="zh-CN"/>
              </w:rPr>
            </w:pPr>
            <w:r>
              <w:rPr>
                <w:rFonts w:hint="eastAsia" w:ascii="宋体" w:hAnsi="宋体" w:eastAsia="宋体" w:cs="宋体"/>
                <w:i w:val="0"/>
                <w:color w:val="FF0000"/>
                <w:kern w:val="0"/>
                <w:sz w:val="22"/>
                <w:szCs w:val="22"/>
                <w:highlight w:val="yellow"/>
                <w:u w:val="none"/>
                <w:lang w:val="en-US" w:eastAsia="zh-CN" w:bidi="ar"/>
              </w:rPr>
              <w:t>数量</w:t>
            </w:r>
          </w:p>
        </w:tc>
        <w:tc>
          <w:tcPr>
            <w:tcW w:w="709" w:type="dxa"/>
            <w:vAlign w:val="center"/>
          </w:tcPr>
          <w:p>
            <w:pPr>
              <w:keepNext w:val="0"/>
              <w:keepLines w:val="0"/>
              <w:widowControl/>
              <w:suppressLineNumbers w:val="0"/>
              <w:ind w:left="0" w:leftChars="0" w:firstLine="0" w:firstLineChars="0"/>
              <w:jc w:val="center"/>
              <w:textAlignment w:val="center"/>
              <w:rPr>
                <w:rFonts w:hint="eastAsia"/>
                <w:color w:val="FF0000"/>
                <w:highlight w:val="yellow"/>
                <w:vertAlign w:val="baseline"/>
                <w:lang w:eastAsia="zh-CN"/>
              </w:rPr>
            </w:pPr>
            <w:r>
              <w:rPr>
                <w:rFonts w:hint="eastAsia" w:ascii="宋体" w:hAnsi="宋体" w:eastAsia="宋体" w:cs="宋体"/>
                <w:i w:val="0"/>
                <w:color w:val="FF0000"/>
                <w:kern w:val="0"/>
                <w:sz w:val="22"/>
                <w:szCs w:val="22"/>
                <w:highlight w:val="yellow"/>
                <w:u w:val="none"/>
                <w:lang w:val="en-US" w:eastAsia="zh-CN" w:bidi="ar"/>
              </w:rPr>
              <w:t>单位</w:t>
            </w:r>
          </w:p>
        </w:tc>
        <w:tc>
          <w:tcPr>
            <w:tcW w:w="3003" w:type="dxa"/>
            <w:vAlign w:val="center"/>
          </w:tcPr>
          <w:p>
            <w:pPr>
              <w:keepNext w:val="0"/>
              <w:keepLines w:val="0"/>
              <w:widowControl/>
              <w:suppressLineNumbers w:val="0"/>
              <w:ind w:left="0" w:leftChars="0" w:firstLine="0" w:firstLineChars="0"/>
              <w:jc w:val="center"/>
              <w:textAlignment w:val="center"/>
              <w:rPr>
                <w:rFonts w:hint="eastAsia"/>
                <w:color w:val="FF0000"/>
                <w:highlight w:val="yellow"/>
                <w:vertAlign w:val="baseline"/>
                <w:lang w:eastAsia="zh-CN"/>
              </w:rPr>
            </w:pPr>
            <w:r>
              <w:rPr>
                <w:rFonts w:hint="eastAsia" w:ascii="宋体" w:hAnsi="宋体" w:eastAsia="宋体" w:cs="宋体"/>
                <w:i w:val="0"/>
                <w:color w:val="FF0000"/>
                <w:kern w:val="0"/>
                <w:sz w:val="22"/>
                <w:szCs w:val="22"/>
                <w:highlight w:val="yellow"/>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12"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FF0000"/>
                <w:kern w:val="0"/>
                <w:sz w:val="22"/>
                <w:szCs w:val="22"/>
                <w:highlight w:val="yellow"/>
                <w:u w:val="none"/>
                <w:lang w:val="en-US" w:eastAsia="zh-CN" w:bidi="ar"/>
              </w:rPr>
            </w:pPr>
            <w:r>
              <w:rPr>
                <w:rFonts w:hint="eastAsia" w:ascii="宋体" w:hAnsi="宋体" w:eastAsia="宋体" w:cs="宋体"/>
                <w:i w:val="0"/>
                <w:color w:val="FF0000"/>
                <w:kern w:val="0"/>
                <w:sz w:val="22"/>
                <w:szCs w:val="22"/>
                <w:highlight w:val="yellow"/>
                <w:u w:val="none"/>
                <w:lang w:val="en-US" w:eastAsia="zh-CN" w:bidi="ar"/>
              </w:rPr>
              <w:t>1</w:t>
            </w:r>
          </w:p>
        </w:tc>
        <w:tc>
          <w:tcPr>
            <w:tcW w:w="797" w:type="dxa"/>
            <w:vMerge w:val="restart"/>
            <w:vAlign w:val="center"/>
          </w:tcPr>
          <w:p>
            <w:pPr>
              <w:keepNext w:val="0"/>
              <w:keepLines w:val="0"/>
              <w:widowControl/>
              <w:suppressLineNumbers w:val="0"/>
              <w:ind w:firstLine="0" w:firstLineChars="0"/>
              <w:jc w:val="left"/>
              <w:textAlignment w:val="center"/>
              <w:rPr>
                <w:rFonts w:hint="eastAsia" w:ascii="宋体" w:hAnsi="宋体" w:eastAsia="宋体" w:cs="宋体"/>
                <w:i w:val="0"/>
                <w:color w:val="FF0000"/>
                <w:kern w:val="0"/>
                <w:sz w:val="22"/>
                <w:szCs w:val="22"/>
                <w:highlight w:val="yellow"/>
                <w:u w:val="none"/>
                <w:lang w:val="en-US" w:eastAsia="zh-CN" w:bidi="ar"/>
              </w:rPr>
            </w:pPr>
            <w:r>
              <w:rPr>
                <w:rFonts w:hint="eastAsia" w:ascii="宋体" w:hAnsi="宋体" w:eastAsia="宋体" w:cs="宋体"/>
                <w:i w:val="0"/>
                <w:color w:val="000000"/>
                <w:kern w:val="0"/>
                <w:sz w:val="22"/>
                <w:szCs w:val="22"/>
                <w:u w:val="none"/>
                <w:lang w:val="en-US" w:eastAsia="zh-CN" w:bidi="ar"/>
              </w:rPr>
              <w:t>100%到货款</w:t>
            </w:r>
          </w:p>
        </w:tc>
        <w:tc>
          <w:tcPr>
            <w:tcW w:w="1315" w:type="dxa"/>
            <w:vAlign w:val="center"/>
          </w:tcPr>
          <w:p>
            <w:pPr>
              <w:keepNext w:val="0"/>
              <w:keepLines w:val="0"/>
              <w:widowControl/>
              <w:suppressLineNumbers w:val="0"/>
              <w:ind w:firstLine="0" w:firstLineChars="0"/>
              <w:jc w:val="left"/>
              <w:textAlignment w:val="center"/>
              <w:rPr>
                <w:rFonts w:hint="eastAsia" w:ascii="宋体" w:hAnsi="宋体" w:eastAsia="宋体" w:cs="宋体"/>
                <w:i w:val="0"/>
                <w:color w:val="FF0000"/>
                <w:kern w:val="0"/>
                <w:sz w:val="22"/>
                <w:szCs w:val="22"/>
                <w:highlight w:val="yellow"/>
                <w:u w:val="none"/>
                <w:lang w:val="en-US" w:eastAsia="zh-CN" w:bidi="ar"/>
              </w:rPr>
            </w:pPr>
            <w:r>
              <w:rPr>
                <w:rFonts w:hint="eastAsia" w:ascii="宋体" w:hAnsi="宋体" w:eastAsia="宋体" w:cs="宋体"/>
                <w:i w:val="0"/>
                <w:color w:val="000000"/>
                <w:kern w:val="0"/>
                <w:sz w:val="22"/>
                <w:szCs w:val="22"/>
                <w:u w:val="none"/>
                <w:lang w:val="en-US" w:eastAsia="zh-CN" w:bidi="ar"/>
              </w:rPr>
              <w:t>102051838</w:t>
            </w:r>
          </w:p>
        </w:tc>
        <w:tc>
          <w:tcPr>
            <w:tcW w:w="1998" w:type="dxa"/>
            <w:vAlign w:val="center"/>
          </w:tcPr>
          <w:p>
            <w:pPr>
              <w:keepNext w:val="0"/>
              <w:keepLines w:val="0"/>
              <w:widowControl/>
              <w:suppressLineNumbers w:val="0"/>
              <w:ind w:firstLine="0" w:firstLineChars="0"/>
              <w:jc w:val="left"/>
              <w:textAlignment w:val="center"/>
              <w:rPr>
                <w:rFonts w:hint="eastAsia" w:ascii="宋体" w:hAnsi="宋体" w:eastAsia="宋体" w:cs="宋体"/>
                <w:i w:val="0"/>
                <w:color w:val="FF0000"/>
                <w:kern w:val="0"/>
                <w:sz w:val="22"/>
                <w:szCs w:val="22"/>
                <w:highlight w:val="yellow"/>
                <w:u w:val="none"/>
                <w:lang w:val="en-US" w:eastAsia="zh-CN" w:bidi="ar"/>
              </w:rPr>
            </w:pPr>
            <w:r>
              <w:rPr>
                <w:rFonts w:hint="eastAsia" w:ascii="宋体" w:hAnsi="宋体" w:eastAsia="宋体" w:cs="宋体"/>
                <w:i w:val="0"/>
                <w:color w:val="000000"/>
                <w:kern w:val="0"/>
                <w:sz w:val="22"/>
                <w:szCs w:val="22"/>
                <w:u w:val="none"/>
                <w:lang w:val="en-US" w:eastAsia="zh-CN" w:bidi="ar"/>
              </w:rPr>
              <w:t>电力电缆\ZR-RV\1*1.5MM2\450／750V</w:t>
            </w:r>
          </w:p>
        </w:tc>
        <w:tc>
          <w:tcPr>
            <w:tcW w:w="660" w:type="dxa"/>
            <w:vAlign w:val="center"/>
          </w:tcPr>
          <w:p>
            <w:pPr>
              <w:keepNext w:val="0"/>
              <w:keepLines w:val="0"/>
              <w:widowControl/>
              <w:suppressLineNumbers w:val="0"/>
              <w:ind w:firstLine="0" w:firstLineChars="0"/>
              <w:jc w:val="left"/>
              <w:textAlignment w:val="center"/>
              <w:rPr>
                <w:rFonts w:hint="eastAsia" w:ascii="宋体" w:hAnsi="宋体" w:eastAsia="宋体" w:cs="宋体"/>
                <w:i w:val="0"/>
                <w:color w:val="FF0000"/>
                <w:kern w:val="0"/>
                <w:sz w:val="22"/>
                <w:szCs w:val="22"/>
                <w:highlight w:val="yellow"/>
                <w:u w:val="none"/>
                <w:lang w:val="en-US" w:eastAsia="zh-CN" w:bidi="ar"/>
              </w:rPr>
            </w:pPr>
            <w:r>
              <w:rPr>
                <w:rFonts w:hint="eastAsia" w:ascii="宋体" w:hAnsi="宋体" w:eastAsia="宋体" w:cs="宋体"/>
                <w:i w:val="0"/>
                <w:color w:val="000000"/>
                <w:kern w:val="0"/>
                <w:sz w:val="22"/>
                <w:szCs w:val="22"/>
                <w:u w:val="none"/>
                <w:lang w:val="en-US" w:eastAsia="zh-CN" w:bidi="ar"/>
              </w:rPr>
              <w:t>5</w:t>
            </w:r>
          </w:p>
        </w:tc>
        <w:tc>
          <w:tcPr>
            <w:tcW w:w="709" w:type="dxa"/>
            <w:vAlign w:val="center"/>
          </w:tcPr>
          <w:p>
            <w:pPr>
              <w:keepNext w:val="0"/>
              <w:keepLines w:val="0"/>
              <w:widowControl/>
              <w:suppressLineNumbers w:val="0"/>
              <w:ind w:firstLine="0" w:firstLineChars="0"/>
              <w:jc w:val="left"/>
              <w:textAlignment w:val="center"/>
              <w:rPr>
                <w:rFonts w:hint="eastAsia" w:ascii="宋体" w:hAnsi="宋体" w:eastAsia="宋体" w:cs="宋体"/>
                <w:i w:val="0"/>
                <w:color w:val="FF0000"/>
                <w:kern w:val="0"/>
                <w:sz w:val="22"/>
                <w:szCs w:val="22"/>
                <w:highlight w:val="yellow"/>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3003" w:type="dxa"/>
            <w:vAlign w:val="center"/>
          </w:tcPr>
          <w:p>
            <w:pPr>
              <w:keepNext w:val="0"/>
              <w:keepLines w:val="0"/>
              <w:widowControl/>
              <w:suppressLineNumbers w:val="0"/>
              <w:ind w:firstLine="0" w:firstLineChars="0"/>
              <w:jc w:val="left"/>
              <w:textAlignment w:val="center"/>
              <w:rPr>
                <w:rFonts w:hint="eastAsia" w:ascii="宋体" w:hAnsi="宋体" w:eastAsia="宋体" w:cs="宋体"/>
                <w:i w:val="0"/>
                <w:color w:val="FF0000"/>
                <w:kern w:val="0"/>
                <w:sz w:val="22"/>
                <w:szCs w:val="22"/>
                <w:highlight w:val="yellow"/>
                <w:u w:val="none"/>
                <w:lang w:val="en-US" w:eastAsia="zh-CN" w:bidi="ar"/>
              </w:rPr>
            </w:pPr>
            <w:r>
              <w:rPr>
                <w:rFonts w:hint="eastAsia" w:ascii="宋体" w:hAnsi="宋体" w:eastAsia="宋体" w:cs="宋体"/>
                <w:i w:val="0"/>
                <w:color w:val="000000"/>
                <w:kern w:val="0"/>
                <w:sz w:val="22"/>
                <w:szCs w:val="22"/>
                <w:u w:val="none"/>
                <w:lang w:val="en-US" w:eastAsia="zh-CN" w:bidi="ar"/>
              </w:rPr>
              <w:t>产品合格证，质检报告,黑色电缆，不是5米，按5盘供货，一盘100米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12"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FF0000"/>
                <w:kern w:val="0"/>
                <w:sz w:val="22"/>
                <w:szCs w:val="22"/>
                <w:highlight w:val="yellow"/>
                <w:u w:val="none"/>
                <w:lang w:val="en-US" w:eastAsia="zh-CN" w:bidi="ar"/>
              </w:rPr>
            </w:pPr>
            <w:r>
              <w:rPr>
                <w:rFonts w:hint="eastAsia" w:ascii="宋体" w:hAnsi="宋体" w:eastAsia="宋体" w:cs="宋体"/>
                <w:i w:val="0"/>
                <w:color w:val="FF0000"/>
                <w:kern w:val="0"/>
                <w:sz w:val="22"/>
                <w:szCs w:val="22"/>
                <w:highlight w:val="yellow"/>
                <w:u w:val="none"/>
                <w:lang w:val="en-US" w:eastAsia="zh-CN" w:bidi="ar"/>
              </w:rPr>
              <w:t>2</w:t>
            </w:r>
          </w:p>
        </w:tc>
        <w:tc>
          <w:tcPr>
            <w:tcW w:w="797" w:type="dxa"/>
            <w:vMerge w:val="continue"/>
            <w:vAlign w:val="center"/>
          </w:tcPr>
          <w:p>
            <w:pPr>
              <w:jc w:val="left"/>
              <w:rPr>
                <w:rFonts w:hint="eastAsia" w:ascii="宋体" w:hAnsi="宋体" w:eastAsia="宋体" w:cs="宋体"/>
                <w:i w:val="0"/>
                <w:color w:val="FF0000"/>
                <w:kern w:val="0"/>
                <w:sz w:val="22"/>
                <w:szCs w:val="22"/>
                <w:highlight w:val="yellow"/>
                <w:u w:val="none"/>
                <w:lang w:val="en-US" w:eastAsia="zh-CN" w:bidi="ar"/>
              </w:rPr>
            </w:pPr>
          </w:p>
        </w:tc>
        <w:tc>
          <w:tcPr>
            <w:tcW w:w="1315" w:type="dxa"/>
            <w:vAlign w:val="center"/>
          </w:tcPr>
          <w:p>
            <w:pPr>
              <w:keepNext w:val="0"/>
              <w:keepLines w:val="0"/>
              <w:widowControl/>
              <w:suppressLineNumbers w:val="0"/>
              <w:ind w:firstLine="0" w:firstLineChars="0"/>
              <w:jc w:val="left"/>
              <w:textAlignment w:val="center"/>
              <w:rPr>
                <w:rFonts w:hint="eastAsia" w:ascii="宋体" w:hAnsi="宋体" w:eastAsia="宋体" w:cs="宋体"/>
                <w:i w:val="0"/>
                <w:color w:val="FF0000"/>
                <w:kern w:val="0"/>
                <w:sz w:val="22"/>
                <w:szCs w:val="22"/>
                <w:highlight w:val="yellow"/>
                <w:u w:val="none"/>
                <w:lang w:val="en-US" w:eastAsia="zh-CN" w:bidi="ar"/>
              </w:rPr>
            </w:pPr>
            <w:r>
              <w:rPr>
                <w:rFonts w:hint="eastAsia" w:ascii="宋体" w:hAnsi="宋体" w:eastAsia="宋体" w:cs="宋体"/>
                <w:i w:val="0"/>
                <w:color w:val="000000"/>
                <w:kern w:val="0"/>
                <w:sz w:val="22"/>
                <w:szCs w:val="22"/>
                <w:u w:val="none"/>
                <w:lang w:val="en-US" w:eastAsia="zh-CN" w:bidi="ar"/>
              </w:rPr>
              <w:t>100839013</w:t>
            </w:r>
          </w:p>
        </w:tc>
        <w:tc>
          <w:tcPr>
            <w:tcW w:w="1998" w:type="dxa"/>
            <w:vAlign w:val="center"/>
          </w:tcPr>
          <w:p>
            <w:pPr>
              <w:keepNext w:val="0"/>
              <w:keepLines w:val="0"/>
              <w:widowControl/>
              <w:suppressLineNumbers w:val="0"/>
              <w:ind w:firstLine="0" w:firstLineChars="0"/>
              <w:jc w:val="left"/>
              <w:textAlignment w:val="center"/>
              <w:rPr>
                <w:rFonts w:hint="eastAsia" w:ascii="宋体" w:hAnsi="宋体" w:eastAsia="宋体" w:cs="宋体"/>
                <w:i w:val="0"/>
                <w:color w:val="FF0000"/>
                <w:kern w:val="0"/>
                <w:sz w:val="22"/>
                <w:szCs w:val="22"/>
                <w:highlight w:val="yellow"/>
                <w:u w:val="none"/>
                <w:lang w:val="en-US" w:eastAsia="zh-CN" w:bidi="ar"/>
              </w:rPr>
            </w:pPr>
            <w:r>
              <w:rPr>
                <w:rFonts w:hint="eastAsia" w:ascii="宋体" w:hAnsi="宋体" w:eastAsia="宋体" w:cs="宋体"/>
                <w:i w:val="0"/>
                <w:color w:val="000000"/>
                <w:kern w:val="0"/>
                <w:sz w:val="22"/>
                <w:szCs w:val="22"/>
                <w:u w:val="none"/>
                <w:lang w:val="en-US" w:eastAsia="zh-CN" w:bidi="ar"/>
              </w:rPr>
              <w:t>船用电缆\CEFR82／SA\14*1.5MM2</w:t>
            </w:r>
          </w:p>
        </w:tc>
        <w:tc>
          <w:tcPr>
            <w:tcW w:w="660" w:type="dxa"/>
            <w:vAlign w:val="center"/>
          </w:tcPr>
          <w:p>
            <w:pPr>
              <w:keepNext w:val="0"/>
              <w:keepLines w:val="0"/>
              <w:widowControl/>
              <w:suppressLineNumbers w:val="0"/>
              <w:ind w:firstLine="0" w:firstLineChars="0"/>
              <w:jc w:val="left"/>
              <w:textAlignment w:val="center"/>
              <w:rPr>
                <w:rFonts w:hint="eastAsia" w:ascii="宋体" w:hAnsi="宋体" w:eastAsia="宋体" w:cs="宋体"/>
                <w:i w:val="0"/>
                <w:color w:val="FF0000"/>
                <w:kern w:val="0"/>
                <w:sz w:val="22"/>
                <w:szCs w:val="22"/>
                <w:highlight w:val="yellow"/>
                <w:u w:val="none"/>
                <w:lang w:val="en-US" w:eastAsia="zh-CN" w:bidi="ar"/>
              </w:rPr>
            </w:pPr>
            <w:r>
              <w:rPr>
                <w:rFonts w:hint="eastAsia" w:ascii="宋体" w:hAnsi="宋体" w:eastAsia="宋体" w:cs="宋体"/>
                <w:i w:val="0"/>
                <w:color w:val="000000"/>
                <w:kern w:val="0"/>
                <w:sz w:val="22"/>
                <w:szCs w:val="22"/>
                <w:u w:val="none"/>
                <w:lang w:val="en-US" w:eastAsia="zh-CN" w:bidi="ar"/>
              </w:rPr>
              <w:t>1000</w:t>
            </w:r>
          </w:p>
        </w:tc>
        <w:tc>
          <w:tcPr>
            <w:tcW w:w="709" w:type="dxa"/>
            <w:vAlign w:val="center"/>
          </w:tcPr>
          <w:p>
            <w:pPr>
              <w:keepNext w:val="0"/>
              <w:keepLines w:val="0"/>
              <w:widowControl/>
              <w:suppressLineNumbers w:val="0"/>
              <w:ind w:firstLine="0" w:firstLineChars="0"/>
              <w:jc w:val="left"/>
              <w:textAlignment w:val="center"/>
              <w:rPr>
                <w:rFonts w:hint="eastAsia" w:ascii="宋体" w:hAnsi="宋体" w:eastAsia="宋体" w:cs="宋体"/>
                <w:i w:val="0"/>
                <w:color w:val="FF0000"/>
                <w:kern w:val="0"/>
                <w:sz w:val="22"/>
                <w:szCs w:val="22"/>
                <w:highlight w:val="yellow"/>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3003" w:type="dxa"/>
            <w:vAlign w:val="center"/>
          </w:tcPr>
          <w:p>
            <w:pPr>
              <w:keepNext w:val="0"/>
              <w:keepLines w:val="0"/>
              <w:widowControl/>
              <w:suppressLineNumbers w:val="0"/>
              <w:ind w:firstLine="0" w:firstLineChars="0"/>
              <w:jc w:val="left"/>
              <w:textAlignment w:val="center"/>
              <w:rPr>
                <w:rFonts w:hint="eastAsia" w:ascii="宋体" w:hAnsi="宋体" w:eastAsia="宋体" w:cs="宋体"/>
                <w:i w:val="0"/>
                <w:color w:val="FF0000"/>
                <w:kern w:val="0"/>
                <w:sz w:val="22"/>
                <w:szCs w:val="22"/>
                <w:highlight w:val="yellow"/>
                <w:u w:val="none"/>
                <w:lang w:val="en-US" w:eastAsia="zh-CN" w:bidi="ar"/>
              </w:rPr>
            </w:pPr>
            <w:r>
              <w:rPr>
                <w:rFonts w:hint="eastAsia" w:ascii="宋体" w:hAnsi="宋体" w:eastAsia="宋体" w:cs="宋体"/>
                <w:i w:val="0"/>
                <w:color w:val="000000"/>
                <w:kern w:val="0"/>
                <w:sz w:val="22"/>
                <w:szCs w:val="22"/>
                <w:u w:val="none"/>
                <w:lang w:val="en-US" w:eastAsia="zh-CN" w:bidi="ar"/>
              </w:rPr>
              <w:t>450/750V，此电缆为行车使用滑缆，外护需进行更换为软材质防止磨损</w:t>
            </w:r>
          </w:p>
        </w:tc>
      </w:tr>
    </w:tbl>
    <w:p>
      <w:pPr>
        <w:pStyle w:val="4"/>
        <w:spacing w:before="156"/>
        <w:rPr>
          <w:rFonts w:hint="eastAsia"/>
          <w:lang w:eastAsia="zh-CN"/>
        </w:rPr>
      </w:pPr>
      <w:bookmarkStart w:id="8" w:name="_GoBack"/>
      <w:bookmarkEnd w:id="8"/>
    </w:p>
    <w:p>
      <w:pPr>
        <w:pStyle w:val="4"/>
        <w:spacing w:before="156"/>
      </w:pPr>
      <w:r>
        <w:rPr>
          <w:rFonts w:hint="eastAsia"/>
          <w:lang w:eastAsia="zh-CN"/>
        </w:rPr>
        <w:t>六</w:t>
      </w:r>
      <w:r>
        <w:rPr>
          <w:rFonts w:hint="eastAsia"/>
        </w:rPr>
        <w:t>、</w:t>
      </w:r>
      <w:r>
        <w:t>联系人信息</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8"/>
        <w:gridCol w:w="2108"/>
        <w:gridCol w:w="2158"/>
        <w:gridCol w:w="2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48"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联系人（采购人）</w:t>
            </w:r>
          </w:p>
        </w:tc>
        <w:tc>
          <w:tcPr>
            <w:tcW w:w="2108" w:type="dxa"/>
            <w:shd w:val="clear" w:color="auto" w:fill="auto"/>
            <w:vAlign w:val="center"/>
          </w:tcPr>
          <w:p>
            <w:pPr>
              <w:widowControl/>
              <w:spacing w:line="240" w:lineRule="auto"/>
              <w:ind w:firstLine="0" w:firstLineChars="0"/>
              <w:jc w:val="center"/>
              <w:rPr>
                <w:rFonts w:hint="eastAsia" w:ascii="宋体" w:hAnsi="宋体" w:eastAsia="宋体" w:cs="宋体"/>
                <w:kern w:val="0"/>
                <w:sz w:val="21"/>
                <w:szCs w:val="21"/>
                <w:lang w:eastAsia="zh-CN"/>
              </w:rPr>
            </w:pPr>
            <w:r>
              <w:rPr>
                <w:rFonts w:hint="eastAsia" w:ascii="宋体" w:hAnsi="宋体" w:cs="宋体"/>
                <w:kern w:val="0"/>
                <w:sz w:val="21"/>
                <w:szCs w:val="21"/>
                <w:lang w:eastAsia="zh-CN"/>
              </w:rPr>
              <w:t>王工</w:t>
            </w:r>
          </w:p>
        </w:tc>
        <w:tc>
          <w:tcPr>
            <w:tcW w:w="2158"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询价单位</w:t>
            </w:r>
          </w:p>
        </w:tc>
        <w:tc>
          <w:tcPr>
            <w:tcW w:w="2108" w:type="dxa"/>
            <w:shd w:val="clear" w:color="auto" w:fill="auto"/>
            <w:vAlign w:val="center"/>
          </w:tcPr>
          <w:p>
            <w:pPr>
              <w:widowControl/>
              <w:spacing w:line="240" w:lineRule="auto"/>
              <w:ind w:firstLine="0" w:firstLineChars="0"/>
              <w:jc w:val="center"/>
              <w:rPr>
                <w:rFonts w:hint="eastAsia" w:ascii="宋体" w:hAnsi="宋体" w:eastAsia="宋体" w:cs="宋体"/>
                <w:kern w:val="0"/>
                <w:sz w:val="21"/>
                <w:szCs w:val="21"/>
                <w:lang w:eastAsia="zh-CN"/>
              </w:rPr>
            </w:pPr>
            <w:r>
              <w:rPr>
                <w:rFonts w:hint="eastAsia" w:ascii="宋体" w:hAnsi="宋体" w:cs="宋体"/>
                <w:kern w:val="0"/>
                <w:sz w:val="21"/>
                <w:szCs w:val="21"/>
                <w:lang w:eastAsia="zh-CN"/>
              </w:rPr>
              <w:t>华能渑池热电有限责任公司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48"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联系电话</w:t>
            </w:r>
          </w:p>
        </w:tc>
        <w:tc>
          <w:tcPr>
            <w:tcW w:w="2108" w:type="dxa"/>
            <w:shd w:val="clear" w:color="auto" w:fill="auto"/>
            <w:vAlign w:val="center"/>
          </w:tcPr>
          <w:p>
            <w:pPr>
              <w:widowControl/>
              <w:spacing w:line="240" w:lineRule="auto"/>
              <w:ind w:firstLine="0" w:firstLineChars="0"/>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0398-2318076</w:t>
            </w:r>
          </w:p>
        </w:tc>
        <w:tc>
          <w:tcPr>
            <w:tcW w:w="2158"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传真</w:t>
            </w:r>
          </w:p>
        </w:tc>
        <w:tc>
          <w:tcPr>
            <w:tcW w:w="2108" w:type="dxa"/>
            <w:shd w:val="clear" w:color="auto" w:fill="auto"/>
            <w:vAlign w:val="center"/>
          </w:tcPr>
          <w:p>
            <w:pPr>
              <w:spacing w:line="240" w:lineRule="auto"/>
              <w:ind w:left="0" w:leftChars="0" w:firstLine="0" w:firstLineChars="0"/>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48"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邮编</w:t>
            </w:r>
          </w:p>
        </w:tc>
        <w:tc>
          <w:tcPr>
            <w:tcW w:w="2108" w:type="dxa"/>
            <w:shd w:val="clear" w:color="auto" w:fill="auto"/>
            <w:vAlign w:val="center"/>
          </w:tcPr>
          <w:p>
            <w:pPr>
              <w:widowControl/>
              <w:spacing w:line="240" w:lineRule="auto"/>
              <w:ind w:firstLine="0" w:firstLineChars="0"/>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472400</w:t>
            </w:r>
          </w:p>
        </w:tc>
        <w:tc>
          <w:tcPr>
            <w:tcW w:w="2158"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Email</w:t>
            </w:r>
          </w:p>
        </w:tc>
        <w:tc>
          <w:tcPr>
            <w:tcW w:w="2108" w:type="dxa"/>
            <w:shd w:val="clear" w:color="auto" w:fill="auto"/>
            <w:vAlign w:val="center"/>
          </w:tcPr>
          <w:p>
            <w:pPr>
              <w:widowControl/>
              <w:spacing w:line="240" w:lineRule="auto"/>
              <w:ind w:firstLine="0" w:firstLineChars="0"/>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850283515@qq.com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48"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手机</w:t>
            </w:r>
          </w:p>
        </w:tc>
        <w:tc>
          <w:tcPr>
            <w:tcW w:w="2108" w:type="dxa"/>
            <w:shd w:val="clear" w:color="auto" w:fill="auto"/>
            <w:vAlign w:val="center"/>
          </w:tcPr>
          <w:p>
            <w:pPr>
              <w:widowControl/>
              <w:spacing w:line="240" w:lineRule="auto"/>
              <w:ind w:firstLine="0" w:firstLineChars="0"/>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16637926119</w:t>
            </w:r>
          </w:p>
        </w:tc>
        <w:tc>
          <w:tcPr>
            <w:tcW w:w="2158"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联系地址</w:t>
            </w:r>
          </w:p>
        </w:tc>
        <w:tc>
          <w:tcPr>
            <w:tcW w:w="2108" w:type="dxa"/>
            <w:shd w:val="clear" w:color="auto" w:fill="auto"/>
            <w:vAlign w:val="center"/>
          </w:tcPr>
          <w:p>
            <w:pPr>
              <w:widowControl/>
              <w:spacing w:line="240" w:lineRule="auto"/>
              <w:ind w:firstLine="0" w:firstLineChars="0"/>
              <w:jc w:val="center"/>
              <w:rPr>
                <w:rFonts w:hint="eastAsia" w:ascii="宋体" w:hAnsi="宋体" w:cs="宋体"/>
                <w:kern w:val="0"/>
                <w:sz w:val="21"/>
                <w:szCs w:val="21"/>
                <w:lang w:val="en-US" w:eastAsia="zh-CN"/>
              </w:rPr>
            </w:pPr>
            <w:r>
              <w:rPr>
                <w:rFonts w:hint="eastAsia" w:ascii="宋体" w:hAnsi="宋体" w:cs="宋体"/>
                <w:kern w:val="0"/>
                <w:sz w:val="21"/>
                <w:szCs w:val="21"/>
                <w:lang w:eastAsia="zh-CN"/>
              </w:rPr>
              <w:t>河南省</w:t>
            </w:r>
            <w:r>
              <w:rPr>
                <w:rFonts w:hint="eastAsia" w:ascii="宋体" w:hAnsi="宋体" w:cs="宋体"/>
                <w:kern w:val="0"/>
                <w:sz w:val="21"/>
                <w:szCs w:val="21"/>
                <w:lang w:val="en-US" w:eastAsia="zh-CN"/>
              </w:rPr>
              <w:t xml:space="preserve"> 三门峡市 </w:t>
            </w:r>
          </w:p>
          <w:p>
            <w:pPr>
              <w:widowControl/>
              <w:spacing w:line="240" w:lineRule="auto"/>
              <w:ind w:firstLine="0" w:firstLineChars="0"/>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渑池县 会盟路东段</w:t>
            </w:r>
          </w:p>
        </w:tc>
      </w:tr>
    </w:tbl>
    <w:p>
      <w:pPr>
        <w:pStyle w:val="4"/>
        <w:spacing w:before="156"/>
        <w:rPr>
          <w:rFonts w:hint="eastAsia" w:eastAsia="黑体"/>
          <w:lang w:val="en-US" w:eastAsia="zh-CN"/>
        </w:rPr>
      </w:pPr>
      <w:r>
        <w:rPr>
          <w:rFonts w:hint="eastAsia"/>
          <w:lang w:eastAsia="zh-CN"/>
        </w:rPr>
        <w:t>七</w:t>
      </w:r>
      <w:r>
        <w:rPr>
          <w:rFonts w:hint="eastAsia"/>
        </w:rPr>
        <w:t>、</w:t>
      </w:r>
      <w:r>
        <w:t>附件</w:t>
      </w:r>
    </w:p>
    <w:bookmarkEnd w:id="5"/>
    <w:bookmarkEnd w:id="6"/>
    <w:p>
      <w:pPr>
        <w:spacing w:before="120"/>
        <w:ind w:firstLine="0" w:firstLineChars="0"/>
        <w:rPr>
          <w:rFonts w:hint="eastAsia"/>
          <w:color w:val="FF0000"/>
        </w:rPr>
      </w:pPr>
      <w:r>
        <w:rPr>
          <w:rFonts w:ascii="宋体" w:hAnsi="宋体" w:cs="宋体"/>
          <w:bCs/>
          <w:color w:val="FF0000"/>
          <w:szCs w:val="24"/>
        </w:rPr>
        <w:t>只接受供应商</w:t>
      </w:r>
      <w:r>
        <w:rPr>
          <w:rFonts w:hint="eastAsia" w:ascii="宋体" w:hAnsi="宋体" w:cs="宋体"/>
          <w:bCs/>
          <w:color w:val="FF0000"/>
          <w:szCs w:val="24"/>
        </w:rPr>
        <w:t>通过电子商务平台线上对需要澄清的内容提出问询</w:t>
      </w:r>
      <w:r>
        <w:rPr>
          <w:rFonts w:hint="eastAsia"/>
          <w:color w:val="FF0000"/>
        </w:rPr>
        <w:t>。</w:t>
      </w:r>
    </w:p>
    <w:p>
      <w:pPr>
        <w:pStyle w:val="4"/>
        <w:spacing w:before="156"/>
        <w:rPr>
          <w:rFonts w:hint="eastAsia"/>
          <w:lang w:eastAsia="zh-CN"/>
        </w:rPr>
      </w:pPr>
      <w:bookmarkStart w:id="7" w:name="_Toc527708266"/>
    </w:p>
    <w:p>
      <w:pPr>
        <w:pStyle w:val="4"/>
        <w:spacing w:before="156"/>
        <w:rPr>
          <w:rFonts w:hint="eastAsia"/>
        </w:rPr>
      </w:pPr>
      <w:r>
        <w:rPr>
          <w:rFonts w:hint="eastAsia"/>
          <w:lang w:eastAsia="zh-CN"/>
        </w:rPr>
        <w:t>八、</w:t>
      </w:r>
      <w:r>
        <w:rPr>
          <w:rFonts w:hint="eastAsia"/>
        </w:rPr>
        <w:t>合同条款及格式</w:t>
      </w:r>
      <w:bookmarkEnd w:id="7"/>
    </w:p>
    <w:p>
      <w:pPr>
        <w:pStyle w:val="2"/>
        <w:rPr>
          <w:rFonts w:hint="eastAsia"/>
        </w:rPr>
      </w:pPr>
    </w:p>
    <w:p>
      <w:pPr>
        <w:spacing w:before="0" w:line="338" w:lineRule="exact"/>
        <w:ind w:left="0" w:leftChars="0" w:right="0" w:firstLine="0" w:firstLineChars="0"/>
        <w:jc w:val="center"/>
        <w:rPr>
          <w:rFonts w:hint="eastAsia" w:ascii="宋体" w:hAnsi="宋体" w:eastAsia="宋体" w:cs="宋体"/>
          <w:sz w:val="28"/>
          <w:szCs w:val="28"/>
        </w:rPr>
      </w:pPr>
      <w:r>
        <w:rPr>
          <w:rFonts w:hint="eastAsia" w:ascii="宋体" w:hAnsi="宋体" w:eastAsia="宋体" w:cs="宋体"/>
          <w:sz w:val="28"/>
          <w:szCs w:val="28"/>
        </w:rPr>
        <w:t>渑池热电公司</w:t>
      </w:r>
      <w:r>
        <w:rPr>
          <w:rFonts w:hint="eastAsia" w:ascii="宋体" w:hAnsi="宋体" w:eastAsia="宋体" w:cs="宋体"/>
          <w:sz w:val="28"/>
          <w:szCs w:val="28"/>
          <w:lang w:val="en-US" w:eastAsia="zh-CN"/>
        </w:rPr>
        <w:t>XX</w:t>
      </w:r>
      <w:r>
        <w:rPr>
          <w:rFonts w:hint="eastAsia" w:ascii="宋体" w:hAnsi="宋体" w:eastAsia="宋体" w:cs="宋体"/>
          <w:sz w:val="28"/>
          <w:szCs w:val="28"/>
        </w:rPr>
        <w:t>采购</w:t>
      </w:r>
    </w:p>
    <w:p>
      <w:pPr>
        <w:ind w:left="0" w:leftChars="0" w:firstLine="0" w:firstLineChars="0"/>
        <w:rPr>
          <w:rFonts w:hint="eastAsia" w:ascii="宋体" w:hAnsi="宋体" w:eastAsia="宋体" w:cs="宋体"/>
          <w:sz w:val="28"/>
          <w:szCs w:val="28"/>
        </w:rPr>
      </w:pPr>
    </w:p>
    <w:p>
      <w:pPr>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甲方：华能渑池热电有限责任公司</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合同编号:</w:t>
      </w:r>
    </w:p>
    <w:p>
      <w:pPr>
        <w:ind w:left="0" w:leftChars="0" w:firstLine="0" w:firstLineChars="0"/>
        <w:rPr>
          <w:rFonts w:hint="eastAsia" w:ascii="宋体" w:hAnsi="宋体" w:eastAsia="宋体" w:cs="宋体"/>
          <w:sz w:val="24"/>
          <w:szCs w:val="24"/>
          <w:lang w:eastAsia="zh-CN"/>
        </w:rPr>
      </w:pPr>
      <w:r>
        <w:rPr>
          <w:rFonts w:hint="eastAsia" w:ascii="宋体" w:hAnsi="宋体" w:eastAsia="宋体" w:cs="宋体"/>
          <w:sz w:val="24"/>
          <w:szCs w:val="24"/>
        </w:rPr>
        <w:t>乙方：</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采购订单号:</w:t>
      </w:r>
    </w:p>
    <w:p>
      <w:pPr>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签约地点:华能渑池热电有限责任公司</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签约时间:</w:t>
      </w:r>
      <w:r>
        <w:rPr>
          <w:rFonts w:hint="eastAsia" w:ascii="宋体" w:hAnsi="宋体" w:eastAsia="宋体" w:cs="宋体"/>
          <w:sz w:val="24"/>
          <w:szCs w:val="24"/>
        </w:rPr>
        <w:tab/>
      </w:r>
    </w:p>
    <w:p>
      <w:pPr>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甲乙双方本着平等互利的原则，经友好协商，达成以下协议：</w:t>
      </w:r>
    </w:p>
    <w:p>
      <w:pPr>
        <w:numPr>
          <w:ilvl w:val="0"/>
          <w:numId w:val="0"/>
        </w:numPr>
        <w:rPr>
          <w:rFonts w:hint="eastAsia" w:ascii="宋体" w:hAnsi="宋体" w:eastAsia="宋体" w:cs="宋体"/>
          <w:sz w:val="24"/>
          <w:szCs w:val="24"/>
        </w:rPr>
      </w:pPr>
      <w:r>
        <w:rPr>
          <w:rFonts w:hint="eastAsia" w:ascii="宋体" w:hAnsi="宋体" w:eastAsia="宋体" w:cs="宋体"/>
          <w:sz w:val="24"/>
          <w:szCs w:val="24"/>
          <w:lang w:eastAsia="zh-CN"/>
        </w:rPr>
        <w:t>一、</w:t>
      </w:r>
      <w:r>
        <w:rPr>
          <w:rFonts w:hint="eastAsia" w:ascii="宋体" w:hAnsi="宋体" w:eastAsia="宋体" w:cs="宋体"/>
          <w:sz w:val="24"/>
          <w:szCs w:val="24"/>
        </w:rPr>
        <w:t>供货内容：</w:t>
      </w:r>
    </w:p>
    <w:tbl>
      <w:tblPr>
        <w:tblStyle w:val="14"/>
        <w:tblW w:w="10143" w:type="dxa"/>
        <w:jc w:val="center"/>
        <w:tblInd w:w="131" w:type="dxa"/>
        <w:tblLayout w:type="fixed"/>
        <w:tblCellMar>
          <w:top w:w="0" w:type="dxa"/>
          <w:left w:w="0" w:type="dxa"/>
          <w:bottom w:w="0" w:type="dxa"/>
          <w:right w:w="0" w:type="dxa"/>
        </w:tblCellMar>
      </w:tblPr>
      <w:tblGrid>
        <w:gridCol w:w="720"/>
        <w:gridCol w:w="1440"/>
        <w:gridCol w:w="1683"/>
        <w:gridCol w:w="1118"/>
        <w:gridCol w:w="1105"/>
        <w:gridCol w:w="1404"/>
        <w:gridCol w:w="1391"/>
        <w:gridCol w:w="1282"/>
      </w:tblGrid>
      <w:tr>
        <w:tblPrEx>
          <w:tblLayout w:type="fixed"/>
          <w:tblCellMar>
            <w:top w:w="0" w:type="dxa"/>
            <w:left w:w="0" w:type="dxa"/>
            <w:bottom w:w="0" w:type="dxa"/>
            <w:right w:w="0" w:type="dxa"/>
          </w:tblCellMar>
        </w:tblPrEx>
        <w:trPr>
          <w:trHeight w:val="567" w:hRule="exact"/>
          <w:jc w:val="center"/>
        </w:trPr>
        <w:tc>
          <w:tcPr>
            <w:tcW w:w="720" w:type="dxa"/>
            <w:tcBorders>
              <w:top w:val="single" w:color="000000" w:sz="4" w:space="0"/>
              <w:left w:val="single" w:color="000000" w:sz="4" w:space="0"/>
              <w:bottom w:val="single" w:color="000000" w:sz="4" w:space="0"/>
              <w:right w:val="single" w:color="000000" w:sz="4" w:space="0"/>
            </w:tcBorders>
            <w:vAlign w:val="top"/>
          </w:tcPr>
          <w:p>
            <w:pPr>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序号</w:t>
            </w:r>
          </w:p>
        </w:tc>
        <w:tc>
          <w:tcPr>
            <w:tcW w:w="1440" w:type="dxa"/>
            <w:tcBorders>
              <w:top w:val="single" w:color="000000" w:sz="4" w:space="0"/>
              <w:left w:val="single" w:color="000000" w:sz="4" w:space="0"/>
              <w:bottom w:val="single" w:color="000000" w:sz="4" w:space="0"/>
              <w:right w:val="single" w:color="000000" w:sz="4" w:space="0"/>
            </w:tcBorders>
            <w:vAlign w:val="top"/>
          </w:tcPr>
          <w:p>
            <w:pPr>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物料编码</w:t>
            </w:r>
          </w:p>
        </w:tc>
        <w:tc>
          <w:tcPr>
            <w:tcW w:w="1683" w:type="dxa"/>
            <w:tcBorders>
              <w:top w:val="single" w:color="000000" w:sz="4" w:space="0"/>
              <w:left w:val="single" w:color="000000" w:sz="4" w:space="0"/>
              <w:bottom w:val="single" w:color="000000" w:sz="4" w:space="0"/>
              <w:right w:val="single" w:color="000000" w:sz="4" w:space="0"/>
            </w:tcBorders>
            <w:vAlign w:val="top"/>
          </w:tcPr>
          <w:p>
            <w:pPr>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物料描述</w:t>
            </w:r>
          </w:p>
        </w:tc>
        <w:tc>
          <w:tcPr>
            <w:tcW w:w="1118" w:type="dxa"/>
            <w:tcBorders>
              <w:top w:val="single" w:color="000000" w:sz="4" w:space="0"/>
              <w:left w:val="single" w:color="000000" w:sz="4" w:space="0"/>
              <w:bottom w:val="single" w:color="000000" w:sz="4" w:space="0"/>
              <w:right w:val="single" w:color="000000" w:sz="4" w:space="0"/>
            </w:tcBorders>
            <w:vAlign w:val="top"/>
          </w:tcPr>
          <w:p>
            <w:pPr>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单位</w:t>
            </w:r>
          </w:p>
        </w:tc>
        <w:tc>
          <w:tcPr>
            <w:tcW w:w="1105" w:type="dxa"/>
            <w:tcBorders>
              <w:top w:val="single" w:color="000000" w:sz="4" w:space="0"/>
              <w:left w:val="single" w:color="000000" w:sz="4" w:space="0"/>
              <w:bottom w:val="single" w:color="000000" w:sz="4" w:space="0"/>
              <w:right w:val="single" w:color="000000" w:sz="4" w:space="0"/>
            </w:tcBorders>
            <w:vAlign w:val="top"/>
          </w:tcPr>
          <w:p>
            <w:pPr>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数量</w:t>
            </w:r>
          </w:p>
        </w:tc>
        <w:tc>
          <w:tcPr>
            <w:tcW w:w="1404" w:type="dxa"/>
            <w:tcBorders>
              <w:top w:val="single" w:color="000000" w:sz="4" w:space="0"/>
              <w:left w:val="single" w:color="000000" w:sz="4" w:space="0"/>
              <w:bottom w:val="single" w:color="000000" w:sz="4" w:space="0"/>
              <w:right w:val="single" w:color="000000" w:sz="4" w:space="0"/>
            </w:tcBorders>
            <w:vAlign w:val="top"/>
          </w:tcPr>
          <w:p>
            <w:pPr>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单价(元)</w:t>
            </w:r>
          </w:p>
        </w:tc>
        <w:tc>
          <w:tcPr>
            <w:tcW w:w="1391" w:type="dxa"/>
            <w:tcBorders>
              <w:top w:val="single" w:color="000000" w:sz="4" w:space="0"/>
              <w:left w:val="single" w:color="000000" w:sz="4" w:space="0"/>
              <w:bottom w:val="single" w:color="000000" w:sz="4" w:space="0"/>
              <w:right w:val="single" w:color="000000" w:sz="4" w:space="0"/>
            </w:tcBorders>
            <w:vAlign w:val="top"/>
          </w:tcPr>
          <w:p>
            <w:pPr>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合价(元)</w:t>
            </w:r>
          </w:p>
        </w:tc>
        <w:tc>
          <w:tcPr>
            <w:tcW w:w="1282" w:type="dxa"/>
            <w:tcBorders>
              <w:top w:val="single" w:color="000000" w:sz="4" w:space="0"/>
              <w:left w:val="single" w:color="000000" w:sz="4" w:space="0"/>
              <w:bottom w:val="single" w:color="000000" w:sz="4" w:space="0"/>
              <w:right w:val="single" w:color="000000" w:sz="4" w:space="0"/>
            </w:tcBorders>
            <w:vAlign w:val="top"/>
          </w:tcPr>
          <w:p>
            <w:pPr>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备注</w:t>
            </w:r>
          </w:p>
        </w:tc>
      </w:tr>
      <w:tr>
        <w:tblPrEx>
          <w:tblLayout w:type="fixed"/>
          <w:tblCellMar>
            <w:top w:w="0" w:type="dxa"/>
            <w:left w:w="0" w:type="dxa"/>
            <w:bottom w:w="0" w:type="dxa"/>
            <w:right w:w="0" w:type="dxa"/>
          </w:tblCellMar>
        </w:tblPrEx>
        <w:trPr>
          <w:trHeight w:val="576" w:hRule="exact"/>
          <w:jc w:val="center"/>
        </w:trPr>
        <w:tc>
          <w:tcPr>
            <w:tcW w:w="720" w:type="dxa"/>
            <w:tcBorders>
              <w:top w:val="single" w:color="000000" w:sz="4" w:space="0"/>
              <w:left w:val="single" w:color="000000" w:sz="4" w:space="0"/>
              <w:bottom w:val="single" w:color="000000" w:sz="4" w:space="0"/>
              <w:right w:val="single" w:color="000000" w:sz="4" w:space="0"/>
            </w:tcBorders>
            <w:vAlign w:val="top"/>
          </w:tcPr>
          <w:p>
            <w:pPr>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1</w:t>
            </w:r>
          </w:p>
        </w:tc>
        <w:tc>
          <w:tcPr>
            <w:tcW w:w="144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sz w:val="24"/>
                <w:szCs w:val="24"/>
              </w:rPr>
            </w:pPr>
          </w:p>
        </w:tc>
        <w:tc>
          <w:tcPr>
            <w:tcW w:w="1683"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sz w:val="24"/>
                <w:szCs w:val="24"/>
              </w:rPr>
            </w:pPr>
          </w:p>
        </w:tc>
        <w:tc>
          <w:tcPr>
            <w:tcW w:w="1118"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sz w:val="24"/>
                <w:szCs w:val="24"/>
              </w:rPr>
            </w:pPr>
          </w:p>
        </w:tc>
        <w:tc>
          <w:tcPr>
            <w:tcW w:w="1105"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sz w:val="24"/>
                <w:szCs w:val="24"/>
              </w:rPr>
            </w:pPr>
          </w:p>
        </w:tc>
        <w:tc>
          <w:tcPr>
            <w:tcW w:w="1404"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sz w:val="24"/>
                <w:szCs w:val="24"/>
              </w:rPr>
            </w:pPr>
          </w:p>
        </w:tc>
        <w:tc>
          <w:tcPr>
            <w:tcW w:w="1391"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sz w:val="24"/>
                <w:szCs w:val="24"/>
              </w:rPr>
            </w:pPr>
          </w:p>
        </w:tc>
        <w:tc>
          <w:tcPr>
            <w:tcW w:w="128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sz w:val="24"/>
                <w:szCs w:val="24"/>
              </w:rPr>
            </w:pPr>
          </w:p>
        </w:tc>
      </w:tr>
      <w:tr>
        <w:tblPrEx>
          <w:tblLayout w:type="fixed"/>
          <w:tblCellMar>
            <w:top w:w="0" w:type="dxa"/>
            <w:left w:w="0" w:type="dxa"/>
            <w:bottom w:w="0" w:type="dxa"/>
            <w:right w:w="0" w:type="dxa"/>
          </w:tblCellMar>
        </w:tblPrEx>
        <w:trPr>
          <w:trHeight w:val="432" w:hRule="exact"/>
          <w:jc w:val="center"/>
        </w:trPr>
        <w:tc>
          <w:tcPr>
            <w:tcW w:w="2160" w:type="dxa"/>
            <w:gridSpan w:val="2"/>
            <w:tcBorders>
              <w:top w:val="single" w:color="000000" w:sz="4" w:space="0"/>
              <w:left w:val="single" w:color="000000" w:sz="4" w:space="0"/>
              <w:bottom w:val="single" w:color="000000" w:sz="4" w:space="0"/>
              <w:right w:val="single" w:color="000000" w:sz="4" w:space="0"/>
            </w:tcBorders>
            <w:vAlign w:val="top"/>
          </w:tcPr>
          <w:p>
            <w:pPr>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合计金额(人民币)</w:t>
            </w:r>
          </w:p>
        </w:tc>
        <w:tc>
          <w:tcPr>
            <w:tcW w:w="6701" w:type="dxa"/>
            <w:gridSpan w:val="5"/>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sz w:val="24"/>
                <w:szCs w:val="24"/>
              </w:rPr>
            </w:pPr>
            <w:r>
              <w:rPr>
                <w:rFonts w:hint="eastAsia" w:ascii="宋体" w:hAnsi="宋体" w:eastAsia="宋体" w:cs="宋体"/>
                <w:sz w:val="24"/>
                <w:szCs w:val="24"/>
              </w:rPr>
              <w:t>(￥元)</w:t>
            </w:r>
          </w:p>
        </w:tc>
        <w:tc>
          <w:tcPr>
            <w:tcW w:w="1282" w:type="dxa"/>
            <w:tcBorders>
              <w:top w:val="single" w:color="000000" w:sz="4" w:space="0"/>
              <w:left w:val="single" w:color="000000" w:sz="4" w:space="0"/>
              <w:bottom w:val="single" w:color="000000" w:sz="4" w:space="0"/>
              <w:right w:val="single" w:color="000000" w:sz="4" w:space="0"/>
            </w:tcBorders>
            <w:vAlign w:val="top"/>
          </w:tcPr>
          <w:p>
            <w:pPr>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含运费</w:t>
            </w:r>
          </w:p>
        </w:tc>
      </w:tr>
    </w:tbl>
    <w:p>
      <w:pPr>
        <w:numPr>
          <w:ilvl w:val="0"/>
          <w:numId w:val="0"/>
        </w:numPr>
        <w:rPr>
          <w:rFonts w:hint="eastAsia" w:ascii="宋体" w:hAnsi="宋体" w:eastAsia="宋体"/>
          <w:szCs w:val="24"/>
          <w:lang w:eastAsia="zh-CN"/>
        </w:rPr>
      </w:pPr>
      <w:r>
        <w:rPr>
          <w:rFonts w:hint="eastAsia" w:ascii="宋体" w:hAnsi="宋体" w:eastAsia="宋体"/>
          <w:szCs w:val="24"/>
          <w:lang w:eastAsia="zh-CN"/>
        </w:rPr>
        <w:t>二、</w:t>
      </w:r>
      <w:r>
        <w:rPr>
          <w:rFonts w:hint="eastAsia" w:ascii="宋体" w:hAnsi="宋体"/>
          <w:szCs w:val="24"/>
        </w:rPr>
        <w:t>供货信息</w:t>
      </w:r>
    </w:p>
    <w:p>
      <w:pPr>
        <w:numPr>
          <w:ilvl w:val="0"/>
          <w:numId w:val="0"/>
        </w:numPr>
        <w:rPr>
          <w:rFonts w:hint="eastAsia" w:ascii="宋体" w:hAnsi="宋体"/>
          <w:szCs w:val="24"/>
        </w:rPr>
      </w:pPr>
      <w:r>
        <w:rPr>
          <w:rFonts w:hint="eastAsia" w:ascii="宋体" w:hAnsi="宋体"/>
          <w:szCs w:val="24"/>
        </w:rPr>
        <w:t>供货对象：华能渑池热电有限责任公司</w:t>
      </w:r>
    </w:p>
    <w:p>
      <w:pPr>
        <w:numPr>
          <w:ilvl w:val="0"/>
          <w:numId w:val="0"/>
        </w:numPr>
        <w:rPr>
          <w:rFonts w:hint="eastAsia" w:ascii="宋体" w:hAnsi="宋体" w:eastAsia="宋体"/>
          <w:szCs w:val="24"/>
          <w:lang w:eastAsia="zh-CN"/>
        </w:rPr>
      </w:pPr>
      <w:r>
        <w:rPr>
          <w:rFonts w:hint="eastAsia" w:ascii="宋体" w:hAnsi="宋体"/>
          <w:szCs w:val="24"/>
        </w:rPr>
        <w:t>交货地点：河南省三门峡市渑池县会盟路东段华能渑池热电有限责任公司</w:t>
      </w:r>
    </w:p>
    <w:p>
      <w:pPr>
        <w:numPr>
          <w:ilvl w:val="0"/>
          <w:numId w:val="0"/>
        </w:numPr>
        <w:rPr>
          <w:rFonts w:hint="eastAsia" w:ascii="宋体" w:hAnsi="宋体" w:eastAsia="宋体"/>
          <w:szCs w:val="24"/>
          <w:lang w:val="en-US" w:eastAsia="zh-CN"/>
        </w:rPr>
      </w:pPr>
      <w:r>
        <w:rPr>
          <w:rFonts w:hint="eastAsia" w:ascii="宋体" w:hAnsi="宋体"/>
          <w:szCs w:val="24"/>
        </w:rPr>
        <w:t>联系方式：</w:t>
      </w:r>
      <w:r>
        <w:rPr>
          <w:rFonts w:hint="eastAsia" w:ascii="宋体" w:hAnsi="宋体"/>
          <w:szCs w:val="24"/>
          <w:lang w:eastAsia="zh-CN"/>
        </w:rPr>
        <w:t>王工</w:t>
      </w:r>
    </w:p>
    <w:p>
      <w:pPr>
        <w:numPr>
          <w:ilvl w:val="0"/>
          <w:numId w:val="0"/>
        </w:numPr>
        <w:rPr>
          <w:rFonts w:hint="eastAsia" w:ascii="宋体" w:hAnsi="宋体"/>
          <w:szCs w:val="24"/>
        </w:rPr>
      </w:pPr>
      <w:r>
        <w:rPr>
          <w:rFonts w:hint="eastAsia" w:ascii="宋体" w:hAnsi="宋体"/>
          <w:szCs w:val="24"/>
        </w:rPr>
        <w:t>交货时间：签订合同后X日内</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sz w:val="24"/>
          <w:szCs w:val="24"/>
        </w:rPr>
      </w:pPr>
      <w:r>
        <w:rPr>
          <w:rFonts w:hint="eastAsia"/>
          <w:sz w:val="24"/>
          <w:szCs w:val="24"/>
        </w:rPr>
        <w:t>三、合同条款</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highlight w:val="none"/>
        </w:rPr>
      </w:pPr>
      <w:r>
        <w:rPr>
          <w:rFonts w:hint="eastAsia"/>
          <w:sz w:val="24"/>
          <w:szCs w:val="24"/>
        </w:rPr>
        <w:t xml:space="preserve">（一） </w:t>
      </w:r>
      <w:r>
        <w:rPr>
          <w:rFonts w:hint="eastAsia"/>
          <w:sz w:val="24"/>
          <w:szCs w:val="24"/>
          <w:lang w:eastAsia="zh-CN"/>
        </w:rPr>
        <w:t>产品</w:t>
      </w:r>
      <w:r>
        <w:rPr>
          <w:rFonts w:hint="eastAsia"/>
          <w:sz w:val="24"/>
          <w:szCs w:val="24"/>
        </w:rPr>
        <w:t>质量</w:t>
      </w:r>
      <w:r>
        <w:rPr>
          <w:rFonts w:hint="eastAsia"/>
          <w:sz w:val="24"/>
          <w:szCs w:val="24"/>
          <w:highlight w:val="none"/>
        </w:rPr>
        <w:t>：</w:t>
      </w:r>
      <w:r>
        <w:rPr>
          <w:rFonts w:hint="eastAsia"/>
          <w:sz w:val="24"/>
          <w:szCs w:val="24"/>
        </w:rPr>
        <w:t>乙</w:t>
      </w:r>
      <w:r>
        <w:rPr>
          <w:rFonts w:hint="eastAsia"/>
          <w:sz w:val="24"/>
          <w:szCs w:val="24"/>
          <w:highlight w:val="none"/>
        </w:rPr>
        <w:t>方</w:t>
      </w:r>
      <w:r>
        <w:rPr>
          <w:rFonts w:hint="eastAsia"/>
          <w:sz w:val="24"/>
          <w:szCs w:val="24"/>
          <w:highlight w:val="none"/>
          <w:lang w:eastAsia="zh-CN"/>
        </w:rPr>
        <w:t>应当</w:t>
      </w:r>
      <w:r>
        <w:rPr>
          <w:rFonts w:hint="eastAsia"/>
          <w:sz w:val="24"/>
          <w:szCs w:val="24"/>
          <w:highlight w:val="none"/>
        </w:rPr>
        <w:t>出具</w:t>
      </w:r>
      <w:r>
        <w:rPr>
          <w:rFonts w:hint="eastAsia"/>
          <w:strike/>
          <w:dstrike w:val="0"/>
          <w:sz w:val="24"/>
          <w:szCs w:val="24"/>
          <w:highlight w:val="none"/>
        </w:rPr>
        <w:t>的</w:t>
      </w:r>
      <w:r>
        <w:rPr>
          <w:rFonts w:hint="eastAsia"/>
          <w:sz w:val="24"/>
          <w:szCs w:val="24"/>
          <w:highlight w:val="none"/>
        </w:rPr>
        <w:t>《产品合格证》。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eastAsia="宋体"/>
          <w:sz w:val="24"/>
          <w:szCs w:val="24"/>
          <w:highlight w:val="none"/>
          <w:lang w:eastAsia="zh-CN"/>
        </w:rPr>
      </w:pPr>
      <w:r>
        <w:rPr>
          <w:rFonts w:hint="eastAsia"/>
          <w:sz w:val="24"/>
          <w:szCs w:val="24"/>
          <w:highlight w:val="none"/>
        </w:rPr>
        <w:t>（二） 质量保证期：质检会签单签发后的一年。（</w:t>
      </w:r>
      <w:r>
        <w:rPr>
          <w:rFonts w:hint="eastAsia"/>
          <w:sz w:val="24"/>
          <w:szCs w:val="24"/>
          <w:highlight w:val="none"/>
          <w:lang w:eastAsia="zh-CN"/>
        </w:rPr>
        <w:t>保质</w:t>
      </w:r>
      <w:r>
        <w:rPr>
          <w:rFonts w:hint="eastAsia"/>
          <w:sz w:val="24"/>
          <w:szCs w:val="24"/>
          <w:highlight w:val="none"/>
        </w:rPr>
        <w:t>期内，</w:t>
      </w:r>
      <w:r>
        <w:rPr>
          <w:rFonts w:hint="eastAsia"/>
          <w:sz w:val="24"/>
          <w:szCs w:val="24"/>
          <w:highlight w:val="none"/>
          <w:lang w:eastAsia="zh-CN"/>
        </w:rPr>
        <w:t>产品</w:t>
      </w:r>
      <w:r>
        <w:rPr>
          <w:rFonts w:hint="eastAsia"/>
          <w:sz w:val="24"/>
          <w:szCs w:val="24"/>
          <w:highlight w:val="none"/>
        </w:rPr>
        <w:t>如出现质量问题，乙方应</w:t>
      </w:r>
      <w:r>
        <w:rPr>
          <w:rFonts w:hint="eastAsia"/>
          <w:sz w:val="24"/>
          <w:szCs w:val="24"/>
          <w:highlight w:val="none"/>
          <w:lang w:eastAsia="zh-CN"/>
        </w:rPr>
        <w:t>在</w:t>
      </w:r>
      <w:r>
        <w:rPr>
          <w:rFonts w:hint="eastAsia"/>
          <w:sz w:val="24"/>
          <w:szCs w:val="24"/>
          <w:highlight w:val="none"/>
        </w:rPr>
        <w:t>甲方通知后48小时内赶到现场,并在到达现场后48小时内排除故障</w:t>
      </w:r>
      <w:r>
        <w:rPr>
          <w:rFonts w:hint="eastAsia"/>
          <w:sz w:val="24"/>
          <w:szCs w:val="24"/>
          <w:highlight w:val="none"/>
          <w:lang w:eastAsia="zh-CN"/>
        </w:rPr>
        <w:t>并达到正常</w:t>
      </w:r>
      <w:r>
        <w:rPr>
          <w:rFonts w:hint="eastAsia"/>
          <w:sz w:val="24"/>
          <w:szCs w:val="24"/>
          <w:highlight w:val="none"/>
        </w:rPr>
        <w:t>使用，或根据实际情况按要求免费更换产品</w:t>
      </w:r>
      <w:r>
        <w:rPr>
          <w:rFonts w:hint="eastAsia"/>
          <w:sz w:val="24"/>
          <w:szCs w:val="24"/>
          <w:highlight w:val="none"/>
          <w:lang w:eastAsia="zh-CN"/>
        </w:rPr>
        <w:t>，</w:t>
      </w:r>
      <w:r>
        <w:rPr>
          <w:rFonts w:hint="eastAsia"/>
          <w:sz w:val="24"/>
          <w:szCs w:val="24"/>
          <w:highlight w:val="none"/>
        </w:rPr>
        <w:t>给甲方造成损失的</w:t>
      </w:r>
      <w:r>
        <w:rPr>
          <w:rFonts w:hint="eastAsia"/>
          <w:sz w:val="24"/>
          <w:szCs w:val="24"/>
          <w:highlight w:val="none"/>
          <w:lang w:eastAsia="zh-CN"/>
        </w:rPr>
        <w:t>应当承担赔偿责任</w:t>
      </w:r>
      <w:r>
        <w:rPr>
          <w:rFonts w:hint="eastAsia"/>
          <w:sz w:val="24"/>
          <w:szCs w:val="24"/>
          <w:highlight w:val="none"/>
        </w:rPr>
        <w:t>）</w:t>
      </w:r>
      <w:r>
        <w:rPr>
          <w:rFonts w:hint="eastAsia"/>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highlight w:val="none"/>
        </w:rPr>
        <w:t>（三） 包装：供货包装须符合国家标准、行业标准</w:t>
      </w:r>
      <w:r>
        <w:rPr>
          <w:rFonts w:hint="eastAsia"/>
          <w:sz w:val="24"/>
          <w:szCs w:val="24"/>
          <w:highlight w:val="none"/>
          <w:lang w:eastAsia="zh-CN"/>
        </w:rPr>
        <w:t>或</w:t>
      </w:r>
      <w:r>
        <w:rPr>
          <w:rFonts w:hint="eastAsia"/>
          <w:sz w:val="24"/>
          <w:szCs w:val="24"/>
          <w:highlight w:val="none"/>
        </w:rPr>
        <w:t>甲方要求进行包装。包装应</w:t>
      </w:r>
      <w:r>
        <w:rPr>
          <w:rFonts w:hint="eastAsia"/>
          <w:sz w:val="24"/>
          <w:szCs w:val="24"/>
          <w:highlight w:val="none"/>
          <w:lang w:eastAsia="zh-CN"/>
        </w:rPr>
        <w:t>符合</w:t>
      </w:r>
      <w:r>
        <w:rPr>
          <w:rFonts w:hint="eastAsia"/>
          <w:sz w:val="24"/>
          <w:szCs w:val="24"/>
          <w:highlight w:val="none"/>
        </w:rPr>
        <w:t>国内长途运输</w:t>
      </w:r>
      <w:r>
        <w:rPr>
          <w:rFonts w:hint="eastAsia"/>
          <w:sz w:val="24"/>
          <w:szCs w:val="24"/>
          <w:highlight w:val="none"/>
          <w:lang w:eastAsia="zh-CN"/>
        </w:rPr>
        <w:t>要求</w:t>
      </w:r>
      <w:r>
        <w:rPr>
          <w:rFonts w:hint="eastAsia"/>
          <w:sz w:val="24"/>
          <w:szCs w:val="24"/>
          <w:highlight w:val="none"/>
        </w:rPr>
        <w:t>（包括多式联运、多次吊装等），并有良好的防潮、防震、防锈以及防止其他损坏的必要保护措施和装运标记，以确保货物安全运</w:t>
      </w:r>
      <w:r>
        <w:rPr>
          <w:rFonts w:hint="eastAsia"/>
          <w:sz w:val="24"/>
          <w:szCs w:val="24"/>
        </w:rPr>
        <w:t>抵现场及搬运。其他要求详见技术协议。</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（四） 交货方式：按甲方指定地点（乙方应自行综合考虑新冠疫情风险，供货期、工期、质量不受影响）。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（五） 验收标准、方法及提出异议的期限：</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highlight w:val="none"/>
        </w:rPr>
      </w:pPr>
      <w:r>
        <w:rPr>
          <w:rFonts w:hint="eastAsia"/>
          <w:sz w:val="24"/>
          <w:szCs w:val="24"/>
        </w:rPr>
        <w:t>1.验收标准：</w:t>
      </w:r>
      <w:r>
        <w:rPr>
          <w:rFonts w:hint="eastAsia"/>
          <w:sz w:val="24"/>
          <w:szCs w:val="24"/>
          <w:highlight w:val="none"/>
          <w:lang w:eastAsia="zh-CN"/>
        </w:rPr>
        <w:t>符合</w:t>
      </w:r>
      <w:r>
        <w:rPr>
          <w:rFonts w:hint="eastAsia"/>
          <w:sz w:val="24"/>
          <w:szCs w:val="24"/>
          <w:highlight w:val="none"/>
        </w:rPr>
        <w:t>合同</w:t>
      </w:r>
      <w:r>
        <w:rPr>
          <w:rFonts w:hint="eastAsia"/>
          <w:sz w:val="24"/>
          <w:szCs w:val="24"/>
          <w:highlight w:val="none"/>
          <w:lang w:eastAsia="zh-CN"/>
        </w:rPr>
        <w:t>、招标文件中的技术约定或要求，并符合国家或行业标准</w:t>
      </w:r>
      <w:r>
        <w:rPr>
          <w:rFonts w:hint="eastAsia"/>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highlight w:val="none"/>
        </w:rPr>
      </w:pPr>
      <w:r>
        <w:rPr>
          <w:rFonts w:hint="eastAsia"/>
          <w:sz w:val="24"/>
          <w:szCs w:val="24"/>
          <w:highlight w:val="none"/>
        </w:rPr>
        <w:t xml:space="preserve"> </w:t>
      </w:r>
      <w:r>
        <w:rPr>
          <w:rFonts w:hint="eastAsia"/>
          <w:sz w:val="24"/>
          <w:szCs w:val="24"/>
          <w:highlight w:val="none"/>
          <w:lang w:val="en-US" w:eastAsia="zh-CN"/>
        </w:rPr>
        <w:t xml:space="preserve"> </w:t>
      </w:r>
      <w:r>
        <w:rPr>
          <w:rFonts w:hint="eastAsia"/>
          <w:sz w:val="24"/>
          <w:szCs w:val="24"/>
          <w:highlight w:val="none"/>
        </w:rPr>
        <w:t>2.验收方法：由甲方</w:t>
      </w:r>
      <w:r>
        <w:rPr>
          <w:rFonts w:hint="eastAsia"/>
          <w:sz w:val="24"/>
          <w:szCs w:val="24"/>
          <w:highlight w:val="none"/>
          <w:lang w:eastAsia="zh-CN"/>
        </w:rPr>
        <w:t>按照验收标准</w:t>
      </w:r>
      <w:r>
        <w:rPr>
          <w:rFonts w:hint="eastAsia"/>
          <w:sz w:val="24"/>
          <w:szCs w:val="24"/>
          <w:highlight w:val="none"/>
        </w:rPr>
        <w:t>组织验收，出具验收结论</w:t>
      </w:r>
      <w:r>
        <w:rPr>
          <w:rFonts w:hint="eastAsia"/>
          <w:sz w:val="24"/>
          <w:szCs w:val="24"/>
          <w:highlight w:val="none"/>
          <w:lang w:eastAsia="zh-CN"/>
        </w:rPr>
        <w:t>，甲方的验收并不免除乙方的质量保质责任</w:t>
      </w:r>
      <w:r>
        <w:rPr>
          <w:rFonts w:hint="eastAsia"/>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720" w:firstLineChars="300"/>
        <w:textAlignment w:val="auto"/>
        <w:rPr>
          <w:rFonts w:hint="eastAsia"/>
          <w:sz w:val="24"/>
          <w:szCs w:val="24"/>
        </w:rPr>
      </w:pPr>
      <w:r>
        <w:rPr>
          <w:rFonts w:hint="eastAsia"/>
          <w:sz w:val="24"/>
          <w:szCs w:val="24"/>
          <w:highlight w:val="none"/>
        </w:rPr>
        <w:t>3.异议期限：如有质量异议，甲方在货到一个月内向乙方提出，乙方</w:t>
      </w:r>
      <w:r>
        <w:rPr>
          <w:rFonts w:hint="eastAsia"/>
          <w:sz w:val="24"/>
          <w:szCs w:val="24"/>
        </w:rPr>
        <w:t>在接到甲方书面通知后7天内做出答复，逾期则视为乙方同意甲方提出的异议和处理意见。</w:t>
      </w:r>
    </w:p>
    <w:p>
      <w:pPr>
        <w:pStyle w:val="4"/>
        <w:numPr>
          <w:ilvl w:val="0"/>
          <w:numId w:val="0"/>
        </w:numPr>
        <w:spacing w:before="120"/>
        <w:ind w:firstLine="480" w:firstLineChars="200"/>
        <w:rPr>
          <w:rFonts w:hint="eastAsia"/>
          <w:color w:val="FF0000"/>
          <w:sz w:val="24"/>
          <w:szCs w:val="24"/>
          <w:lang w:val="en-US" w:eastAsia="zh-CN"/>
        </w:rPr>
      </w:pPr>
      <w:r>
        <w:rPr>
          <w:rFonts w:hint="eastAsia"/>
          <w:color w:val="FF0000"/>
          <w:sz w:val="24"/>
          <w:szCs w:val="24"/>
          <w:lang w:eastAsia="zh-CN"/>
        </w:rPr>
        <w:t>结算方式解释如下，本项目结算方式见五采购需求信息</w:t>
      </w:r>
      <w:r>
        <w:rPr>
          <w:rFonts w:hint="eastAsia"/>
          <w:color w:val="FF0000"/>
          <w:sz w:val="24"/>
          <w:szCs w:val="24"/>
          <w:lang w:val="en-US" w:eastAsia="zh-CN"/>
        </w:rPr>
        <w:t>表格“付款方式”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（六）结算方式：1.乙方按照合同约定的进度交付合同材料并提供相关服务后，甲方在收到乙方提交的下列单据并经审核无误后两个月内，应向乙方支付的97%到货款：</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lang w:val="en-US" w:eastAsia="zh-CN"/>
        </w:rPr>
        <w:t xml:space="preserve">                   </w:t>
      </w:r>
      <w:r>
        <w:rPr>
          <w:rFonts w:hint="eastAsia"/>
          <w:sz w:val="24"/>
          <w:szCs w:val="24"/>
        </w:rPr>
        <w:t>1）乙方出具的交货清单正本一份；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 xml:space="preserve"> </w:t>
      </w:r>
      <w:r>
        <w:rPr>
          <w:rFonts w:hint="eastAsia"/>
          <w:sz w:val="24"/>
          <w:szCs w:val="24"/>
          <w:lang w:val="en-US" w:eastAsia="zh-CN"/>
        </w:rPr>
        <w:t xml:space="preserve">                  </w:t>
      </w:r>
      <w:r>
        <w:rPr>
          <w:rFonts w:hint="eastAsia"/>
          <w:sz w:val="24"/>
          <w:szCs w:val="24"/>
        </w:rPr>
        <w:t>2）制造商出具的出厂质量合格证正本一份；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 xml:space="preserve"> </w:t>
      </w:r>
      <w:r>
        <w:rPr>
          <w:rFonts w:hint="eastAsia"/>
          <w:sz w:val="24"/>
          <w:szCs w:val="24"/>
          <w:lang w:val="en-US" w:eastAsia="zh-CN"/>
        </w:rPr>
        <w:t xml:space="preserve">                  </w:t>
      </w:r>
      <w:r>
        <w:rPr>
          <w:rFonts w:hint="eastAsia"/>
          <w:sz w:val="24"/>
          <w:szCs w:val="24"/>
        </w:rPr>
        <w:t>3）该批次合同价格100%金额的增值税发票正本一份。</w:t>
      </w:r>
    </w:p>
    <w:p>
      <w:pPr>
        <w:keepNext w:val="0"/>
        <w:keepLines w:val="0"/>
        <w:pageBreakBefore w:val="0"/>
        <w:widowControl w:val="0"/>
        <w:kinsoku/>
        <w:wordWrap/>
        <w:overflowPunct/>
        <w:topLinePunct w:val="0"/>
        <w:autoSpaceDE/>
        <w:autoSpaceDN/>
        <w:bidi w:val="0"/>
        <w:adjustRightInd/>
        <w:snapToGrid/>
        <w:spacing w:line="440" w:lineRule="exact"/>
        <w:ind w:left="0" w:firstLine="0" w:firstLineChars="0"/>
        <w:textAlignment w:val="auto"/>
        <w:rPr>
          <w:rFonts w:hint="eastAsia"/>
        </w:rPr>
      </w:pPr>
      <w:r>
        <w:rPr>
          <w:rFonts w:hint="eastAsia"/>
          <w:sz w:val="24"/>
          <w:szCs w:val="24"/>
        </w:rPr>
        <w:t xml:space="preserve"> </w:t>
      </w:r>
      <w:r>
        <w:rPr>
          <w:rFonts w:hint="eastAsia"/>
          <w:sz w:val="24"/>
          <w:szCs w:val="24"/>
          <w:lang w:val="en-US" w:eastAsia="zh-CN"/>
        </w:rPr>
        <w:t xml:space="preserve">                  </w:t>
      </w:r>
      <w:r>
        <w:rPr>
          <w:rFonts w:hint="eastAsia"/>
        </w:rPr>
        <w:t>2.全部合同材料质量保证期届满后，未出现质量问题，甲方两</w:t>
      </w:r>
      <w:r>
        <w:rPr>
          <w:rFonts w:hint="eastAsia"/>
          <w:lang w:eastAsia="zh-CN"/>
        </w:rPr>
        <w:t>个</w:t>
      </w:r>
      <w:r>
        <w:rPr>
          <w:rFonts w:hint="eastAsia"/>
        </w:rPr>
        <w:t>月内向乙方支付合同价格3%的质保金。</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（七）付款比例：1.到货款97%。</w:t>
      </w:r>
    </w:p>
    <w:p>
      <w:pPr>
        <w:keepNext w:val="0"/>
        <w:keepLines w:val="0"/>
        <w:pageBreakBefore w:val="0"/>
        <w:widowControl w:val="0"/>
        <w:kinsoku/>
        <w:wordWrap/>
        <w:overflowPunct/>
        <w:topLinePunct w:val="0"/>
        <w:autoSpaceDE/>
        <w:autoSpaceDN/>
        <w:bidi w:val="0"/>
        <w:adjustRightInd/>
        <w:snapToGrid/>
        <w:spacing w:line="440" w:lineRule="exact"/>
        <w:ind w:firstLine="2400" w:firstLineChars="1000"/>
        <w:textAlignment w:val="auto"/>
        <w:rPr>
          <w:rFonts w:hint="eastAsia"/>
          <w:sz w:val="24"/>
          <w:szCs w:val="24"/>
        </w:rPr>
      </w:pPr>
      <w:r>
        <w:rPr>
          <w:rFonts w:hint="eastAsia"/>
          <w:sz w:val="24"/>
          <w:szCs w:val="24"/>
        </w:rPr>
        <w:t>2.质保金3%。</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18"/>
          <w:szCs w:val="18"/>
        </w:rPr>
      </w:pPr>
      <w:r>
        <w:rPr>
          <w:rFonts w:hint="eastAsia"/>
          <w:sz w:val="18"/>
          <w:szCs w:val="18"/>
        </w:rPr>
        <w:t>（六）结算方式：1.乙方按照合同约定的进度交付合同材料并提供相关服务后，甲方在收到乙方提交的下列单据并经审核无误后两个月内，应向乙方支付的</w:t>
      </w:r>
      <w:r>
        <w:rPr>
          <w:rFonts w:hint="eastAsia"/>
          <w:sz w:val="18"/>
          <w:szCs w:val="18"/>
          <w:lang w:val="en-US" w:eastAsia="zh-CN"/>
        </w:rPr>
        <w:t>100</w:t>
      </w:r>
      <w:r>
        <w:rPr>
          <w:rFonts w:hint="eastAsia"/>
          <w:sz w:val="18"/>
          <w:szCs w:val="18"/>
        </w:rPr>
        <w:t>%到货款：</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18"/>
          <w:szCs w:val="18"/>
        </w:rPr>
      </w:pPr>
      <w:r>
        <w:rPr>
          <w:rFonts w:hint="eastAsia"/>
          <w:sz w:val="18"/>
          <w:szCs w:val="18"/>
          <w:lang w:val="en-US" w:eastAsia="zh-CN"/>
        </w:rPr>
        <w:t xml:space="preserve">                   </w:t>
      </w:r>
      <w:r>
        <w:rPr>
          <w:rFonts w:hint="eastAsia"/>
          <w:sz w:val="18"/>
          <w:szCs w:val="18"/>
        </w:rPr>
        <w:t>1）乙方出具的交货清单正本一份；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18"/>
          <w:szCs w:val="18"/>
        </w:rPr>
      </w:pPr>
      <w:r>
        <w:rPr>
          <w:rFonts w:hint="eastAsia"/>
          <w:sz w:val="18"/>
          <w:szCs w:val="18"/>
        </w:rPr>
        <w:t xml:space="preserve"> </w:t>
      </w:r>
      <w:r>
        <w:rPr>
          <w:rFonts w:hint="eastAsia"/>
          <w:sz w:val="18"/>
          <w:szCs w:val="18"/>
          <w:lang w:val="en-US" w:eastAsia="zh-CN"/>
        </w:rPr>
        <w:t xml:space="preserve">                  </w:t>
      </w:r>
      <w:r>
        <w:rPr>
          <w:rFonts w:hint="eastAsia"/>
          <w:sz w:val="18"/>
          <w:szCs w:val="18"/>
        </w:rPr>
        <w:t>2）制造商出具的出厂质量合格证正本一份；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18"/>
          <w:szCs w:val="18"/>
        </w:rPr>
      </w:pPr>
      <w:r>
        <w:rPr>
          <w:rFonts w:hint="eastAsia"/>
          <w:sz w:val="18"/>
          <w:szCs w:val="18"/>
        </w:rPr>
        <w:t xml:space="preserve"> </w:t>
      </w:r>
      <w:r>
        <w:rPr>
          <w:rFonts w:hint="eastAsia"/>
          <w:sz w:val="18"/>
          <w:szCs w:val="18"/>
          <w:lang w:val="en-US" w:eastAsia="zh-CN"/>
        </w:rPr>
        <w:t xml:space="preserve">                  </w:t>
      </w:r>
      <w:r>
        <w:rPr>
          <w:rFonts w:hint="eastAsia"/>
          <w:sz w:val="18"/>
          <w:szCs w:val="18"/>
        </w:rPr>
        <w:t>3）该批次合同价格100%金额的增值税发票正本一份。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eastAsia="宋体"/>
          <w:sz w:val="18"/>
          <w:szCs w:val="18"/>
          <w:lang w:val="en-US" w:eastAsia="zh-CN"/>
        </w:rPr>
      </w:pPr>
      <w:r>
        <w:rPr>
          <w:rFonts w:hint="eastAsia"/>
          <w:sz w:val="18"/>
          <w:szCs w:val="18"/>
        </w:rPr>
        <w:t>（七）付款比例：1.到货款</w:t>
      </w:r>
      <w:r>
        <w:rPr>
          <w:rFonts w:hint="eastAsia"/>
          <w:sz w:val="18"/>
          <w:szCs w:val="18"/>
          <w:lang w:val="en-US" w:eastAsia="zh-CN"/>
        </w:rPr>
        <w:t>100%</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（八） 产品交付及违约责任：对于由于任何第三方或甲方针对乙方提供产品的质量原因造成的人身伤亡、财务损失包括可得利益损失而提出赔偿要求而引起的、或与之相关联的责任和费用（包括但不限于鉴定费用、律师费用及其他费用），由乙方全部承担。乙方迟延发</w:t>
      </w:r>
      <w:r>
        <w:rPr>
          <w:rFonts w:hint="eastAsia"/>
          <w:sz w:val="24"/>
          <w:szCs w:val="24"/>
          <w:highlight w:val="none"/>
        </w:rPr>
        <w:t>货</w:t>
      </w:r>
      <w:r>
        <w:rPr>
          <w:rFonts w:hint="eastAsia"/>
          <w:sz w:val="24"/>
          <w:szCs w:val="24"/>
          <w:highlight w:val="none"/>
          <w:lang w:eastAsia="zh-CN"/>
        </w:rPr>
        <w:t>或中止合同</w:t>
      </w:r>
      <w:r>
        <w:rPr>
          <w:rFonts w:hint="eastAsia"/>
          <w:sz w:val="24"/>
          <w:szCs w:val="24"/>
          <w:highlight w:val="none"/>
        </w:rPr>
        <w:t>的，甲</w:t>
      </w:r>
      <w:r>
        <w:rPr>
          <w:rFonts w:hint="eastAsia"/>
          <w:sz w:val="24"/>
          <w:szCs w:val="24"/>
        </w:rPr>
        <w:t>方有权向乙方按本合同总价款的30%收取违约金。</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（九） 诉讼管辖：合同履行中有争议的，协商处理；协商不成，任何一方均可向甲方所在地人民法院起诉。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（十） 合同生效：本协议一式5份，经双方代表签字盖章后生效。</w:t>
      </w:r>
    </w:p>
    <w:p>
      <w:pPr>
        <w:numPr>
          <w:ilvl w:val="0"/>
          <w:numId w:val="0"/>
        </w:numPr>
        <w:ind w:left="0" w:leftChars="0" w:firstLine="480" w:firstLineChars="200"/>
      </w:pPr>
      <w:r>
        <w:rPr>
          <w:rFonts w:hint="eastAsia"/>
          <w:sz w:val="24"/>
          <w:szCs w:val="24"/>
        </w:rPr>
        <w:t>（十一） 乙方如出现提供假冒伪劣产品或因质量问题给甲方造成损失的，应承担全部赔偿责任。</w:t>
      </w:r>
    </w:p>
    <w:p>
      <w:pPr>
        <w:numPr>
          <w:ilvl w:val="0"/>
          <w:numId w:val="0"/>
        </w:numPr>
        <w:ind w:left="0" w:leftChars="0" w:firstLine="0" w:firstLineChars="0"/>
      </w:pPr>
    </w:p>
    <w:p>
      <w:pPr>
        <w:ind w:left="0" w:leftChars="0" w:firstLine="0" w:firstLineChars="0"/>
        <w:jc w:val="left"/>
        <w:rPr>
          <w:rFonts w:hint="eastAsia"/>
        </w:rPr>
      </w:pPr>
      <w:r>
        <w:rPr>
          <w:rFonts w:hint="eastAsia"/>
        </w:rPr>
        <w:t>甲方：华能渑池热电有限责任公司</w:t>
      </w:r>
      <w:r>
        <w:rPr>
          <w:rFonts w:hint="eastAsia"/>
          <w:lang w:val="en-US" w:eastAsia="zh-CN"/>
        </w:rPr>
        <w:t xml:space="preserve">                 </w:t>
      </w:r>
      <w:r>
        <w:rPr>
          <w:rFonts w:hint="eastAsia"/>
        </w:rPr>
        <w:t>乙方：</w:t>
      </w:r>
    </w:p>
    <w:p>
      <w:pPr>
        <w:ind w:left="240" w:leftChars="0" w:hanging="240" w:hangingChars="100"/>
        <w:jc w:val="left"/>
        <w:rPr>
          <w:rFonts w:hint="eastAsia"/>
        </w:rPr>
      </w:pPr>
      <w:r>
        <w:rPr>
          <w:rFonts w:hint="eastAsia"/>
        </w:rPr>
        <w:t>法定代表人或授权代理人：</w:t>
      </w:r>
      <w:r>
        <w:rPr>
          <w:rFonts w:hint="eastAsia"/>
          <w:lang w:val="en-US" w:eastAsia="zh-CN"/>
        </w:rPr>
        <w:t xml:space="preserve">                        </w:t>
      </w:r>
      <w:r>
        <w:rPr>
          <w:rFonts w:hint="eastAsia"/>
        </w:rPr>
        <w:t>法定代表人或授权代理人：</w:t>
      </w:r>
    </w:p>
    <w:p>
      <w:pPr>
        <w:ind w:left="0" w:leftChars="0" w:firstLine="0" w:firstLineChars="0"/>
        <w:jc w:val="left"/>
        <w:rPr>
          <w:rFonts w:hint="eastAsia"/>
        </w:rPr>
      </w:pPr>
      <w:r>
        <w:rPr>
          <w:rFonts w:hint="eastAsia"/>
        </w:rPr>
        <w:t>单位地址：河南省三门峡市渑池县会盟路东段单位</w:t>
      </w:r>
      <w:r>
        <w:rPr>
          <w:rFonts w:hint="eastAsia"/>
          <w:lang w:val="en-US" w:eastAsia="zh-CN"/>
        </w:rPr>
        <w:t xml:space="preserve">   </w:t>
      </w:r>
      <w:r>
        <w:rPr>
          <w:rFonts w:hint="eastAsia"/>
        </w:rPr>
        <w:t>地址：</w:t>
      </w:r>
    </w:p>
    <w:p>
      <w:pPr>
        <w:ind w:left="0" w:leftChars="0" w:firstLine="0" w:firstLineChars="0"/>
        <w:jc w:val="left"/>
        <w:rPr>
          <w:rFonts w:hint="eastAsia"/>
        </w:rPr>
      </w:pPr>
      <w:r>
        <w:rPr>
          <w:rFonts w:hint="eastAsia"/>
        </w:rPr>
        <w:t>电话：</w:t>
      </w:r>
      <w:r>
        <w:rPr>
          <w:rFonts w:hint="eastAsia"/>
          <w:lang w:val="en-US" w:eastAsia="zh-CN"/>
        </w:rPr>
        <w:t xml:space="preserve">                                         </w:t>
      </w:r>
      <w:r>
        <w:rPr>
          <w:rFonts w:hint="eastAsia"/>
        </w:rPr>
        <w:t>电话：</w:t>
      </w:r>
    </w:p>
    <w:p>
      <w:pPr>
        <w:ind w:left="0" w:leftChars="0" w:firstLine="0" w:firstLineChars="0"/>
        <w:jc w:val="left"/>
        <w:rPr>
          <w:rFonts w:hint="eastAsia"/>
        </w:rPr>
      </w:pPr>
      <w:r>
        <w:rPr>
          <w:rFonts w:hint="eastAsia"/>
        </w:rPr>
        <w:t>传真：</w:t>
      </w:r>
      <w:r>
        <w:rPr>
          <w:rFonts w:hint="eastAsia"/>
          <w:lang w:val="en-US" w:eastAsia="zh-CN"/>
        </w:rPr>
        <w:t xml:space="preserve">                                         </w:t>
      </w:r>
      <w:r>
        <w:rPr>
          <w:rFonts w:hint="eastAsia"/>
        </w:rPr>
        <w:t>传真：</w:t>
      </w:r>
    </w:p>
    <w:p>
      <w:pPr>
        <w:ind w:left="0" w:leftChars="0" w:firstLine="0" w:firstLineChars="0"/>
        <w:jc w:val="left"/>
        <w:rPr>
          <w:rFonts w:hint="eastAsia"/>
        </w:rPr>
      </w:pPr>
      <w:r>
        <w:rPr>
          <w:rFonts w:hint="eastAsia"/>
        </w:rPr>
        <w:t>开户银行：中国农业银行股份有限公司渑池县支行</w:t>
      </w:r>
      <w:r>
        <w:rPr>
          <w:rFonts w:hint="eastAsia"/>
          <w:lang w:val="en-US" w:eastAsia="zh-CN"/>
        </w:rPr>
        <w:t xml:space="preserve">   </w:t>
      </w:r>
      <w:r>
        <w:rPr>
          <w:rFonts w:hint="eastAsia"/>
        </w:rPr>
        <w:t>开户银行：</w:t>
      </w:r>
    </w:p>
    <w:p>
      <w:pPr>
        <w:ind w:left="0" w:leftChars="0" w:firstLine="0" w:firstLineChars="0"/>
        <w:jc w:val="left"/>
        <w:rPr>
          <w:rFonts w:hint="eastAsia"/>
        </w:rPr>
      </w:pPr>
      <w:r>
        <w:rPr>
          <w:rFonts w:hint="eastAsia"/>
        </w:rPr>
        <w:t>账号：16171101040011206</w:t>
      </w:r>
      <w:r>
        <w:rPr>
          <w:rFonts w:hint="eastAsia"/>
          <w:lang w:val="en-US" w:eastAsia="zh-CN"/>
        </w:rPr>
        <w:t xml:space="preserve">                        </w:t>
      </w:r>
      <w:r>
        <w:rPr>
          <w:rFonts w:hint="eastAsia"/>
        </w:rPr>
        <w:t>账号：</w:t>
      </w:r>
    </w:p>
    <w:p>
      <w:pPr>
        <w:ind w:left="0" w:leftChars="0" w:firstLine="0" w:firstLineChars="0"/>
        <w:jc w:val="left"/>
        <w:rPr>
          <w:rFonts w:hint="eastAsia"/>
        </w:rPr>
      </w:pPr>
      <w:r>
        <w:rPr>
          <w:rFonts w:hint="eastAsia"/>
        </w:rPr>
        <w:t>税务登记号：914112213995920784</w:t>
      </w:r>
      <w:r>
        <w:rPr>
          <w:rFonts w:hint="eastAsia"/>
          <w:lang w:val="en-US" w:eastAsia="zh-CN"/>
        </w:rPr>
        <w:t xml:space="preserve">                 </w:t>
      </w:r>
      <w:r>
        <w:rPr>
          <w:rFonts w:hint="eastAsia"/>
        </w:rPr>
        <w:t>税务登记号：</w:t>
      </w:r>
    </w:p>
    <w:p>
      <w:pPr>
        <w:ind w:left="0" w:leftChars="0" w:firstLine="0" w:firstLineChars="0"/>
        <w:jc w:val="left"/>
        <w:rPr>
          <w:rFonts w:hint="eastAsia"/>
        </w:rPr>
      </w:pPr>
      <w:r>
        <w:rPr>
          <w:rFonts w:hint="eastAsia"/>
        </w:rPr>
        <w:t>联系人：马雪</w:t>
      </w:r>
      <w:r>
        <w:rPr>
          <w:rFonts w:hint="eastAsia"/>
          <w:lang w:val="en-US" w:eastAsia="zh-CN"/>
        </w:rPr>
        <w:t xml:space="preserve">                                   </w:t>
      </w:r>
      <w:r>
        <w:rPr>
          <w:rFonts w:hint="eastAsia"/>
        </w:rPr>
        <w:t>联系人：</w:t>
      </w:r>
    </w:p>
    <w:p>
      <w:pPr>
        <w:ind w:left="0" w:leftChars="0" w:firstLine="0" w:firstLineChars="0"/>
        <w:jc w:val="left"/>
      </w:pPr>
      <w:r>
        <w:rPr>
          <w:rFonts w:hint="eastAsia"/>
        </w:rPr>
        <w:t>邮政编码：472400</w:t>
      </w:r>
      <w:r>
        <w:rPr>
          <w:rFonts w:hint="eastAsia"/>
          <w:lang w:val="en-US" w:eastAsia="zh-CN"/>
        </w:rPr>
        <w:t xml:space="preserve">                               </w:t>
      </w:r>
      <w:r>
        <w:rPr>
          <w:rFonts w:hint="eastAsia"/>
        </w:rPr>
        <w:t>邮政编码：</w:t>
      </w:r>
    </w:p>
    <w:p>
      <w:pPr>
        <w:pStyle w:val="2"/>
      </w:pPr>
    </w:p>
    <w:p/>
    <w:p>
      <w:pPr>
        <w:pStyle w:val="2"/>
      </w:pPr>
    </w:p>
    <w:p/>
    <w:p>
      <w:pPr>
        <w:pStyle w:val="2"/>
      </w:pPr>
    </w:p>
    <w:p/>
    <w:p>
      <w:pPr>
        <w:pStyle w:val="2"/>
      </w:pPr>
    </w:p>
    <w:p/>
    <w:p>
      <w:pPr>
        <w:pStyle w:val="2"/>
      </w:pPr>
    </w:p>
    <w:p/>
    <w:p>
      <w:pPr>
        <w:pStyle w:val="2"/>
      </w:pPr>
    </w:p>
    <w:p/>
    <w:p>
      <w:pPr>
        <w:pStyle w:val="2"/>
      </w:pPr>
    </w:p>
    <w:p>
      <w:pPr>
        <w:pageBreakBefore w:val="0"/>
        <w:widowControl w:val="0"/>
        <w:kinsoku/>
        <w:wordWrap/>
        <w:overflowPunct/>
        <w:topLinePunct w:val="0"/>
        <w:autoSpaceDE/>
        <w:autoSpaceDN/>
        <w:bidi w:val="0"/>
        <w:adjustRightInd w:val="0"/>
        <w:snapToGrid w:val="0"/>
        <w:ind w:left="0" w:leftChars="0" w:firstLine="0" w:firstLineChars="0"/>
        <w:textAlignment w:val="auto"/>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Light">
    <w:altName w:val="宋体"/>
    <w:panose1 w:val="000000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0" w:firstLineChars="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235E00"/>
    <w:multiLevelType w:val="singleLevel"/>
    <w:tmpl w:val="F5235E00"/>
    <w:lvl w:ilvl="0" w:tentative="0">
      <w:start w:val="5"/>
      <w:numFmt w:val="decimal"/>
      <w:lvlText w:val="%1."/>
      <w:lvlJc w:val="left"/>
      <w:pPr>
        <w:tabs>
          <w:tab w:val="left" w:pos="312"/>
        </w:tabs>
      </w:pPr>
    </w:lvl>
  </w:abstractNum>
  <w:abstractNum w:abstractNumId="1">
    <w:nsid w:val="F57996B2"/>
    <w:multiLevelType w:val="singleLevel"/>
    <w:tmpl w:val="F57996B2"/>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13"/>
    <w:rsid w:val="0000491D"/>
    <w:rsid w:val="00047F4E"/>
    <w:rsid w:val="000A36D4"/>
    <w:rsid w:val="000D678A"/>
    <w:rsid w:val="0010380E"/>
    <w:rsid w:val="00156D5A"/>
    <w:rsid w:val="001770EF"/>
    <w:rsid w:val="001955E5"/>
    <w:rsid w:val="001D1280"/>
    <w:rsid w:val="001F257E"/>
    <w:rsid w:val="00205264"/>
    <w:rsid w:val="00260C78"/>
    <w:rsid w:val="002D3F9D"/>
    <w:rsid w:val="0032178C"/>
    <w:rsid w:val="0032713F"/>
    <w:rsid w:val="00331633"/>
    <w:rsid w:val="00344AE4"/>
    <w:rsid w:val="00373CEF"/>
    <w:rsid w:val="003A670B"/>
    <w:rsid w:val="003A6D52"/>
    <w:rsid w:val="003F5B9B"/>
    <w:rsid w:val="00422D1C"/>
    <w:rsid w:val="00433601"/>
    <w:rsid w:val="00443E13"/>
    <w:rsid w:val="0045514B"/>
    <w:rsid w:val="00483085"/>
    <w:rsid w:val="00483A38"/>
    <w:rsid w:val="004A24B0"/>
    <w:rsid w:val="004B7C77"/>
    <w:rsid w:val="00504BA3"/>
    <w:rsid w:val="005210D0"/>
    <w:rsid w:val="005545D8"/>
    <w:rsid w:val="0058610F"/>
    <w:rsid w:val="005B18A0"/>
    <w:rsid w:val="00647943"/>
    <w:rsid w:val="00672A75"/>
    <w:rsid w:val="0067386E"/>
    <w:rsid w:val="00694D3E"/>
    <w:rsid w:val="006B77EB"/>
    <w:rsid w:val="006F2A61"/>
    <w:rsid w:val="0072363A"/>
    <w:rsid w:val="007264C2"/>
    <w:rsid w:val="007805CE"/>
    <w:rsid w:val="00780D1A"/>
    <w:rsid w:val="00782945"/>
    <w:rsid w:val="007F3BC1"/>
    <w:rsid w:val="007F6E95"/>
    <w:rsid w:val="00805DF0"/>
    <w:rsid w:val="00814418"/>
    <w:rsid w:val="008300F1"/>
    <w:rsid w:val="00832AFC"/>
    <w:rsid w:val="00883BEE"/>
    <w:rsid w:val="00893BA6"/>
    <w:rsid w:val="00910274"/>
    <w:rsid w:val="009252CD"/>
    <w:rsid w:val="00973F65"/>
    <w:rsid w:val="00976F90"/>
    <w:rsid w:val="009E41AA"/>
    <w:rsid w:val="009F3576"/>
    <w:rsid w:val="009F4EC4"/>
    <w:rsid w:val="00A3191A"/>
    <w:rsid w:val="00A62729"/>
    <w:rsid w:val="00A70072"/>
    <w:rsid w:val="00AF24BF"/>
    <w:rsid w:val="00AF3813"/>
    <w:rsid w:val="00AF6EB4"/>
    <w:rsid w:val="00B82B1F"/>
    <w:rsid w:val="00B8497B"/>
    <w:rsid w:val="00B95A2A"/>
    <w:rsid w:val="00C26F62"/>
    <w:rsid w:val="00C550EA"/>
    <w:rsid w:val="00C713C1"/>
    <w:rsid w:val="00CE67A3"/>
    <w:rsid w:val="00CF35BA"/>
    <w:rsid w:val="00D56F76"/>
    <w:rsid w:val="00D601DA"/>
    <w:rsid w:val="00D872C9"/>
    <w:rsid w:val="00DA011C"/>
    <w:rsid w:val="00DE3150"/>
    <w:rsid w:val="00E65BBF"/>
    <w:rsid w:val="00EC54EB"/>
    <w:rsid w:val="00F41C36"/>
    <w:rsid w:val="00F42208"/>
    <w:rsid w:val="00F53C4A"/>
    <w:rsid w:val="00F805FC"/>
    <w:rsid w:val="00F808CC"/>
    <w:rsid w:val="00FB41C7"/>
    <w:rsid w:val="01104981"/>
    <w:rsid w:val="012D4D8E"/>
    <w:rsid w:val="03973E1A"/>
    <w:rsid w:val="04192DFC"/>
    <w:rsid w:val="041A14E4"/>
    <w:rsid w:val="06D011AE"/>
    <w:rsid w:val="06E16631"/>
    <w:rsid w:val="072D4C76"/>
    <w:rsid w:val="07EF1E02"/>
    <w:rsid w:val="09A062DB"/>
    <w:rsid w:val="09CD4FBB"/>
    <w:rsid w:val="0C3A73B3"/>
    <w:rsid w:val="0CD75737"/>
    <w:rsid w:val="0D3803EB"/>
    <w:rsid w:val="0DFE5CA0"/>
    <w:rsid w:val="0F880B9E"/>
    <w:rsid w:val="10795841"/>
    <w:rsid w:val="116C7CEB"/>
    <w:rsid w:val="118165DD"/>
    <w:rsid w:val="11C210E2"/>
    <w:rsid w:val="14CD23EF"/>
    <w:rsid w:val="15970F72"/>
    <w:rsid w:val="16057B58"/>
    <w:rsid w:val="16127D6E"/>
    <w:rsid w:val="16A16EB7"/>
    <w:rsid w:val="192801AE"/>
    <w:rsid w:val="197C52A2"/>
    <w:rsid w:val="1AAF09D3"/>
    <w:rsid w:val="2079211C"/>
    <w:rsid w:val="28D8599E"/>
    <w:rsid w:val="2B773498"/>
    <w:rsid w:val="2E737C26"/>
    <w:rsid w:val="2F611A1E"/>
    <w:rsid w:val="34D741A7"/>
    <w:rsid w:val="35215CFF"/>
    <w:rsid w:val="36DC6272"/>
    <w:rsid w:val="377C45A7"/>
    <w:rsid w:val="394909AB"/>
    <w:rsid w:val="3967089E"/>
    <w:rsid w:val="3A38285C"/>
    <w:rsid w:val="3A93639D"/>
    <w:rsid w:val="3AEC59ED"/>
    <w:rsid w:val="3B297C9C"/>
    <w:rsid w:val="3B6835A4"/>
    <w:rsid w:val="3BFF70CB"/>
    <w:rsid w:val="3C2950BF"/>
    <w:rsid w:val="3C4A1516"/>
    <w:rsid w:val="3CE26D4F"/>
    <w:rsid w:val="3D4417FA"/>
    <w:rsid w:val="3EA536A8"/>
    <w:rsid w:val="4202041C"/>
    <w:rsid w:val="439840FF"/>
    <w:rsid w:val="43A151E4"/>
    <w:rsid w:val="442970F8"/>
    <w:rsid w:val="45097B97"/>
    <w:rsid w:val="46155A62"/>
    <w:rsid w:val="46A606F8"/>
    <w:rsid w:val="4A441159"/>
    <w:rsid w:val="4A561522"/>
    <w:rsid w:val="4C5A4077"/>
    <w:rsid w:val="4CAD7BF3"/>
    <w:rsid w:val="4DB924D6"/>
    <w:rsid w:val="4DFC13AF"/>
    <w:rsid w:val="512D210C"/>
    <w:rsid w:val="53A507D7"/>
    <w:rsid w:val="55830ECF"/>
    <w:rsid w:val="572D70A4"/>
    <w:rsid w:val="59A249B1"/>
    <w:rsid w:val="5D1F045D"/>
    <w:rsid w:val="5D69352D"/>
    <w:rsid w:val="5D7651AA"/>
    <w:rsid w:val="5DD8120B"/>
    <w:rsid w:val="5F2D0AA4"/>
    <w:rsid w:val="60C47373"/>
    <w:rsid w:val="614C1945"/>
    <w:rsid w:val="61855550"/>
    <w:rsid w:val="62190C66"/>
    <w:rsid w:val="64A10AC2"/>
    <w:rsid w:val="657F2C33"/>
    <w:rsid w:val="66063B7C"/>
    <w:rsid w:val="678975A2"/>
    <w:rsid w:val="67C34E3A"/>
    <w:rsid w:val="67D01A51"/>
    <w:rsid w:val="67F23CBC"/>
    <w:rsid w:val="6FB7757B"/>
    <w:rsid w:val="6FC91C81"/>
    <w:rsid w:val="72CD2672"/>
    <w:rsid w:val="736408AB"/>
    <w:rsid w:val="737502F6"/>
    <w:rsid w:val="73990A66"/>
    <w:rsid w:val="76CC6027"/>
    <w:rsid w:val="78166024"/>
    <w:rsid w:val="79752E12"/>
    <w:rsid w:val="79BA1048"/>
    <w:rsid w:val="7AB31AA3"/>
    <w:rsid w:val="7AD02E02"/>
    <w:rsid w:val="7BEA1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440" w:lineRule="exact"/>
      <w:ind w:firstLine="200" w:firstLineChars="200"/>
      <w:jc w:val="both"/>
    </w:pPr>
    <w:rPr>
      <w:rFonts w:ascii="Times New Roman" w:hAnsi="Times New Roman" w:eastAsia="宋体" w:cs="Times New Roman"/>
      <w:kern w:val="2"/>
      <w:sz w:val="24"/>
      <w:lang w:val="en-US" w:eastAsia="zh-CN" w:bidi="ar-SA"/>
    </w:rPr>
  </w:style>
  <w:style w:type="paragraph" w:styleId="3">
    <w:name w:val="heading 1"/>
    <w:basedOn w:val="1"/>
    <w:next w:val="1"/>
    <w:link w:val="19"/>
    <w:qFormat/>
    <w:uiPriority w:val="9"/>
    <w:pPr>
      <w:keepNext/>
      <w:keepLines/>
      <w:spacing w:before="340" w:after="330" w:line="578" w:lineRule="atLeast"/>
      <w:outlineLvl w:val="0"/>
    </w:pPr>
    <w:rPr>
      <w:b/>
      <w:bCs/>
      <w:kern w:val="44"/>
      <w:sz w:val="44"/>
      <w:szCs w:val="44"/>
    </w:rPr>
  </w:style>
  <w:style w:type="paragraph" w:styleId="4">
    <w:name w:val="heading 2"/>
    <w:basedOn w:val="1"/>
    <w:next w:val="1"/>
    <w:link w:val="16"/>
    <w:unhideWhenUsed/>
    <w:qFormat/>
    <w:uiPriority w:val="9"/>
    <w:pPr>
      <w:keepNext/>
      <w:keepLines/>
      <w:spacing w:beforeLines="50" w:line="360" w:lineRule="auto"/>
      <w:ind w:firstLine="0" w:firstLineChars="0"/>
      <w:jc w:val="left"/>
      <w:outlineLvl w:val="1"/>
    </w:pPr>
    <w:rPr>
      <w:rFonts w:ascii="Arial" w:hAnsi="Arial" w:eastAsia="黑体"/>
      <w:bCs/>
      <w:kern w:val="0"/>
      <w:sz w:val="28"/>
      <w:szCs w:val="32"/>
    </w:rPr>
  </w:style>
  <w:style w:type="paragraph" w:styleId="2">
    <w:name w:val="heading 4"/>
    <w:basedOn w:val="1"/>
    <w:next w:val="1"/>
    <w:qFormat/>
    <w:uiPriority w:val="0"/>
    <w:pPr>
      <w:keepNext/>
      <w:keepLines/>
      <w:spacing w:line="360" w:lineRule="auto"/>
      <w:jc w:val="left"/>
      <w:outlineLvl w:val="3"/>
    </w:pPr>
    <w:rPr>
      <w:rFonts w:ascii="Cambria" w:hAnsi="Cambria" w:eastAsia="黑体"/>
      <w:bCs/>
      <w:szCs w:val="28"/>
    </w:rPr>
  </w:style>
  <w:style w:type="character" w:default="1" w:styleId="11">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25"/>
    <w:semiHidden/>
    <w:unhideWhenUsed/>
    <w:qFormat/>
    <w:uiPriority w:val="99"/>
    <w:rPr>
      <w:b/>
      <w:bCs/>
    </w:rPr>
  </w:style>
  <w:style w:type="paragraph" w:styleId="6">
    <w:name w:val="annotation text"/>
    <w:basedOn w:val="1"/>
    <w:link w:val="24"/>
    <w:semiHidden/>
    <w:unhideWhenUsed/>
    <w:qFormat/>
    <w:uiPriority w:val="99"/>
    <w:pPr>
      <w:jc w:val="left"/>
    </w:pPr>
  </w:style>
  <w:style w:type="paragraph" w:styleId="7">
    <w:name w:val="Balloon Text"/>
    <w:basedOn w:val="1"/>
    <w:link w:val="23"/>
    <w:semiHidden/>
    <w:unhideWhenUsed/>
    <w:qFormat/>
    <w:uiPriority w:val="99"/>
    <w:pPr>
      <w:spacing w:line="240" w:lineRule="auto"/>
    </w:pPr>
    <w:rPr>
      <w:sz w:val="18"/>
      <w:szCs w:val="18"/>
    </w:rPr>
  </w:style>
  <w:style w:type="paragraph" w:styleId="8">
    <w:name w:val="footer"/>
    <w:basedOn w:val="1"/>
    <w:link w:val="21"/>
    <w:qFormat/>
    <w:uiPriority w:val="99"/>
    <w:pPr>
      <w:tabs>
        <w:tab w:val="center" w:pos="4153"/>
        <w:tab w:val="right" w:pos="8306"/>
      </w:tabs>
      <w:spacing w:line="240" w:lineRule="atLeast"/>
      <w:jc w:val="left"/>
    </w:pPr>
    <w:rPr>
      <w:sz w:val="18"/>
      <w:szCs w:val="18"/>
    </w:rPr>
  </w:style>
  <w:style w:type="paragraph" w:styleId="9">
    <w:name w:val="header"/>
    <w:basedOn w:val="1"/>
    <w:link w:val="20"/>
    <w:qFormat/>
    <w:uiPriority w:val="99"/>
    <w:pPr>
      <w:pBdr>
        <w:bottom w:val="single" w:color="auto" w:sz="6" w:space="1"/>
      </w:pBdr>
      <w:tabs>
        <w:tab w:val="center" w:pos="4153"/>
        <w:tab w:val="right" w:pos="8306"/>
      </w:tabs>
      <w:spacing w:line="240" w:lineRule="atLeast"/>
      <w:jc w:val="center"/>
    </w:pPr>
    <w:rPr>
      <w:sz w:val="18"/>
      <w:szCs w:val="18"/>
    </w:rPr>
  </w:style>
  <w:style w:type="paragraph" w:styleId="10">
    <w:name w:val="Title"/>
    <w:basedOn w:val="3"/>
    <w:next w:val="1"/>
    <w:link w:val="17"/>
    <w:qFormat/>
    <w:uiPriority w:val="10"/>
    <w:pPr>
      <w:spacing w:beforeLines="50" w:after="0" w:line="360" w:lineRule="auto"/>
      <w:ind w:firstLine="0" w:firstLineChars="0"/>
      <w:jc w:val="center"/>
    </w:pPr>
    <w:rPr>
      <w:rFonts w:ascii="Cambria" w:hAnsi="Cambria" w:eastAsia="黑体" w:cs="宋体"/>
      <w:b w:val="0"/>
      <w:bCs w:val="0"/>
      <w:sz w:val="36"/>
      <w:szCs w:val="32"/>
    </w:rPr>
  </w:style>
  <w:style w:type="character" w:styleId="12">
    <w:name w:val="page number"/>
    <w:basedOn w:val="11"/>
    <w:qFormat/>
    <w:uiPriority w:val="0"/>
  </w:style>
  <w:style w:type="character" w:styleId="13">
    <w:name w:val="annotation reference"/>
    <w:basedOn w:val="11"/>
    <w:semiHidden/>
    <w:unhideWhenUsed/>
    <w:qFormat/>
    <w:uiPriority w:val="99"/>
    <w:rPr>
      <w:sz w:val="21"/>
      <w:szCs w:val="21"/>
    </w:rPr>
  </w:style>
  <w:style w:type="table" w:styleId="15">
    <w:name w:val="Table Grid"/>
    <w:basedOn w:val="1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标题 2 Char"/>
    <w:basedOn w:val="11"/>
    <w:link w:val="4"/>
    <w:qFormat/>
    <w:uiPriority w:val="0"/>
    <w:rPr>
      <w:rFonts w:ascii="Arial" w:hAnsi="Arial" w:eastAsia="黑体" w:cs="Times New Roman"/>
      <w:bCs/>
      <w:kern w:val="0"/>
      <w:sz w:val="28"/>
      <w:szCs w:val="32"/>
    </w:rPr>
  </w:style>
  <w:style w:type="character" w:customStyle="1" w:styleId="17">
    <w:name w:val="标题 Char"/>
    <w:link w:val="10"/>
    <w:qFormat/>
    <w:uiPriority w:val="0"/>
    <w:rPr>
      <w:rFonts w:ascii="Cambria" w:hAnsi="Cambria" w:eastAsia="黑体"/>
      <w:kern w:val="44"/>
      <w:sz w:val="36"/>
      <w:szCs w:val="32"/>
    </w:rPr>
  </w:style>
  <w:style w:type="character" w:customStyle="1" w:styleId="18">
    <w:name w:val="标题 字符1"/>
    <w:basedOn w:val="11"/>
    <w:qFormat/>
    <w:uiPriority w:val="10"/>
    <w:rPr>
      <w:rFonts w:ascii="等线 Light" w:hAnsi="等线 Light" w:eastAsia="等线 Light" w:cs="宋体"/>
      <w:b/>
      <w:bCs/>
      <w:sz w:val="32"/>
      <w:szCs w:val="32"/>
    </w:rPr>
  </w:style>
  <w:style w:type="character" w:customStyle="1" w:styleId="19">
    <w:name w:val="标题 1 Char"/>
    <w:basedOn w:val="11"/>
    <w:link w:val="3"/>
    <w:qFormat/>
    <w:uiPriority w:val="9"/>
    <w:rPr>
      <w:rFonts w:ascii="Times New Roman" w:hAnsi="Times New Roman" w:eastAsia="宋体" w:cs="Times New Roman"/>
      <w:b/>
      <w:bCs/>
      <w:kern w:val="44"/>
      <w:sz w:val="44"/>
      <w:szCs w:val="44"/>
    </w:rPr>
  </w:style>
  <w:style w:type="character" w:customStyle="1" w:styleId="20">
    <w:name w:val="页眉 Char"/>
    <w:basedOn w:val="11"/>
    <w:link w:val="9"/>
    <w:qFormat/>
    <w:uiPriority w:val="99"/>
    <w:rPr>
      <w:rFonts w:ascii="Times New Roman" w:hAnsi="Times New Roman" w:eastAsia="宋体" w:cs="Times New Roman"/>
      <w:sz w:val="18"/>
      <w:szCs w:val="18"/>
    </w:rPr>
  </w:style>
  <w:style w:type="character" w:customStyle="1" w:styleId="21">
    <w:name w:val="页脚 Char"/>
    <w:basedOn w:val="11"/>
    <w:link w:val="8"/>
    <w:qFormat/>
    <w:uiPriority w:val="99"/>
    <w:rPr>
      <w:rFonts w:ascii="Times New Roman" w:hAnsi="Times New Roman" w:eastAsia="宋体" w:cs="Times New Roman"/>
      <w:sz w:val="18"/>
      <w:szCs w:val="18"/>
    </w:rPr>
  </w:style>
  <w:style w:type="paragraph" w:customStyle="1" w:styleId="22">
    <w:name w:val="修订1"/>
    <w:hidden/>
    <w:semiHidden/>
    <w:qFormat/>
    <w:uiPriority w:val="99"/>
    <w:rPr>
      <w:rFonts w:ascii="Times New Roman" w:hAnsi="Times New Roman" w:eastAsia="宋体" w:cs="Times New Roman"/>
      <w:kern w:val="2"/>
      <w:sz w:val="24"/>
      <w:lang w:val="en-US" w:eastAsia="zh-CN" w:bidi="ar-SA"/>
    </w:rPr>
  </w:style>
  <w:style w:type="character" w:customStyle="1" w:styleId="23">
    <w:name w:val="批注框文本 Char"/>
    <w:basedOn w:val="11"/>
    <w:link w:val="7"/>
    <w:semiHidden/>
    <w:qFormat/>
    <w:uiPriority w:val="99"/>
    <w:rPr>
      <w:rFonts w:ascii="Times New Roman" w:hAnsi="Times New Roman" w:eastAsia="宋体" w:cs="Times New Roman"/>
      <w:sz w:val="18"/>
      <w:szCs w:val="18"/>
    </w:rPr>
  </w:style>
  <w:style w:type="character" w:customStyle="1" w:styleId="24">
    <w:name w:val="批注文字 Char"/>
    <w:basedOn w:val="11"/>
    <w:link w:val="6"/>
    <w:semiHidden/>
    <w:qFormat/>
    <w:uiPriority w:val="99"/>
    <w:rPr>
      <w:rFonts w:ascii="Times New Roman" w:hAnsi="Times New Roman" w:eastAsia="宋体" w:cs="Times New Roman"/>
      <w:sz w:val="24"/>
      <w:szCs w:val="20"/>
    </w:rPr>
  </w:style>
  <w:style w:type="character" w:customStyle="1" w:styleId="25">
    <w:name w:val="批注主题 Char"/>
    <w:basedOn w:val="24"/>
    <w:link w:val="5"/>
    <w:semiHidden/>
    <w:qFormat/>
    <w:uiPriority w:val="99"/>
    <w:rPr>
      <w:rFonts w:ascii="Times New Roman" w:hAnsi="Times New Roman" w:eastAsia="宋体" w:cs="Times New Roman"/>
      <w:b/>
      <w:bCs/>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Pages>
  <Words>228</Words>
  <Characters>1305</Characters>
  <Lines>10</Lines>
  <Paragraphs>3</Paragraphs>
  <TotalTime>0</TotalTime>
  <ScaleCrop>false</ScaleCrop>
  <LinksUpToDate>false</LinksUpToDate>
  <CharactersWithSpaces>1530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2022-08-19T02:16:00Z</dcterms:created>
  <dc:creator>田森 TIANSEN</dc:creator>
  <cp:lastModifiedBy>王亚杰（小）/HENFGS/CHNG</cp:lastModifiedBy>
  <cp:lastPrinted>2022-06-28T02:42:00Z</cp:lastPrinted>
  <dcterms:modified xsi:type="dcterms:W3CDTF">2022-11-01T01:27:23Z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4026c6ab86fa4b0d9fc6ecd7a516541a</vt:lpwstr>
  </property>
  <property fmtid="{D5CDD505-2E9C-101B-9397-08002B2CF9AE}" pid="3" name="KSOProductBuildVer">
    <vt:lpwstr>2052-10.8.2.6666</vt:lpwstr>
  </property>
</Properties>
</file>