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eastAsia="宋体" w:cs="Times New Roman"/>
          <w:b/>
          <w:bCs/>
          <w:color w:val="auto"/>
          <w:sz w:val="32"/>
          <w:szCs w:val="32"/>
          <w:lang w:eastAsia="zh-CN"/>
        </w:rPr>
      </w:pPr>
      <w:r>
        <w:rPr>
          <w:rFonts w:hint="eastAsia" w:ascii="宋体" w:eastAsia="宋体" w:cs="Times New Roman"/>
          <w:b/>
          <w:bCs/>
          <w:color w:val="auto"/>
          <w:sz w:val="32"/>
          <w:szCs w:val="32"/>
          <w:lang w:eastAsia="zh-CN"/>
        </w:rPr>
        <w:drawing>
          <wp:inline distT="0" distB="0" distL="114300" distR="114300">
            <wp:extent cx="5262245" cy="7560945"/>
            <wp:effectExtent l="0" t="0" r="14605" b="1905"/>
            <wp:docPr id="1" name="图片 1" descr="扫描全能王 2022-11-11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全能王 2022-11-11 10.26"/>
                    <pic:cNvPicPr>
                      <a:picLocks noChangeAspect="1"/>
                    </pic:cNvPicPr>
                  </pic:nvPicPr>
                  <pic:blipFill>
                    <a:blip r:embed="rId4"/>
                    <a:stretch>
                      <a:fillRect/>
                    </a:stretch>
                  </pic:blipFill>
                  <pic:spPr>
                    <a:xfrm>
                      <a:off x="0" y="0"/>
                      <a:ext cx="5262245" cy="7560945"/>
                    </a:xfrm>
                    <a:prstGeom prst="rect">
                      <a:avLst/>
                    </a:prstGeom>
                  </pic:spPr>
                </pic:pic>
              </a:graphicData>
            </a:graphic>
          </wp:inline>
        </w:drawing>
      </w:r>
      <w:bookmarkStart w:id="0" w:name="_GoBack"/>
      <w:bookmarkEnd w:id="0"/>
    </w:p>
    <w:p>
      <w:pPr>
        <w:spacing w:line="360" w:lineRule="auto"/>
        <w:ind w:firstLine="2891" w:firstLineChars="600"/>
        <w:jc w:val="both"/>
        <w:rPr>
          <w:rFonts w:ascii="宋体" w:hAnsi="宋体" w:eastAsia="宋体"/>
          <w:b/>
          <w:sz w:val="48"/>
          <w:szCs w:val="32"/>
        </w:rPr>
      </w:pPr>
      <w:r>
        <w:rPr>
          <w:rFonts w:hint="eastAsia" w:ascii="宋体" w:hAnsi="宋体" w:eastAsia="宋体"/>
          <w:b/>
          <w:sz w:val="48"/>
          <w:szCs w:val="32"/>
        </w:rPr>
        <w:t>注意事项</w:t>
      </w:r>
    </w:p>
    <w:p>
      <w:pPr>
        <w:spacing w:line="360" w:lineRule="auto"/>
        <w:ind w:firstLine="810"/>
        <w:jc w:val="left"/>
        <w:rPr>
          <w:rFonts w:ascii="宋体" w:hAnsi="宋体" w:eastAsia="宋体"/>
          <w:b/>
          <w:sz w:val="36"/>
          <w:szCs w:val="40"/>
        </w:rPr>
      </w:pPr>
      <w:r>
        <w:rPr>
          <w:rFonts w:hint="eastAsia" w:ascii="宋体" w:hAnsi="宋体" w:eastAsia="宋体"/>
          <w:b/>
          <w:sz w:val="36"/>
          <w:szCs w:val="40"/>
        </w:rPr>
        <w:t>供应商</w:t>
      </w:r>
      <w:r>
        <w:rPr>
          <w:rFonts w:ascii="宋体" w:hAnsi="宋体" w:eastAsia="宋体"/>
          <w:b/>
          <w:sz w:val="36"/>
          <w:szCs w:val="40"/>
        </w:rPr>
        <w:t>报价</w:t>
      </w:r>
      <w:r>
        <w:rPr>
          <w:rFonts w:hint="eastAsia" w:ascii="宋体" w:hAnsi="宋体" w:eastAsia="宋体"/>
          <w:b/>
          <w:sz w:val="36"/>
          <w:szCs w:val="40"/>
        </w:rPr>
        <w:t>时凡</w:t>
      </w:r>
      <w:r>
        <w:rPr>
          <w:rFonts w:ascii="宋体" w:hAnsi="宋体" w:eastAsia="宋体"/>
          <w:b/>
          <w:color w:val="FF0000"/>
          <w:sz w:val="36"/>
          <w:szCs w:val="40"/>
        </w:rPr>
        <w:t>涉及</w:t>
      </w:r>
      <w:r>
        <w:rPr>
          <w:rFonts w:hint="eastAsia" w:ascii="宋体" w:hAnsi="宋体" w:eastAsia="宋体"/>
          <w:b/>
          <w:color w:val="FF0000"/>
          <w:sz w:val="36"/>
          <w:szCs w:val="40"/>
        </w:rPr>
        <w:t>以下条款</w:t>
      </w:r>
      <w:r>
        <w:rPr>
          <w:rFonts w:ascii="宋体" w:hAnsi="宋体" w:eastAsia="宋体"/>
          <w:b/>
          <w:sz w:val="36"/>
          <w:szCs w:val="40"/>
        </w:rPr>
        <w:t>均</w:t>
      </w:r>
      <w:r>
        <w:rPr>
          <w:rFonts w:ascii="宋体" w:hAnsi="宋体" w:eastAsia="宋体"/>
          <w:b/>
          <w:color w:val="FF0000"/>
          <w:sz w:val="36"/>
          <w:szCs w:val="40"/>
        </w:rPr>
        <w:t>视为无效报价</w:t>
      </w:r>
      <w:r>
        <w:rPr>
          <w:rFonts w:hint="eastAsia" w:ascii="宋体" w:hAnsi="宋体" w:eastAsia="宋体"/>
          <w:b/>
          <w:color w:val="FF0000"/>
          <w:sz w:val="36"/>
          <w:szCs w:val="40"/>
        </w:rPr>
        <w:t>并</w:t>
      </w:r>
      <w:r>
        <w:rPr>
          <w:rFonts w:ascii="宋体" w:hAnsi="宋体" w:eastAsia="宋体"/>
          <w:b/>
          <w:color w:val="FF0000"/>
          <w:sz w:val="36"/>
          <w:szCs w:val="40"/>
        </w:rPr>
        <w:t>纳入供应商考评</w:t>
      </w:r>
      <w:r>
        <w:rPr>
          <w:rFonts w:hint="eastAsia" w:ascii="宋体" w:hAnsi="宋体" w:eastAsia="宋体"/>
          <w:b/>
          <w:sz w:val="36"/>
          <w:szCs w:val="40"/>
        </w:rPr>
        <w:t>，具体</w:t>
      </w:r>
      <w:r>
        <w:rPr>
          <w:rFonts w:ascii="宋体" w:hAnsi="宋体" w:eastAsia="宋体"/>
          <w:b/>
          <w:sz w:val="36"/>
          <w:szCs w:val="40"/>
        </w:rPr>
        <w:t>条款如下</w:t>
      </w:r>
      <w:r>
        <w:rPr>
          <w:rFonts w:hint="eastAsia" w:ascii="宋体" w:hAnsi="宋体" w:eastAsia="宋体"/>
          <w:b/>
          <w:sz w:val="36"/>
          <w:szCs w:val="40"/>
        </w:rPr>
        <w:t>：</w:t>
      </w:r>
    </w:p>
    <w:p>
      <w:pPr>
        <w:spacing w:line="360" w:lineRule="auto"/>
        <w:ind w:firstLine="810"/>
        <w:jc w:val="left"/>
        <w:rPr>
          <w:rFonts w:ascii="宋体" w:hAnsi="宋体"/>
          <w:color w:val="00B0F0"/>
          <w:sz w:val="36"/>
          <w:szCs w:val="40"/>
        </w:rPr>
      </w:pPr>
      <w:r>
        <w:rPr>
          <w:rFonts w:hint="eastAsia" w:ascii="宋体" w:hAnsi="宋体"/>
          <w:sz w:val="36"/>
          <w:szCs w:val="40"/>
        </w:rPr>
        <w:t>1.供应商</w:t>
      </w:r>
      <w:r>
        <w:rPr>
          <w:rFonts w:hint="eastAsia" w:ascii="宋体" w:hAnsi="宋体"/>
          <w:color w:val="FF0000"/>
          <w:sz w:val="36"/>
          <w:szCs w:val="40"/>
        </w:rPr>
        <w:t>单位负责人为同一人或者存在控股、管理关系</w:t>
      </w:r>
      <w:r>
        <w:rPr>
          <w:rFonts w:hint="eastAsia" w:ascii="宋体" w:hAnsi="宋体"/>
          <w:sz w:val="36"/>
          <w:szCs w:val="40"/>
        </w:rPr>
        <w:t>的；</w:t>
      </w:r>
      <w:r>
        <w:rPr>
          <w:rFonts w:hint="eastAsia" w:ascii="宋体" w:hAnsi="宋体"/>
          <w:color w:val="00B0F0"/>
          <w:sz w:val="36"/>
          <w:szCs w:val="40"/>
        </w:rPr>
        <w:t>（通过“天眼查、企查查或类似网站或应用程序”查看关联关系）</w:t>
      </w:r>
    </w:p>
    <w:p>
      <w:pPr>
        <w:spacing w:line="360" w:lineRule="auto"/>
        <w:ind w:firstLine="810"/>
        <w:jc w:val="left"/>
        <w:rPr>
          <w:rFonts w:ascii="宋体" w:hAnsi="宋体"/>
          <w:sz w:val="36"/>
          <w:szCs w:val="40"/>
        </w:rPr>
      </w:pPr>
      <w:r>
        <w:rPr>
          <w:rFonts w:hint="eastAsia" w:ascii="宋体" w:hAnsi="宋体"/>
          <w:sz w:val="36"/>
          <w:szCs w:val="40"/>
        </w:rPr>
        <w:t>2.供应商处于</w:t>
      </w:r>
      <w:r>
        <w:rPr>
          <w:rFonts w:hint="eastAsia" w:ascii="宋体" w:hAnsi="宋体"/>
          <w:color w:val="FF0000"/>
          <w:sz w:val="36"/>
          <w:szCs w:val="40"/>
        </w:rPr>
        <w:t>人民法院“失信被执行人”名单</w:t>
      </w:r>
      <w:r>
        <w:rPr>
          <w:rFonts w:hint="eastAsia" w:ascii="宋体" w:hAnsi="宋体"/>
          <w:color w:val="00B0F0"/>
          <w:sz w:val="36"/>
          <w:szCs w:val="40"/>
        </w:rPr>
        <w:t>（通过“信用中国”查询）</w:t>
      </w:r>
      <w:r>
        <w:rPr>
          <w:rFonts w:hint="eastAsia" w:ascii="宋体" w:hAnsi="宋体"/>
          <w:sz w:val="36"/>
          <w:szCs w:val="40"/>
        </w:rPr>
        <w:t>或</w:t>
      </w:r>
      <w:r>
        <w:rPr>
          <w:rFonts w:hint="eastAsia" w:ascii="宋体" w:hAnsi="宋体"/>
          <w:color w:val="FF0000"/>
          <w:sz w:val="36"/>
          <w:szCs w:val="40"/>
        </w:rPr>
        <w:t>工商行政管理机关“严重违法失信企业”名单</w:t>
      </w:r>
      <w:r>
        <w:rPr>
          <w:rFonts w:hint="eastAsia" w:ascii="宋体" w:hAnsi="宋体"/>
          <w:color w:val="00B0F0"/>
          <w:sz w:val="36"/>
          <w:szCs w:val="40"/>
        </w:rPr>
        <w:t>（通过“国家企业信用信息公示系统”查询）</w:t>
      </w:r>
      <w:r>
        <w:rPr>
          <w:rFonts w:hint="eastAsia" w:ascii="宋体" w:hAnsi="宋体"/>
          <w:sz w:val="36"/>
          <w:szCs w:val="40"/>
        </w:rPr>
        <w:t>的；</w:t>
      </w:r>
    </w:p>
    <w:p>
      <w:pPr>
        <w:spacing w:line="360" w:lineRule="auto"/>
        <w:ind w:firstLine="810"/>
        <w:jc w:val="left"/>
        <w:rPr>
          <w:rFonts w:ascii="宋体" w:hAnsi="宋体"/>
          <w:sz w:val="36"/>
          <w:szCs w:val="40"/>
        </w:rPr>
      </w:pPr>
      <w:r>
        <w:rPr>
          <w:rFonts w:hint="eastAsia" w:ascii="宋体" w:hAnsi="宋体"/>
          <w:sz w:val="36"/>
          <w:szCs w:val="40"/>
        </w:rPr>
        <w:t>3.供应商</w:t>
      </w:r>
      <w:r>
        <w:rPr>
          <w:rFonts w:hint="eastAsia" w:ascii="宋体" w:hAnsi="宋体"/>
          <w:color w:val="FF0000"/>
          <w:sz w:val="36"/>
          <w:szCs w:val="40"/>
        </w:rPr>
        <w:t>不上传附件（响应文件），上传的文件未加盖本单位公章，上传的资质非原件扫描</w:t>
      </w:r>
      <w:r>
        <w:rPr>
          <w:rFonts w:hint="eastAsia" w:ascii="宋体" w:hAnsi="宋体"/>
          <w:sz w:val="36"/>
          <w:szCs w:val="40"/>
        </w:rPr>
        <w:t>的。</w:t>
      </w:r>
    </w:p>
    <w:p>
      <w:pPr>
        <w:spacing w:line="360" w:lineRule="auto"/>
        <w:ind w:firstLine="810"/>
        <w:jc w:val="left"/>
        <w:rPr>
          <w:rFonts w:ascii="宋体" w:hAnsi="宋体"/>
          <w:sz w:val="36"/>
          <w:szCs w:val="40"/>
        </w:rPr>
      </w:pPr>
      <w:r>
        <w:rPr>
          <w:rFonts w:hint="eastAsia" w:ascii="宋体" w:hAnsi="宋体"/>
          <w:sz w:val="36"/>
          <w:szCs w:val="40"/>
        </w:rPr>
        <w:t>4.供应商</w:t>
      </w:r>
      <w:r>
        <w:rPr>
          <w:rFonts w:hint="eastAsia" w:ascii="宋体" w:hAnsi="宋体"/>
          <w:color w:val="FF0000"/>
          <w:sz w:val="36"/>
          <w:szCs w:val="40"/>
        </w:rPr>
        <w:t>不上传报价清单</w:t>
      </w:r>
      <w:r>
        <w:rPr>
          <w:rFonts w:hint="eastAsia" w:ascii="宋体" w:hAnsi="宋体"/>
          <w:sz w:val="36"/>
          <w:szCs w:val="40"/>
        </w:rPr>
        <w:t>或</w:t>
      </w:r>
      <w:r>
        <w:rPr>
          <w:rFonts w:hint="eastAsia" w:ascii="宋体" w:hAnsi="宋体"/>
          <w:color w:val="FF0000"/>
          <w:sz w:val="36"/>
          <w:szCs w:val="40"/>
        </w:rPr>
        <w:t>报价清单未盖章, 分项报价与总价不一致(计算错误或缺项、漏项、多项)</w:t>
      </w:r>
      <w:r>
        <w:rPr>
          <w:rFonts w:hint="eastAsia" w:ascii="宋体" w:hAnsi="宋体"/>
          <w:sz w:val="36"/>
          <w:szCs w:val="40"/>
        </w:rPr>
        <w:t>的。</w:t>
      </w:r>
    </w:p>
    <w:p>
      <w:pPr>
        <w:spacing w:line="360" w:lineRule="auto"/>
        <w:ind w:firstLine="810"/>
        <w:jc w:val="left"/>
        <w:rPr>
          <w:rFonts w:ascii="宋体" w:hAnsi="宋体"/>
          <w:sz w:val="36"/>
          <w:szCs w:val="40"/>
        </w:rPr>
      </w:pPr>
      <w:r>
        <w:rPr>
          <w:rFonts w:hint="eastAsia" w:ascii="宋体" w:hAnsi="宋体"/>
          <w:sz w:val="36"/>
          <w:szCs w:val="40"/>
        </w:rPr>
        <w:t>5.供应商</w:t>
      </w:r>
      <w:r>
        <w:rPr>
          <w:rFonts w:hint="eastAsia" w:ascii="宋体" w:hAnsi="宋体"/>
          <w:color w:val="FF0000"/>
          <w:sz w:val="36"/>
          <w:szCs w:val="40"/>
        </w:rPr>
        <w:t>无法接受后付款</w:t>
      </w:r>
      <w:r>
        <w:rPr>
          <w:rFonts w:hint="eastAsia" w:ascii="宋体" w:hAnsi="宋体"/>
          <w:sz w:val="36"/>
          <w:szCs w:val="40"/>
        </w:rPr>
        <w:t>方式。</w:t>
      </w:r>
    </w:p>
    <w:p>
      <w:pPr>
        <w:spacing w:line="360" w:lineRule="auto"/>
        <w:ind w:firstLine="810"/>
        <w:jc w:val="left"/>
        <w:rPr>
          <w:rFonts w:ascii="宋体" w:hAnsi="宋体"/>
          <w:sz w:val="36"/>
          <w:szCs w:val="40"/>
        </w:rPr>
      </w:pPr>
      <w:r>
        <w:rPr>
          <w:rFonts w:hint="eastAsia" w:ascii="宋体" w:hAnsi="宋体"/>
          <w:sz w:val="36"/>
          <w:szCs w:val="40"/>
        </w:rPr>
        <w:t>6.供应商</w:t>
      </w:r>
      <w:r>
        <w:rPr>
          <w:rFonts w:hint="eastAsia" w:ascii="宋体" w:hAnsi="宋体"/>
          <w:color w:val="FF0000"/>
          <w:sz w:val="36"/>
          <w:szCs w:val="40"/>
        </w:rPr>
        <w:t>提供的资格、业绩、证明等材料存在造假行为</w:t>
      </w:r>
      <w:r>
        <w:rPr>
          <w:rFonts w:hint="eastAsia" w:ascii="宋体" w:hAnsi="宋体"/>
          <w:sz w:val="36"/>
          <w:szCs w:val="40"/>
        </w:rPr>
        <w:t>的。</w:t>
      </w:r>
    </w:p>
    <w:p>
      <w:pPr>
        <w:spacing w:line="360" w:lineRule="auto"/>
        <w:ind w:firstLine="810"/>
        <w:jc w:val="left"/>
        <w:rPr>
          <w:rFonts w:ascii="宋体" w:hAnsi="宋体"/>
          <w:sz w:val="36"/>
          <w:szCs w:val="40"/>
        </w:rPr>
      </w:pPr>
      <w:r>
        <w:rPr>
          <w:rFonts w:hint="eastAsia" w:ascii="宋体" w:hAnsi="宋体"/>
          <w:sz w:val="36"/>
          <w:szCs w:val="40"/>
        </w:rPr>
        <w:t>7.</w:t>
      </w:r>
      <w:r>
        <w:rPr>
          <w:rFonts w:hint="eastAsia" w:ascii="宋体" w:hAnsi="宋体"/>
          <w:sz w:val="22"/>
        </w:rPr>
        <w:t xml:space="preserve"> </w:t>
      </w:r>
      <w:r>
        <w:rPr>
          <w:rFonts w:hint="eastAsia" w:ascii="宋体" w:hAnsi="宋体"/>
          <w:sz w:val="36"/>
          <w:szCs w:val="40"/>
        </w:rPr>
        <w:t>供应商</w:t>
      </w:r>
      <w:r>
        <w:rPr>
          <w:rFonts w:hint="eastAsia" w:ascii="宋体" w:hAnsi="宋体"/>
          <w:color w:val="FF0000"/>
          <w:sz w:val="36"/>
          <w:szCs w:val="40"/>
        </w:rPr>
        <w:t>存在</w:t>
      </w:r>
      <w:r>
        <w:rPr>
          <w:rFonts w:ascii="宋体" w:hAnsi="宋体"/>
          <w:color w:val="FF0000"/>
          <w:sz w:val="36"/>
          <w:szCs w:val="40"/>
        </w:rPr>
        <w:t>上传数据或响应文件的互联网协议地址（</w:t>
      </w:r>
      <w:r>
        <w:rPr>
          <w:rFonts w:hint="eastAsia" w:ascii="宋体" w:hAnsi="宋体"/>
          <w:color w:val="FF0000"/>
          <w:sz w:val="36"/>
          <w:szCs w:val="40"/>
        </w:rPr>
        <w:t>IP地址</w:t>
      </w:r>
      <w:r>
        <w:rPr>
          <w:rFonts w:ascii="宋体" w:hAnsi="宋体"/>
          <w:color w:val="FF0000"/>
          <w:sz w:val="36"/>
          <w:szCs w:val="40"/>
        </w:rPr>
        <w:t>）</w:t>
      </w:r>
      <w:r>
        <w:rPr>
          <w:rFonts w:hint="eastAsia" w:ascii="宋体" w:hAnsi="宋体"/>
          <w:color w:val="FF0000"/>
          <w:sz w:val="36"/>
          <w:szCs w:val="40"/>
        </w:rPr>
        <w:t>信息</w:t>
      </w:r>
      <w:r>
        <w:rPr>
          <w:rFonts w:ascii="宋体" w:hAnsi="宋体"/>
          <w:color w:val="FF0000"/>
          <w:sz w:val="36"/>
          <w:szCs w:val="40"/>
        </w:rPr>
        <w:t>检查一致</w:t>
      </w:r>
      <w:r>
        <w:rPr>
          <w:rFonts w:hint="eastAsia" w:ascii="宋体" w:hAnsi="宋体"/>
          <w:sz w:val="36"/>
          <w:szCs w:val="40"/>
        </w:rPr>
        <w:t>的</w:t>
      </w:r>
      <w:r>
        <w:rPr>
          <w:rFonts w:ascii="宋体" w:hAnsi="宋体"/>
          <w:sz w:val="36"/>
          <w:szCs w:val="40"/>
        </w:rPr>
        <w:t>。</w:t>
      </w:r>
    </w:p>
    <w:p>
      <w:pPr>
        <w:pStyle w:val="13"/>
        <w:pageBreakBefore/>
        <w:jc w:val="center"/>
        <w:rPr>
          <w:b/>
          <w:bCs/>
          <w:sz w:val="44"/>
          <w:szCs w:val="44"/>
        </w:rPr>
      </w:pPr>
      <w:r>
        <w:rPr>
          <w:rFonts w:hint="eastAsia" w:cs="宋体"/>
          <w:b/>
          <w:bCs/>
          <w:sz w:val="44"/>
          <w:szCs w:val="44"/>
        </w:rPr>
        <w:t>总目录</w:t>
      </w:r>
    </w:p>
    <w:p>
      <w:pPr>
        <w:pStyle w:val="13"/>
        <w:rPr>
          <w:sz w:val="32"/>
          <w:szCs w:val="32"/>
        </w:rPr>
      </w:pPr>
    </w:p>
    <w:p>
      <w:pPr>
        <w:pStyle w:val="13"/>
        <w:spacing w:line="360" w:lineRule="auto"/>
        <w:rPr>
          <w:rFonts w:ascii="宋体"/>
          <w:b/>
          <w:bCs/>
          <w:color w:val="000000"/>
          <w:sz w:val="32"/>
          <w:szCs w:val="32"/>
        </w:rPr>
      </w:pPr>
      <w:r>
        <w:rPr>
          <w:rFonts w:hint="eastAsia" w:ascii="宋体" w:hAnsi="宋体" w:cs="宋体"/>
          <w:b/>
          <w:bCs/>
          <w:color w:val="000000"/>
          <w:sz w:val="32"/>
          <w:szCs w:val="32"/>
        </w:rPr>
        <w:t>第一章供应商须知</w:t>
      </w:r>
    </w:p>
    <w:p>
      <w:pPr>
        <w:pStyle w:val="13"/>
        <w:spacing w:line="360" w:lineRule="auto"/>
        <w:rPr>
          <w:b/>
          <w:bCs/>
          <w:sz w:val="32"/>
          <w:szCs w:val="32"/>
        </w:rPr>
      </w:pPr>
      <w:r>
        <w:rPr>
          <w:rFonts w:hint="eastAsia" w:cs="宋体"/>
          <w:b/>
          <w:bCs/>
          <w:sz w:val="32"/>
          <w:szCs w:val="32"/>
        </w:rPr>
        <w:t>第二章采购项目概况</w:t>
      </w:r>
    </w:p>
    <w:p>
      <w:pPr>
        <w:pStyle w:val="13"/>
        <w:spacing w:line="360" w:lineRule="auto"/>
        <w:rPr>
          <w:b/>
          <w:bCs/>
          <w:sz w:val="32"/>
          <w:szCs w:val="32"/>
        </w:rPr>
      </w:pPr>
      <w:r>
        <w:rPr>
          <w:rFonts w:hint="eastAsia" w:cs="宋体"/>
          <w:b/>
          <w:bCs/>
          <w:sz w:val="32"/>
          <w:szCs w:val="32"/>
        </w:rPr>
        <w:t>第三章供应商资格要求</w:t>
      </w:r>
    </w:p>
    <w:p>
      <w:pPr>
        <w:pStyle w:val="13"/>
        <w:spacing w:line="360" w:lineRule="auto"/>
        <w:rPr>
          <w:b/>
          <w:bCs/>
          <w:sz w:val="32"/>
          <w:szCs w:val="32"/>
        </w:rPr>
      </w:pPr>
      <w:r>
        <w:rPr>
          <w:rFonts w:hint="eastAsia" w:cs="宋体"/>
          <w:b/>
          <w:bCs/>
          <w:sz w:val="32"/>
          <w:szCs w:val="32"/>
        </w:rPr>
        <w:t>第四章技术规范要求</w:t>
      </w:r>
    </w:p>
    <w:p>
      <w:pPr>
        <w:pageBreakBefore/>
        <w:spacing w:line="360" w:lineRule="auto"/>
        <w:jc w:val="center"/>
        <w:rPr>
          <w:rFonts w:ascii="黑体" w:hAnsi="黑体" w:eastAsia="黑体" w:cs="Times New Roman"/>
          <w:sz w:val="32"/>
          <w:szCs w:val="32"/>
        </w:rPr>
      </w:pPr>
      <w:r>
        <w:rPr>
          <w:rFonts w:hint="eastAsia" w:ascii="黑体" w:hAnsi="黑体" w:eastAsia="黑体" w:cs="黑体"/>
          <w:sz w:val="40"/>
          <w:szCs w:val="40"/>
        </w:rPr>
        <w:t>第一章供应商须知</w:t>
      </w:r>
    </w:p>
    <w:p>
      <w:pPr>
        <w:spacing w:line="360" w:lineRule="auto"/>
        <w:rPr>
          <w:rFonts w:ascii="黑体" w:hAnsi="黑体" w:eastAsia="黑体" w:cs="Times New Roman"/>
          <w:sz w:val="32"/>
          <w:szCs w:val="32"/>
        </w:rPr>
      </w:pPr>
      <w:r>
        <w:rPr>
          <w:rFonts w:hint="eastAsia" w:ascii="黑体" w:hAnsi="黑体" w:eastAsia="黑体" w:cs="黑体"/>
          <w:sz w:val="32"/>
          <w:szCs w:val="32"/>
          <w:u w:val="single"/>
          <w:lang w:eastAsia="zh-CN"/>
        </w:rPr>
        <w:t>包头第一热电厂工业供汽项目</w:t>
      </w:r>
      <w:r>
        <w:rPr>
          <w:rFonts w:hint="eastAsia" w:ascii="黑体" w:hAnsi="黑体" w:eastAsia="黑体" w:cs="黑体"/>
          <w:sz w:val="32"/>
          <w:szCs w:val="32"/>
          <w:u w:val="single"/>
          <w:lang w:val="en-US" w:eastAsia="zh-CN"/>
        </w:rPr>
        <w:t>补偿导线、控制电缆、电力电缆、计算机电缆</w:t>
      </w:r>
      <w:r>
        <w:rPr>
          <w:rFonts w:ascii="黑体" w:hAnsi="黑体" w:eastAsia="黑体" w:cs="黑体"/>
          <w:sz w:val="32"/>
          <w:szCs w:val="32"/>
          <w:u w:val="single"/>
        </w:rPr>
        <w:t xml:space="preserve"> </w:t>
      </w:r>
      <w:r>
        <w:rPr>
          <w:rFonts w:hint="eastAsia" w:ascii="黑体" w:hAnsi="黑体" w:eastAsia="黑体" w:cs="黑体"/>
          <w:sz w:val="32"/>
          <w:szCs w:val="32"/>
        </w:rPr>
        <w:t>项目</w:t>
      </w:r>
    </w:p>
    <w:p>
      <w:pPr>
        <w:spacing w:line="360" w:lineRule="auto"/>
        <w:jc w:val="center"/>
        <w:rPr>
          <w:rFonts w:eastAsia="黑体" w:cs="Times New Roman"/>
          <w:b/>
          <w:bCs/>
          <w:sz w:val="48"/>
          <w:szCs w:val="48"/>
        </w:rPr>
      </w:pPr>
      <w:r>
        <w:rPr>
          <w:rFonts w:hint="eastAsia" w:ascii="黑体" w:hAnsi="黑体" w:eastAsia="黑体" w:cs="黑体"/>
          <w:sz w:val="36"/>
          <w:szCs w:val="36"/>
        </w:rPr>
        <w:t>电商询价采购文件</w:t>
      </w:r>
    </w:p>
    <w:tbl>
      <w:tblPr>
        <w:tblStyle w:val="8"/>
        <w:tblW w:w="8859" w:type="dxa"/>
        <w:tblInd w:w="-106"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条款名称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cs="Times New Roman"/>
                <w:kern w:val="0"/>
                <w:sz w:val="22"/>
                <w:szCs w:val="22"/>
              </w:rPr>
            </w:pPr>
            <w:r>
              <w:rPr>
                <w:rFonts w:hint="eastAsia" w:ascii="宋体" w:hAnsi="宋体" w:cs="宋体"/>
                <w:kern w:val="0"/>
                <w:sz w:val="22"/>
                <w:szCs w:val="22"/>
              </w:rPr>
              <w:t>主要内容</w:t>
            </w:r>
          </w:p>
        </w:tc>
      </w:tr>
      <w:tr>
        <w:tblPrEx>
          <w:tblLayout w:type="fixed"/>
          <w:tblCellMar>
            <w:top w:w="0" w:type="dxa"/>
            <w:left w:w="108" w:type="dxa"/>
            <w:bottom w:w="0" w:type="dxa"/>
            <w:right w:w="108" w:type="dxa"/>
          </w:tblCellMar>
        </w:tblPrEx>
        <w:trPr>
          <w:trHeight w:val="3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采购名称</w:t>
            </w:r>
          </w:p>
        </w:tc>
        <w:tc>
          <w:tcPr>
            <w:tcW w:w="5594" w:type="dxa"/>
            <w:tcBorders>
              <w:top w:val="nil"/>
              <w:left w:val="nil"/>
              <w:bottom w:val="nil"/>
              <w:right w:val="single" w:color="auto" w:sz="8" w:space="0"/>
            </w:tcBorders>
            <w:shd w:val="clear" w:color="000000" w:fill="FFFFFF"/>
            <w:vAlign w:val="center"/>
          </w:tcPr>
          <w:p>
            <w:pPr>
              <w:widowControl/>
              <w:jc w:val="left"/>
              <w:rPr>
                <w:rFonts w:ascii="宋体" w:cs="Times New Roman"/>
                <w:kern w:val="0"/>
                <w:sz w:val="22"/>
                <w:szCs w:val="22"/>
              </w:rPr>
            </w:pPr>
            <w:r>
              <w:rPr>
                <w:rFonts w:hint="eastAsia" w:ascii="宋体" w:cs="Times New Roman"/>
                <w:kern w:val="0"/>
                <w:sz w:val="22"/>
                <w:szCs w:val="22"/>
                <w:lang w:eastAsia="zh-CN"/>
              </w:rPr>
              <w:t>包头第一热工业供汽项目所需</w:t>
            </w:r>
            <w:r>
              <w:rPr>
                <w:rFonts w:hint="eastAsia" w:ascii="宋体" w:cs="Times New Roman"/>
                <w:kern w:val="0"/>
                <w:sz w:val="22"/>
                <w:szCs w:val="22"/>
                <w:lang w:val="en-US" w:eastAsia="zh-CN"/>
              </w:rPr>
              <w:t>控制电缆、电缆电缆、计算机电缆、补偿导线</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rPr>
              <w:t>项目单位：包头第一热电厂</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rPr>
              <w:t>地址：包头市昆都仑区卜尔汗图镇背锅窑子村110国道收费站东侧500米处</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rPr>
              <w:t>联 系 人</w:t>
            </w:r>
            <w:r>
              <w:rPr>
                <w:rFonts w:hint="eastAsia" w:ascii="宋体" w:hAnsi="宋体" w:cs="宋体"/>
                <w:kern w:val="0"/>
                <w:sz w:val="22"/>
                <w:lang w:val="en-US" w:eastAsia="zh-CN"/>
              </w:rPr>
              <w:t>:张承刚</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rPr>
              <w:t>联系方式：13847</w:t>
            </w:r>
            <w:r>
              <w:rPr>
                <w:rFonts w:hint="eastAsia" w:ascii="宋体" w:hAnsi="宋体" w:cs="宋体"/>
                <w:kern w:val="0"/>
                <w:sz w:val="22"/>
                <w:lang w:val="en-US" w:eastAsia="zh-CN"/>
              </w:rPr>
              <w:t>205842</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eastAsia="宋体" w:cs="Times New Roman"/>
                <w:kern w:val="0"/>
                <w:sz w:val="22"/>
                <w:szCs w:val="22"/>
                <w:lang w:val="en-US" w:eastAsia="zh-CN"/>
              </w:rPr>
            </w:pPr>
            <w:r>
              <w:rPr>
                <w:rFonts w:hint="eastAsia" w:ascii="宋体" w:hAnsi="宋体" w:cs="宋体"/>
                <w:kern w:val="0"/>
                <w:sz w:val="22"/>
              </w:rPr>
              <w:t>电商询价：</w:t>
            </w:r>
            <w:r>
              <w:rPr>
                <w:rFonts w:hint="eastAsia" w:ascii="宋体" w:hAnsi="宋体" w:cs="宋体"/>
                <w:kern w:val="0"/>
                <w:sz w:val="22"/>
                <w:lang w:val="en-US" w:eastAsia="zh-CN"/>
              </w:rPr>
              <w:t>张承刚</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采购范围</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cs="Times New Roman"/>
                <w:kern w:val="0"/>
                <w:sz w:val="22"/>
                <w:szCs w:val="22"/>
                <w:lang w:val="en-US" w:eastAsia="zh-CN"/>
              </w:rPr>
            </w:pPr>
            <w:r>
              <w:rPr>
                <w:rFonts w:hint="eastAsia" w:ascii="宋体" w:cs="Times New Roman"/>
                <w:kern w:val="0"/>
                <w:sz w:val="22"/>
                <w:szCs w:val="22"/>
                <w:lang w:val="en-US" w:eastAsia="zh-CN"/>
              </w:rPr>
              <w:t>控制电缆 ZR-KFFP 14×1.0</w:t>
            </w:r>
          </w:p>
          <w:p>
            <w:pPr>
              <w:widowControl/>
              <w:jc w:val="left"/>
              <w:rPr>
                <w:rFonts w:hint="eastAsia" w:ascii="宋体" w:cs="Times New Roman"/>
                <w:kern w:val="0"/>
                <w:sz w:val="22"/>
                <w:szCs w:val="22"/>
                <w:lang w:val="en-US" w:eastAsia="zh-CN"/>
              </w:rPr>
            </w:pPr>
            <w:r>
              <w:rPr>
                <w:rFonts w:hint="eastAsia" w:ascii="宋体" w:cs="Times New Roman"/>
                <w:kern w:val="0"/>
                <w:sz w:val="22"/>
                <w:szCs w:val="22"/>
                <w:lang w:val="en-US" w:eastAsia="zh-CN"/>
              </w:rPr>
              <w:t>补偿导线 ZKX 2×1.5</w:t>
            </w:r>
          </w:p>
          <w:p>
            <w:pPr>
              <w:widowControl/>
              <w:jc w:val="left"/>
              <w:rPr>
                <w:rFonts w:hint="eastAsia" w:ascii="宋体" w:cs="Times New Roman"/>
                <w:kern w:val="0"/>
                <w:sz w:val="22"/>
                <w:szCs w:val="22"/>
                <w:lang w:val="en-US" w:eastAsia="zh-CN"/>
              </w:rPr>
            </w:pPr>
            <w:r>
              <w:rPr>
                <w:rFonts w:hint="eastAsia" w:ascii="宋体" w:cs="Times New Roman"/>
                <w:kern w:val="0"/>
                <w:sz w:val="22"/>
                <w:szCs w:val="22"/>
                <w:lang w:val="en-US" w:eastAsia="zh-CN"/>
              </w:rPr>
              <w:t>计算机电缆ZRC-DJYPVP 2×2×1.0</w:t>
            </w:r>
          </w:p>
          <w:p>
            <w:pPr>
              <w:widowControl/>
              <w:jc w:val="left"/>
              <w:rPr>
                <w:rFonts w:hint="eastAsia" w:ascii="宋体" w:cs="Times New Roman"/>
                <w:kern w:val="0"/>
                <w:sz w:val="22"/>
                <w:szCs w:val="22"/>
                <w:lang w:val="en-US" w:eastAsia="zh-CN"/>
              </w:rPr>
            </w:pPr>
            <w:r>
              <w:rPr>
                <w:rFonts w:hint="eastAsia" w:ascii="宋体" w:cs="Times New Roman"/>
                <w:kern w:val="0"/>
                <w:sz w:val="22"/>
                <w:szCs w:val="22"/>
                <w:lang w:val="en-US" w:eastAsia="zh-CN"/>
              </w:rPr>
              <w:t>电力电缆ZR-VV22 2×16</w:t>
            </w:r>
          </w:p>
          <w:p>
            <w:pPr>
              <w:widowControl/>
              <w:jc w:val="left"/>
              <w:rPr>
                <w:rFonts w:hint="eastAsia" w:ascii="宋体" w:cs="Times New Roman"/>
                <w:kern w:val="0"/>
                <w:sz w:val="22"/>
                <w:szCs w:val="22"/>
                <w:lang w:val="en-US" w:eastAsia="zh-CN"/>
              </w:rPr>
            </w:pPr>
            <w:r>
              <w:rPr>
                <w:rFonts w:hint="eastAsia" w:ascii="宋体" w:cs="Times New Roman"/>
                <w:kern w:val="0"/>
                <w:sz w:val="22"/>
                <w:szCs w:val="22"/>
                <w:lang w:val="en-US" w:eastAsia="zh-CN"/>
              </w:rPr>
              <w:t>电力电缆ZRC-YJV22 4×16</w:t>
            </w:r>
          </w:p>
          <w:p>
            <w:pPr>
              <w:widowControl/>
              <w:jc w:val="left"/>
              <w:rPr>
                <w:rFonts w:hint="eastAsia" w:ascii="宋体" w:cs="Times New Roman"/>
                <w:kern w:val="0"/>
                <w:sz w:val="22"/>
                <w:szCs w:val="22"/>
                <w:lang w:val="en-US" w:eastAsia="zh-CN"/>
              </w:rPr>
            </w:pPr>
            <w:r>
              <w:rPr>
                <w:rFonts w:hint="eastAsia" w:ascii="宋体" w:cs="Times New Roman"/>
                <w:kern w:val="0"/>
                <w:sz w:val="22"/>
                <w:szCs w:val="22"/>
                <w:lang w:val="en-US" w:eastAsia="zh-CN"/>
              </w:rPr>
              <w:t>控制电缆KVV22 4×4</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lang w:eastAsia="zh-CN"/>
              </w:rPr>
              <w:t>电力电缆质量执行国家三包标准（包修</w:t>
            </w:r>
            <w:r>
              <w:rPr>
                <w:rFonts w:hint="eastAsia" w:ascii="宋体" w:hAnsi="宋体" w:eastAsia="宋体" w:cs="宋体"/>
                <w:kern w:val="0"/>
                <w:sz w:val="22"/>
                <w:lang w:eastAsia="zh-CN"/>
              </w:rPr>
              <w:t>、</w:t>
            </w:r>
            <w:r>
              <w:rPr>
                <w:rFonts w:hint="eastAsia" w:ascii="宋体" w:hAnsi="宋体" w:cs="宋体"/>
                <w:kern w:val="0"/>
                <w:sz w:val="22"/>
                <w:lang w:eastAsia="zh-CN"/>
              </w:rPr>
              <w:t>包换</w:t>
            </w:r>
            <w:r>
              <w:rPr>
                <w:rFonts w:hint="eastAsia" w:ascii="宋体" w:hAnsi="宋体" w:eastAsia="宋体" w:cs="宋体"/>
                <w:kern w:val="0"/>
                <w:sz w:val="22"/>
                <w:lang w:eastAsia="zh-CN"/>
              </w:rPr>
              <w:t>、</w:t>
            </w:r>
            <w:r>
              <w:rPr>
                <w:rFonts w:hint="eastAsia" w:ascii="宋体" w:hAnsi="宋体" w:cs="宋体"/>
                <w:kern w:val="0"/>
                <w:sz w:val="22"/>
                <w:lang w:eastAsia="zh-CN"/>
              </w:rPr>
              <w:t>包退）条款，质保期二年。</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kern w:val="0"/>
                <w:sz w:val="22"/>
                <w:szCs w:val="22"/>
              </w:rPr>
            </w:pPr>
            <w:r>
              <w:rPr>
                <w:kern w:val="0"/>
                <w:sz w:val="22"/>
                <w:szCs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color w:val="0070C0"/>
                <w:kern w:val="0"/>
                <w:sz w:val="22"/>
                <w:szCs w:val="22"/>
              </w:rPr>
            </w:pPr>
            <w:r>
              <w:rPr>
                <w:rFonts w:hint="eastAsia" w:ascii="宋体" w:hAnsi="宋体" w:cs="宋体"/>
                <w:color w:val="0070C0"/>
                <w:kern w:val="0"/>
                <w:sz w:val="22"/>
                <w:szCs w:val="22"/>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numPr>
                <w:ilvl w:val="0"/>
                <w:numId w:val="1"/>
              </w:numPr>
              <w:jc w:val="left"/>
              <w:rPr>
                <w:rFonts w:ascii="宋体" w:cs="Times New Roman"/>
                <w:kern w:val="0"/>
                <w:sz w:val="22"/>
                <w:szCs w:val="22"/>
              </w:rPr>
            </w:pPr>
            <w:r>
              <w:rPr>
                <w:rFonts w:hint="eastAsia" w:ascii="宋体" w:hAnsi="宋体" w:cs="宋体"/>
                <w:kern w:val="0"/>
                <w:sz w:val="22"/>
                <w:szCs w:val="22"/>
              </w:rPr>
              <w:t>采购方制定询价文件；</w:t>
            </w:r>
            <w:r>
              <w:rPr>
                <w:rFonts w:ascii="宋体" w:cs="Times New Roman"/>
                <w:kern w:val="0"/>
                <w:sz w:val="22"/>
                <w:szCs w:val="22"/>
              </w:rPr>
              <w:br w:type="textWrapping"/>
            </w:r>
            <w:r>
              <w:rPr>
                <w:rFonts w:ascii="宋体" w:hAnsi="宋体" w:cs="宋体"/>
                <w:kern w:val="0"/>
                <w:sz w:val="22"/>
                <w:szCs w:val="22"/>
              </w:rPr>
              <w:t xml:space="preserve">(2) </w:t>
            </w:r>
            <w:r>
              <w:rPr>
                <w:rFonts w:hint="eastAsia" w:ascii="宋体" w:hAnsi="宋体" w:cs="宋体"/>
                <w:kern w:val="0"/>
                <w:sz w:val="22"/>
                <w:szCs w:val="22"/>
              </w:rPr>
              <w:t>采购方发起电商平台公开询价；</w:t>
            </w:r>
            <w:r>
              <w:rPr>
                <w:rFonts w:ascii="宋体" w:cs="Times New Roman"/>
                <w:kern w:val="0"/>
                <w:sz w:val="22"/>
                <w:szCs w:val="22"/>
              </w:rPr>
              <w:br w:type="textWrapping"/>
            </w:r>
            <w:r>
              <w:rPr>
                <w:rFonts w:ascii="宋体" w:hAnsi="宋体" w:cs="宋体"/>
                <w:kern w:val="0"/>
                <w:sz w:val="22"/>
                <w:szCs w:val="22"/>
              </w:rPr>
              <w:t xml:space="preserve">(3) </w:t>
            </w:r>
            <w:r>
              <w:rPr>
                <w:rFonts w:hint="eastAsia" w:ascii="宋体" w:hAnsi="宋体" w:cs="宋体"/>
                <w:kern w:val="0"/>
                <w:sz w:val="22"/>
                <w:szCs w:val="22"/>
              </w:rPr>
              <w:t>供应商严格按照询价文件要求编制并按时在线递交响应文件；</w:t>
            </w:r>
            <w:r>
              <w:rPr>
                <w:rFonts w:ascii="宋体" w:cs="Times New Roman"/>
                <w:kern w:val="0"/>
                <w:sz w:val="22"/>
                <w:szCs w:val="22"/>
              </w:rPr>
              <w:br w:type="textWrapping"/>
            </w:r>
            <w:r>
              <w:rPr>
                <w:rFonts w:ascii="宋体" w:hAnsi="宋体" w:cs="宋体"/>
                <w:kern w:val="0"/>
                <w:sz w:val="22"/>
                <w:szCs w:val="22"/>
              </w:rPr>
              <w:t xml:space="preserve">(5) </w:t>
            </w:r>
            <w:r>
              <w:rPr>
                <w:rFonts w:hint="eastAsia" w:ascii="宋体" w:hAnsi="宋体" w:cs="宋体"/>
                <w:kern w:val="0"/>
                <w:sz w:val="22"/>
                <w:szCs w:val="22"/>
              </w:rPr>
              <w:t>采购方确定成交候选人及成交人。</w:t>
            </w:r>
          </w:p>
        </w:tc>
      </w:tr>
      <w:tr>
        <w:tblPrEx>
          <w:tblLayout w:type="fixed"/>
          <w:tblCellMar>
            <w:top w:w="0" w:type="dxa"/>
            <w:left w:w="108" w:type="dxa"/>
            <w:bottom w:w="0" w:type="dxa"/>
            <w:right w:w="108" w:type="dxa"/>
          </w:tblCellMar>
        </w:tblPrEx>
        <w:trPr>
          <w:trHeight w:val="1058"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2"/>
                <w:szCs w:val="22"/>
              </w:rPr>
            </w:pPr>
            <w:r>
              <w:rPr>
                <w:kern w:val="0"/>
                <w:sz w:val="22"/>
                <w:szCs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color w:val="0070C0"/>
                <w:kern w:val="0"/>
                <w:sz w:val="22"/>
                <w:szCs w:val="22"/>
              </w:rPr>
            </w:pPr>
            <w:r>
              <w:rPr>
                <w:rFonts w:hint="eastAsia" w:ascii="宋体" w:hAnsi="宋体" w:cs="宋体"/>
                <w:color w:val="0070C0"/>
                <w:kern w:val="0"/>
                <w:sz w:val="22"/>
                <w:szCs w:val="22"/>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color w:val="FF0000"/>
                <w:kern w:val="0"/>
                <w:sz w:val="22"/>
                <w:szCs w:val="22"/>
              </w:rPr>
            </w:pPr>
            <w:r>
              <w:rPr>
                <w:rFonts w:ascii="宋体" w:hAnsi="宋体" w:cs="宋体"/>
                <w:color w:val="FF0000"/>
                <w:kern w:val="0"/>
                <w:sz w:val="22"/>
                <w:szCs w:val="22"/>
              </w:rPr>
              <w:t xml:space="preserve">(1) </w:t>
            </w:r>
            <w:r>
              <w:rPr>
                <w:rFonts w:hint="eastAsia" w:ascii="宋体" w:hAnsi="宋体" w:cs="宋体"/>
                <w:color w:val="FF0000"/>
                <w:kern w:val="0"/>
                <w:sz w:val="22"/>
                <w:szCs w:val="22"/>
              </w:rPr>
              <w:t>报价方必须按照物料行项进行报价；</w:t>
            </w:r>
          </w:p>
          <w:p>
            <w:pPr>
              <w:widowControl/>
              <w:jc w:val="left"/>
              <w:rPr>
                <w:rFonts w:ascii="宋体" w:cs="Times New Roman"/>
                <w:color w:val="FF0000"/>
                <w:kern w:val="0"/>
                <w:sz w:val="22"/>
                <w:szCs w:val="22"/>
              </w:rPr>
            </w:pPr>
            <w:r>
              <w:rPr>
                <w:rFonts w:ascii="宋体" w:hAnsi="宋体" w:cs="宋体"/>
                <w:color w:val="FF0000"/>
                <w:kern w:val="0"/>
                <w:sz w:val="22"/>
                <w:szCs w:val="22"/>
              </w:rPr>
              <w:t xml:space="preserve">(2) </w:t>
            </w:r>
            <w:r>
              <w:rPr>
                <w:rFonts w:hint="eastAsia" w:ascii="宋体" w:hAnsi="宋体" w:cs="宋体"/>
                <w:color w:val="FF0000"/>
                <w:kern w:val="0"/>
                <w:sz w:val="22"/>
                <w:szCs w:val="22"/>
              </w:rPr>
              <w:t>报价必须含运杂费；</w:t>
            </w:r>
          </w:p>
          <w:p>
            <w:pPr>
              <w:widowControl/>
              <w:jc w:val="left"/>
              <w:rPr>
                <w:rFonts w:ascii="宋体" w:cs="Times New Roman"/>
                <w:kern w:val="0"/>
                <w:sz w:val="22"/>
                <w:szCs w:val="22"/>
              </w:rPr>
            </w:pPr>
            <w:r>
              <w:rPr>
                <w:rFonts w:ascii="宋体" w:hAnsi="宋体" w:cs="宋体"/>
                <w:color w:val="FF0000"/>
                <w:kern w:val="0"/>
                <w:sz w:val="22"/>
                <w:szCs w:val="22"/>
              </w:rPr>
              <w:t xml:space="preserve">(3) </w:t>
            </w:r>
            <w:r>
              <w:rPr>
                <w:rFonts w:hint="eastAsia" w:ascii="宋体" w:hAnsi="宋体" w:cs="宋体"/>
                <w:color w:val="FF0000"/>
                <w:kern w:val="0"/>
                <w:sz w:val="22"/>
                <w:szCs w:val="22"/>
              </w:rPr>
              <w:t>缺项、漏项报价视同报价无效；</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kern w:val="0"/>
                <w:sz w:val="22"/>
                <w:szCs w:val="22"/>
              </w:rPr>
            </w:pPr>
            <w:r>
              <w:rPr>
                <w:kern w:val="0"/>
                <w:sz w:val="22"/>
                <w:szCs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Times New Roman"/>
                <w:kern w:val="0"/>
                <w:sz w:val="22"/>
                <w:szCs w:val="22"/>
              </w:rPr>
            </w:pPr>
            <w:r>
              <w:rPr>
                <w:rFonts w:hint="eastAsia" w:cs="宋体"/>
                <w:kern w:val="0"/>
                <w:sz w:val="22"/>
                <w:szCs w:val="22"/>
              </w:rPr>
              <w:t>以华能电子商务平台报价截止时间为准</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kern w:val="0"/>
                <w:sz w:val="22"/>
                <w:szCs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Times New Roman"/>
                <w:kern w:val="0"/>
                <w:sz w:val="22"/>
                <w:szCs w:val="22"/>
              </w:rPr>
            </w:pPr>
            <w:r>
              <w:rPr>
                <w:rFonts w:hint="eastAsia" w:ascii="宋体" w:hAnsi="宋体" w:cs="宋体"/>
                <w:kern w:val="0"/>
                <w:sz w:val="22"/>
                <w:szCs w:val="22"/>
              </w:rPr>
              <w:t>报价人通过中国华能集团公司电子商务平台在规定日期内</w:t>
            </w:r>
            <w:r>
              <w:rPr>
                <w:rFonts w:hint="eastAsia" w:ascii="宋体" w:hAnsi="宋体" w:cs="宋体"/>
                <w:color w:val="0070C0"/>
                <w:kern w:val="0"/>
                <w:sz w:val="22"/>
                <w:szCs w:val="22"/>
              </w:rPr>
              <w:t>进行报价。</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付款方式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cs="Times New Roman"/>
                <w:color w:val="0070C0"/>
                <w:kern w:val="0"/>
                <w:sz w:val="22"/>
                <w:szCs w:val="22"/>
              </w:rPr>
            </w:pPr>
            <w:r>
              <w:rPr>
                <w:rFonts w:hint="eastAsia" w:ascii="宋体" w:hAnsi="宋体" w:cs="宋体"/>
                <w:color w:val="000000"/>
                <w:sz w:val="24"/>
                <w:szCs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9</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color w:val="FF0000"/>
                <w:kern w:val="0"/>
                <w:sz w:val="22"/>
                <w:szCs w:val="22"/>
              </w:rPr>
              <w:t>交货期限</w:t>
            </w:r>
          </w:p>
        </w:tc>
        <w:tc>
          <w:tcPr>
            <w:tcW w:w="5594" w:type="dxa"/>
            <w:tcBorders>
              <w:top w:val="single" w:color="auto" w:sz="4" w:space="0"/>
              <w:left w:val="nil"/>
              <w:right w:val="single" w:color="auto" w:sz="4" w:space="0"/>
            </w:tcBorders>
            <w:shd w:val="clear" w:color="000000" w:fill="FFFFFF"/>
            <w:vAlign w:val="center"/>
          </w:tcPr>
          <w:p>
            <w:pPr>
              <w:widowControl/>
              <w:rPr>
                <w:rFonts w:ascii="宋体" w:cs="Times New Roman"/>
                <w:color w:val="0070C0"/>
                <w:kern w:val="0"/>
                <w:sz w:val="22"/>
                <w:szCs w:val="22"/>
              </w:rPr>
            </w:pPr>
            <w:r>
              <w:rPr>
                <w:rFonts w:hint="eastAsia" w:ascii="宋体" w:hAnsi="宋体" w:cs="宋体"/>
                <w:kern w:val="0"/>
                <w:sz w:val="22"/>
              </w:rPr>
              <w:t>要求报价方必须满足合同签订后</w:t>
            </w:r>
            <w:r>
              <w:rPr>
                <w:rFonts w:hint="eastAsia" w:ascii="宋体" w:hAnsi="宋体" w:cs="宋体"/>
                <w:kern w:val="0"/>
                <w:sz w:val="22"/>
                <w:lang w:val="en-US" w:eastAsia="zh-CN"/>
              </w:rPr>
              <w:t>25日到货（物资）</w:t>
            </w:r>
            <w:r>
              <w:rPr>
                <w:rFonts w:hint="eastAsia" w:ascii="宋体" w:hAnsi="宋体" w:cs="宋体"/>
                <w:kern w:val="0"/>
                <w:sz w:val="22"/>
              </w:rPr>
              <w:t>如不能满足严禁参与报价，否则终止合同并纳入供应商考评。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10</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报价评价原则</w:t>
            </w:r>
          </w:p>
        </w:tc>
        <w:tc>
          <w:tcPr>
            <w:tcW w:w="5594" w:type="dxa"/>
            <w:tcBorders>
              <w:top w:val="single" w:color="auto" w:sz="4" w:space="0"/>
              <w:left w:val="nil"/>
              <w:right w:val="single" w:color="auto" w:sz="4" w:space="0"/>
            </w:tcBorders>
            <w:shd w:val="clear" w:color="000000" w:fill="FFFFFF"/>
            <w:vAlign w:val="center"/>
          </w:tcPr>
          <w:p>
            <w:pPr>
              <w:widowControl/>
              <w:rPr>
                <w:rFonts w:ascii="宋体" w:cs="Times New Roman"/>
                <w:kern w:val="0"/>
                <w:sz w:val="22"/>
                <w:szCs w:val="22"/>
              </w:rPr>
            </w:pPr>
            <w:r>
              <w:rPr>
                <w:rFonts w:hint="eastAsia" w:ascii="宋体" w:hAnsi="宋体" w:cs="宋体"/>
                <w:color w:val="FF0000"/>
                <w:kern w:val="0"/>
                <w:sz w:val="22"/>
                <w:szCs w:val="22"/>
              </w:rPr>
              <w:t>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cs="Times New Roman"/>
                <w:kern w:val="0"/>
                <w:sz w:val="22"/>
                <w:szCs w:val="22"/>
              </w:rPr>
            </w:pPr>
            <w:r>
              <w:rPr>
                <w:rFonts w:hint="eastAsia" w:ascii="宋体" w:hAnsi="宋体" w:cs="宋体"/>
                <w:kern w:val="0"/>
                <w:sz w:val="22"/>
                <w:szCs w:val="22"/>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Times New Roman"/>
                <w:kern w:val="0"/>
                <w:sz w:val="22"/>
                <w:szCs w:val="22"/>
              </w:rPr>
            </w:pPr>
            <w:r>
              <w:rPr>
                <w:rFonts w:ascii="宋体" w:hAnsi="宋体" w:cs="宋体"/>
                <w:kern w:val="0"/>
                <w:sz w:val="22"/>
                <w:szCs w:val="22"/>
              </w:rPr>
              <w:t xml:space="preserve">(1) </w:t>
            </w:r>
            <w:r>
              <w:rPr>
                <w:rFonts w:hint="eastAsia" w:ascii="宋体" w:hAnsi="宋体" w:cs="宋体"/>
                <w:kern w:val="0"/>
                <w:sz w:val="22"/>
                <w:szCs w:val="22"/>
              </w:rPr>
              <w:t>合同范围；</w:t>
            </w:r>
            <w:r>
              <w:rPr>
                <w:rFonts w:ascii="宋体" w:cs="Times New Roman"/>
                <w:kern w:val="0"/>
                <w:sz w:val="22"/>
                <w:szCs w:val="22"/>
              </w:rPr>
              <w:br w:type="textWrapping"/>
            </w:r>
            <w:r>
              <w:rPr>
                <w:rFonts w:ascii="宋体" w:hAnsi="宋体" w:cs="宋体"/>
                <w:kern w:val="0"/>
                <w:sz w:val="22"/>
                <w:szCs w:val="22"/>
              </w:rPr>
              <w:t xml:space="preserve">(2) </w:t>
            </w:r>
            <w:r>
              <w:rPr>
                <w:rFonts w:hint="eastAsia" w:ascii="宋体" w:hAnsi="宋体" w:cs="宋体"/>
                <w:kern w:val="0"/>
                <w:sz w:val="22"/>
                <w:szCs w:val="22"/>
              </w:rPr>
              <w:t>合同价格；</w:t>
            </w:r>
            <w:r>
              <w:rPr>
                <w:rFonts w:ascii="宋体" w:cs="Times New Roman"/>
                <w:kern w:val="0"/>
                <w:sz w:val="22"/>
                <w:szCs w:val="22"/>
              </w:rPr>
              <w:br w:type="textWrapping"/>
            </w:r>
            <w:r>
              <w:rPr>
                <w:rFonts w:ascii="宋体" w:hAnsi="宋体" w:cs="宋体"/>
                <w:kern w:val="0"/>
                <w:sz w:val="22"/>
                <w:szCs w:val="22"/>
              </w:rPr>
              <w:t xml:space="preserve">(3) </w:t>
            </w:r>
            <w:r>
              <w:rPr>
                <w:rFonts w:hint="eastAsia" w:ascii="宋体" w:hAnsi="宋体" w:cs="宋体"/>
                <w:color w:val="00B0F0"/>
                <w:kern w:val="0"/>
                <w:sz w:val="22"/>
                <w:szCs w:val="22"/>
              </w:rPr>
              <w:t>合同后付款</w:t>
            </w:r>
            <w:r>
              <w:rPr>
                <w:rFonts w:hint="eastAsia" w:ascii="宋体" w:hAnsi="宋体" w:cs="宋体"/>
                <w:kern w:val="0"/>
                <w:sz w:val="22"/>
                <w:szCs w:val="22"/>
              </w:rPr>
              <w:t>；</w:t>
            </w:r>
          </w:p>
          <w:p>
            <w:pPr>
              <w:widowControl/>
              <w:jc w:val="left"/>
              <w:rPr>
                <w:rFonts w:ascii="宋体" w:cs="Times New Roman"/>
                <w:kern w:val="0"/>
                <w:sz w:val="22"/>
                <w:szCs w:val="22"/>
              </w:rPr>
            </w:pPr>
            <w:r>
              <w:rPr>
                <w:rFonts w:ascii="宋体" w:hAnsi="宋体" w:cs="宋体"/>
                <w:kern w:val="0"/>
                <w:sz w:val="22"/>
                <w:szCs w:val="22"/>
              </w:rPr>
              <w:t xml:space="preserve">(4) </w:t>
            </w:r>
            <w:r>
              <w:rPr>
                <w:rFonts w:hint="eastAsia" w:ascii="宋体" w:hAnsi="宋体" w:cs="宋体"/>
                <w:kern w:val="0"/>
                <w:sz w:val="22"/>
                <w:szCs w:val="22"/>
              </w:rPr>
              <w:t>服务期；</w:t>
            </w:r>
            <w:r>
              <w:rPr>
                <w:rFonts w:ascii="宋体" w:cs="Times New Roman"/>
                <w:kern w:val="0"/>
                <w:sz w:val="22"/>
                <w:szCs w:val="22"/>
              </w:rPr>
              <w:br w:type="textWrapping"/>
            </w:r>
            <w:r>
              <w:rPr>
                <w:rFonts w:ascii="宋体" w:hAnsi="宋体" w:cs="宋体"/>
                <w:kern w:val="0"/>
                <w:sz w:val="22"/>
                <w:szCs w:val="22"/>
              </w:rPr>
              <w:t xml:space="preserve">(5) </w:t>
            </w:r>
            <w:r>
              <w:rPr>
                <w:rFonts w:hint="eastAsia" w:ascii="宋体" w:hAnsi="宋体" w:cs="宋体"/>
                <w:kern w:val="0"/>
                <w:sz w:val="22"/>
                <w:szCs w:val="22"/>
              </w:rPr>
              <w:t>其他内容</w:t>
            </w:r>
          </w:p>
        </w:tc>
      </w:tr>
    </w:tbl>
    <w:p>
      <w:pPr>
        <w:spacing w:line="360" w:lineRule="auto"/>
        <w:jc w:val="left"/>
        <w:rPr>
          <w:rFonts w:ascii="黑体" w:hAnsi="黑体" w:eastAsia="黑体" w:cs="Times New Roman"/>
          <w:vanish/>
          <w:sz w:val="40"/>
          <w:szCs w:val="40"/>
        </w:rPr>
      </w:pPr>
    </w:p>
    <w:p>
      <w:pPr>
        <w:pageBreakBefore/>
        <w:spacing w:line="360" w:lineRule="auto"/>
        <w:jc w:val="center"/>
        <w:rPr>
          <w:rFonts w:ascii="黑体" w:hAnsi="黑体" w:eastAsia="黑体" w:cs="Times New Roman"/>
          <w:sz w:val="40"/>
          <w:szCs w:val="40"/>
        </w:rPr>
      </w:pPr>
      <w:r>
        <w:rPr>
          <w:rFonts w:hint="eastAsia" w:ascii="黑体" w:hAnsi="黑体" w:eastAsia="黑体" w:cs="黑体"/>
          <w:sz w:val="40"/>
          <w:szCs w:val="40"/>
        </w:rPr>
        <w:t>第二章采购项目概况</w:t>
      </w:r>
    </w:p>
    <w:p>
      <w:pPr>
        <w:pStyle w:val="13"/>
        <w:spacing w:line="360" w:lineRule="auto"/>
        <w:ind w:firstLine="480" w:firstLineChars="200"/>
        <w:jc w:val="left"/>
        <w:rPr>
          <w:rFonts w:ascii="宋体"/>
          <w:sz w:val="24"/>
          <w:szCs w:val="24"/>
        </w:rPr>
      </w:pPr>
    </w:p>
    <w:p>
      <w:pPr>
        <w:pStyle w:val="13"/>
        <w:numPr>
          <w:ilvl w:val="0"/>
          <w:numId w:val="0"/>
        </w:numPr>
        <w:spacing w:line="360" w:lineRule="auto"/>
        <w:rPr>
          <w:rFonts w:hint="eastAsia" w:ascii="宋体" w:cs="Times New Roman"/>
          <w:color w:val="000000" w:themeColor="text1"/>
          <w:kern w:val="0"/>
          <w:sz w:val="28"/>
          <w:szCs w:val="28"/>
          <w:lang w:eastAsia="zh-CN"/>
          <w14:textFill>
            <w14:solidFill>
              <w14:schemeClr w14:val="tx1"/>
            </w14:solidFill>
          </w14:textFill>
        </w:rPr>
      </w:pPr>
      <w:r>
        <w:rPr>
          <w:rFonts w:hint="eastAsia" w:ascii="宋体" w:cs="Times New Roman"/>
          <w:color w:val="000000" w:themeColor="text1"/>
          <w:kern w:val="0"/>
          <w:sz w:val="28"/>
          <w:szCs w:val="28"/>
          <w:lang w:eastAsia="zh-CN"/>
          <w14:textFill>
            <w14:solidFill>
              <w14:schemeClr w14:val="tx1"/>
            </w14:solidFill>
          </w14:textFill>
        </w:rPr>
        <w:t>一、采购项目概况：</w:t>
      </w:r>
    </w:p>
    <w:p>
      <w:pPr>
        <w:pStyle w:val="13"/>
        <w:spacing w:line="360" w:lineRule="auto"/>
        <w:ind w:firstLine="720" w:firstLineChars="300"/>
        <w:jc w:val="left"/>
        <w:rPr>
          <w:rFonts w:hint="eastAsia" w:ascii="宋体"/>
          <w:sz w:val="24"/>
          <w:szCs w:val="24"/>
          <w:lang w:eastAsia="zh-CN"/>
        </w:rPr>
      </w:pPr>
      <w:r>
        <w:rPr>
          <w:rFonts w:hint="eastAsia" w:ascii="宋体"/>
          <w:sz w:val="24"/>
          <w:szCs w:val="24"/>
        </w:rPr>
        <w:t>包头第一热电厂</w:t>
      </w:r>
      <w:r>
        <w:rPr>
          <w:rFonts w:hint="eastAsia" w:ascii="宋体"/>
          <w:sz w:val="24"/>
          <w:szCs w:val="24"/>
          <w:lang w:eastAsia="zh-CN"/>
        </w:rPr>
        <w:t>工业供汽项目需购买</w:t>
      </w:r>
      <w:r>
        <w:rPr>
          <w:rFonts w:hint="eastAsia" w:ascii="宋体"/>
          <w:sz w:val="24"/>
          <w:szCs w:val="24"/>
        </w:rPr>
        <w:t>控制电缆</w:t>
      </w:r>
      <w:r>
        <w:rPr>
          <w:rFonts w:hint="eastAsia" w:ascii="宋体"/>
          <w:sz w:val="24"/>
          <w:szCs w:val="24"/>
          <w:lang w:eastAsia="zh-CN"/>
        </w:rPr>
        <w:t>、电力电缆、计算机电缆、补偿导线。</w:t>
      </w:r>
    </w:p>
    <w:p>
      <w:pPr>
        <w:pStyle w:val="13"/>
        <w:numPr>
          <w:ilvl w:val="0"/>
          <w:numId w:val="2"/>
        </w:numPr>
        <w:spacing w:line="360" w:lineRule="auto"/>
        <w:jc w:val="left"/>
        <w:rPr>
          <w:rFonts w:hint="eastAsia" w:ascii="宋体" w:hAnsi="Times New Roman" w:eastAsia="宋体" w:cs="Times New Roman"/>
          <w:color w:val="000000" w:themeColor="text1"/>
          <w:kern w:val="0"/>
          <w:sz w:val="28"/>
          <w:szCs w:val="28"/>
          <w:lang w:val="en-US" w:eastAsia="zh-CN" w:bidi="ar-SA"/>
          <w14:textFill>
            <w14:solidFill>
              <w14:schemeClr w14:val="tx1"/>
            </w14:solidFill>
          </w14:textFill>
        </w:rPr>
      </w:pPr>
      <w:r>
        <w:rPr>
          <w:rFonts w:hint="eastAsia" w:ascii="宋体" w:hAnsi="Times New Roman" w:eastAsia="宋体" w:cs="Times New Roman"/>
          <w:color w:val="000000" w:themeColor="text1"/>
          <w:kern w:val="0"/>
          <w:sz w:val="28"/>
          <w:szCs w:val="28"/>
          <w:lang w:val="en-US" w:eastAsia="zh-CN" w:bidi="ar-SA"/>
          <w14:textFill>
            <w14:solidFill>
              <w14:schemeClr w14:val="tx1"/>
            </w14:solidFill>
          </w14:textFill>
        </w:rPr>
        <w:t>供货周期：</w:t>
      </w:r>
    </w:p>
    <w:p>
      <w:pPr>
        <w:pStyle w:val="13"/>
        <w:spacing w:line="360" w:lineRule="auto"/>
        <w:ind w:firstLine="720" w:firstLineChars="300"/>
        <w:jc w:val="left"/>
        <w:rPr>
          <w:rFonts w:hint="eastAsia" w:ascii="宋体"/>
          <w:sz w:val="24"/>
          <w:szCs w:val="24"/>
        </w:rPr>
      </w:pPr>
      <w:r>
        <w:rPr>
          <w:rFonts w:hint="eastAsia" w:ascii="宋体"/>
          <w:sz w:val="24"/>
          <w:szCs w:val="24"/>
          <w:lang w:val="en-US" w:eastAsia="zh-CN"/>
        </w:rPr>
        <w:t>以上采购项目电缆供货周期自签订合同之日起2</w:t>
      </w:r>
      <w:r>
        <w:rPr>
          <w:rFonts w:hint="eastAsia" w:ascii="宋体" w:hAnsi="宋体" w:cs="宋体"/>
          <w:kern w:val="0"/>
          <w:sz w:val="22"/>
          <w:lang w:val="en-US" w:eastAsia="zh-CN"/>
        </w:rPr>
        <w:t>5日到货（物资）</w:t>
      </w:r>
      <w:r>
        <w:rPr>
          <w:rFonts w:hint="eastAsia" w:ascii="宋体"/>
          <w:sz w:val="24"/>
          <w:szCs w:val="24"/>
          <w:lang w:val="en-US" w:eastAsia="zh-CN"/>
        </w:rPr>
        <w:t>供货方必须将电缆运送至采购方</w:t>
      </w:r>
      <w:r>
        <w:rPr>
          <w:rFonts w:hint="eastAsia" w:ascii="宋体"/>
          <w:sz w:val="24"/>
          <w:szCs w:val="24"/>
        </w:rPr>
        <w:t>包头第一热电厂物资站</w:t>
      </w:r>
      <w:r>
        <w:rPr>
          <w:rFonts w:hint="eastAsia" w:ascii="宋体"/>
          <w:sz w:val="24"/>
          <w:szCs w:val="24"/>
          <w:lang w:eastAsia="zh-CN"/>
        </w:rPr>
        <w:t>院内</w:t>
      </w:r>
      <w:r>
        <w:rPr>
          <w:rFonts w:hint="eastAsia" w:ascii="宋体"/>
          <w:sz w:val="24"/>
          <w:szCs w:val="24"/>
        </w:rPr>
        <w:t>。</w:t>
      </w:r>
    </w:p>
    <w:p>
      <w:pPr>
        <w:pStyle w:val="13"/>
        <w:pageBreakBefore/>
        <w:spacing w:line="360" w:lineRule="auto"/>
        <w:jc w:val="center"/>
        <w:rPr>
          <w:rFonts w:ascii="黑体" w:hAnsi="黑体" w:eastAsia="黑体"/>
          <w:sz w:val="40"/>
          <w:szCs w:val="40"/>
        </w:rPr>
      </w:pPr>
      <w:r>
        <w:rPr>
          <w:rFonts w:hint="eastAsia" w:ascii="黑体" w:hAnsi="黑体" w:eastAsia="黑体" w:cs="黑体"/>
          <w:sz w:val="40"/>
          <w:szCs w:val="40"/>
        </w:rPr>
        <w:t>第三章供应商资格要求</w:t>
      </w:r>
    </w:p>
    <w:p>
      <w:pPr>
        <w:pStyle w:val="13"/>
        <w:spacing w:line="360" w:lineRule="auto"/>
        <w:rPr>
          <w:rFonts w:ascii="黑体" w:hAnsi="黑体" w:eastAsia="黑体"/>
          <w:sz w:val="24"/>
          <w:szCs w:val="24"/>
        </w:rPr>
      </w:pPr>
    </w:p>
    <w:p>
      <w:pPr>
        <w:pStyle w:val="20"/>
        <w:spacing w:line="360" w:lineRule="auto"/>
        <w:rPr>
          <w:rFonts w:asciiTheme="minorEastAsia" w:hAnsiTheme="minorEastAsia"/>
          <w:sz w:val="24"/>
        </w:rPr>
      </w:pPr>
      <w:r>
        <w:rPr>
          <w:rFonts w:hint="eastAsia" w:ascii="黑体" w:hAnsi="黑体" w:eastAsia="黑体"/>
          <w:b/>
          <w:sz w:val="24"/>
        </w:rPr>
        <w:t>一、通用条款</w:t>
      </w:r>
    </w:p>
    <w:p>
      <w:pPr>
        <w:pStyle w:val="20"/>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r>
        <w:rPr>
          <w:rFonts w:hint="eastAsia" w:asciiTheme="minorEastAsia" w:hAnsiTheme="minorEastAsia"/>
          <w:color w:val="FF0000"/>
          <w:sz w:val="24"/>
        </w:rPr>
        <w:t>(视项目决定</w:t>
      </w:r>
      <w:r>
        <w:rPr>
          <w:rFonts w:asciiTheme="minorEastAsia" w:hAnsiTheme="minorEastAsia"/>
          <w:color w:val="FF0000"/>
          <w:sz w:val="24"/>
        </w:rPr>
        <w:t>是否选用</w:t>
      </w:r>
      <w:r>
        <w:rPr>
          <w:rFonts w:hint="eastAsia" w:asciiTheme="minorEastAsia" w:hAnsiTheme="minorEastAsia"/>
          <w:color w:val="FF0000"/>
          <w:sz w:val="24"/>
        </w:rPr>
        <w:t>)</w:t>
      </w:r>
    </w:p>
    <w:p>
      <w:pPr>
        <w:pStyle w:val="20"/>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20"/>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20"/>
        <w:spacing w:line="360" w:lineRule="auto"/>
        <w:rPr>
          <w:rFonts w:asciiTheme="minorEastAsia" w:hAnsiTheme="minorEastAsia"/>
          <w:sz w:val="24"/>
        </w:rPr>
      </w:pPr>
      <w:r>
        <w:rPr>
          <w:rFonts w:hint="eastAsia" w:asciiTheme="minorEastAsia" w:hAnsiTheme="minorEastAsia"/>
          <w:sz w:val="24"/>
        </w:rPr>
        <w:t>4.不得处于人民法院“失信被执行人”名单和工商行政管理机关“严重违法失信企业”名单；</w:t>
      </w:r>
    </w:p>
    <w:p>
      <w:pPr>
        <w:pStyle w:val="20"/>
        <w:spacing w:line="360" w:lineRule="auto"/>
        <w:rPr>
          <w:rFonts w:asciiTheme="minorEastAsia" w:hAnsiTheme="minorEastAsia"/>
          <w:sz w:val="24"/>
        </w:rPr>
      </w:pPr>
      <w:r>
        <w:rPr>
          <w:rFonts w:hint="eastAsia" w:asciiTheme="minorEastAsia" w:hAnsiTheme="minorEastAsia"/>
          <w:sz w:val="24"/>
        </w:rPr>
        <w:t>5.</w:t>
      </w:r>
      <w:r>
        <w:rPr>
          <w:rFonts w:hint="eastAsia" w:ascii="Arial" w:hAnsi="宋体" w:cs="Arial"/>
          <w:color w:val="000000"/>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Theme="minorEastAsia" w:hAnsiTheme="minorEastAsia"/>
          <w:sz w:val="24"/>
        </w:rPr>
        <w:t>；</w:t>
      </w:r>
    </w:p>
    <w:p>
      <w:pPr>
        <w:pStyle w:val="20"/>
        <w:spacing w:line="360" w:lineRule="auto"/>
        <w:rPr>
          <w:rFonts w:asciiTheme="minorEastAsia" w:hAnsiTheme="minorEastAsia"/>
          <w:sz w:val="24"/>
        </w:rPr>
      </w:pPr>
      <w:r>
        <w:rPr>
          <w:rFonts w:hint="eastAsia" w:asciiTheme="minorEastAsia" w:hAnsiTheme="minorEastAsia"/>
          <w:sz w:val="24"/>
        </w:rPr>
        <w:t>6.不存在</w:t>
      </w:r>
      <w:r>
        <w:rPr>
          <w:rFonts w:asciiTheme="minorEastAsia" w:hAnsiTheme="minorEastAsia"/>
          <w:sz w:val="24"/>
        </w:rPr>
        <w:t>上传数据或响应文件的互联网协议地址（</w:t>
      </w:r>
      <w:r>
        <w:rPr>
          <w:rFonts w:hint="eastAsia" w:asciiTheme="minorEastAsia" w:hAnsiTheme="minorEastAsia"/>
          <w:sz w:val="24"/>
        </w:rPr>
        <w:t>IP地址</w:t>
      </w:r>
      <w:r>
        <w:rPr>
          <w:rFonts w:asciiTheme="minorEastAsia" w:hAnsiTheme="minorEastAsia"/>
          <w:sz w:val="24"/>
        </w:rPr>
        <w:t>）</w:t>
      </w:r>
      <w:r>
        <w:rPr>
          <w:rFonts w:hint="eastAsia" w:asciiTheme="minorEastAsia" w:hAnsiTheme="minorEastAsia"/>
          <w:sz w:val="24"/>
        </w:rPr>
        <w:t>信息</w:t>
      </w:r>
      <w:r>
        <w:rPr>
          <w:rFonts w:asciiTheme="minorEastAsia" w:hAnsiTheme="minorEastAsia"/>
          <w:sz w:val="24"/>
        </w:rPr>
        <w:t>检查一致的情况，否则将视为</w:t>
      </w:r>
      <w:r>
        <w:rPr>
          <w:rFonts w:hint="eastAsia" w:asciiTheme="minorEastAsia" w:hAnsiTheme="minorEastAsia"/>
          <w:sz w:val="24"/>
        </w:rPr>
        <w:t>串通</w:t>
      </w:r>
      <w:r>
        <w:rPr>
          <w:rFonts w:asciiTheme="minorEastAsia" w:hAnsiTheme="minorEastAsia"/>
          <w:sz w:val="24"/>
        </w:rPr>
        <w:t>投标</w:t>
      </w:r>
      <w:r>
        <w:rPr>
          <w:rFonts w:hint="eastAsia" w:asciiTheme="minorEastAsia" w:hAnsiTheme="minorEastAsia"/>
          <w:sz w:val="24"/>
        </w:rPr>
        <w:t>并</w:t>
      </w:r>
      <w:r>
        <w:rPr>
          <w:rFonts w:asciiTheme="minorEastAsia" w:hAnsiTheme="minorEastAsia"/>
          <w:sz w:val="24"/>
        </w:rPr>
        <w:t>否决其投标；</w:t>
      </w:r>
    </w:p>
    <w:p>
      <w:pPr>
        <w:pStyle w:val="20"/>
        <w:spacing w:line="360" w:lineRule="auto"/>
        <w:rPr>
          <w:rFonts w:ascii="Arial" w:hAnsi="宋体" w:cs="Arial"/>
          <w:color w:val="0000FF"/>
          <w:sz w:val="24"/>
        </w:rPr>
      </w:pPr>
    </w:p>
    <w:p>
      <w:pPr>
        <w:pStyle w:val="13"/>
        <w:spacing w:line="360" w:lineRule="auto"/>
        <w:rPr>
          <w:rFonts w:hint="eastAsia" w:ascii="宋体" w:eastAsia="宋体"/>
          <w:color w:val="FF0000"/>
          <w:sz w:val="24"/>
          <w:szCs w:val="24"/>
          <w:lang w:eastAsia="zh-CN"/>
        </w:rPr>
      </w:pPr>
      <w:r>
        <w:rPr>
          <w:rFonts w:hint="eastAsia" w:ascii="黑体" w:hAnsi="黑体" w:eastAsia="黑体" w:cs="黑体"/>
          <w:b/>
          <w:bCs/>
          <w:sz w:val="24"/>
          <w:szCs w:val="24"/>
        </w:rPr>
        <w:t>二、专用条款</w:t>
      </w:r>
      <w:r>
        <w:rPr>
          <w:rFonts w:hint="eastAsia" w:ascii="黑体" w:hAnsi="黑体" w:eastAsia="黑体" w:cs="黑体"/>
          <w:b/>
          <w:bCs/>
          <w:sz w:val="24"/>
          <w:szCs w:val="24"/>
          <w:lang w:val="en-US" w:eastAsia="zh-CN"/>
        </w:rPr>
        <w:t xml:space="preserve">   </w:t>
      </w:r>
      <w:r>
        <w:rPr>
          <w:rFonts w:hint="eastAsia" w:ascii="黑体" w:hAnsi="黑体" w:eastAsia="黑体" w:cs="黑体"/>
          <w:b/>
          <w:bCs/>
          <w:sz w:val="24"/>
          <w:szCs w:val="24"/>
          <w:lang w:eastAsia="zh-CN"/>
        </w:rPr>
        <w:t>无</w:t>
      </w:r>
    </w:p>
    <w:p>
      <w:pPr>
        <w:pStyle w:val="13"/>
        <w:pageBreakBefore/>
        <w:spacing w:line="360" w:lineRule="auto"/>
        <w:jc w:val="center"/>
        <w:rPr>
          <w:rFonts w:ascii="黑体" w:hAnsi="黑体" w:eastAsia="黑体"/>
          <w:sz w:val="40"/>
          <w:szCs w:val="40"/>
        </w:rPr>
        <w:sectPr>
          <w:pgSz w:w="11906" w:h="16838"/>
          <w:pgMar w:top="1440" w:right="1800" w:bottom="1440" w:left="1800" w:header="851" w:footer="992" w:gutter="0"/>
          <w:cols w:space="425" w:num="1"/>
          <w:docGrid w:type="lines" w:linePitch="312" w:charSpace="0"/>
        </w:sectPr>
      </w:pPr>
    </w:p>
    <w:p>
      <w:pPr>
        <w:pStyle w:val="13"/>
        <w:pageBreakBefore/>
        <w:spacing w:line="360" w:lineRule="auto"/>
        <w:jc w:val="center"/>
        <w:rPr>
          <w:rFonts w:ascii="黑体" w:hAnsi="黑体" w:eastAsia="黑体"/>
          <w:sz w:val="40"/>
          <w:szCs w:val="40"/>
        </w:rPr>
      </w:pPr>
      <w:r>
        <w:rPr>
          <w:rFonts w:hint="eastAsia" w:ascii="黑体" w:hAnsi="黑体" w:eastAsia="黑体" w:cs="黑体"/>
          <w:sz w:val="40"/>
          <w:szCs w:val="40"/>
        </w:rPr>
        <w:t>第四章技术规范要求</w:t>
      </w:r>
    </w:p>
    <w:p>
      <w:pPr>
        <w:pStyle w:val="13"/>
        <w:spacing w:line="360" w:lineRule="auto"/>
        <w:ind w:firstLine="482" w:firstLineChars="200"/>
        <w:rPr>
          <w:rFonts w:ascii="宋体"/>
          <w:sz w:val="24"/>
          <w:szCs w:val="24"/>
        </w:rPr>
      </w:pPr>
      <w:r>
        <w:rPr>
          <w:rFonts w:hint="eastAsia" w:ascii="宋体" w:hAnsi="宋体" w:cs="宋体"/>
          <w:b/>
          <w:bCs/>
          <w:sz w:val="24"/>
          <w:szCs w:val="24"/>
        </w:rPr>
        <w:t>一、</w:t>
      </w:r>
      <w:r>
        <w:rPr>
          <w:rFonts w:hint="eastAsia" w:ascii="宋体" w:hAnsi="宋体" w:cs="宋体"/>
          <w:sz w:val="24"/>
          <w:szCs w:val="24"/>
        </w:rPr>
        <w:t>设备需求一览表</w:t>
      </w:r>
    </w:p>
    <w:tbl>
      <w:tblPr>
        <w:tblStyle w:val="8"/>
        <w:tblW w:w="140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275"/>
        <w:gridCol w:w="2682"/>
        <w:gridCol w:w="1388"/>
        <w:gridCol w:w="858"/>
        <w:gridCol w:w="532"/>
        <w:gridCol w:w="1031"/>
        <w:gridCol w:w="1162"/>
        <w:gridCol w:w="2492"/>
        <w:gridCol w:w="980"/>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81" w:type="dxa"/>
            <w:vMerge w:val="restart"/>
            <w:vAlign w:val="center"/>
          </w:tcPr>
          <w:p>
            <w:pPr>
              <w:pStyle w:val="13"/>
              <w:spacing w:line="360" w:lineRule="auto"/>
              <w:rPr>
                <w:rFonts w:ascii="宋体"/>
                <w:kern w:val="2"/>
                <w:sz w:val="24"/>
                <w:szCs w:val="24"/>
              </w:rPr>
            </w:pPr>
            <w:r>
              <w:rPr>
                <w:rFonts w:hint="eastAsia" w:ascii="宋体" w:hAnsi="宋体" w:cs="宋体"/>
                <w:kern w:val="2"/>
                <w:sz w:val="24"/>
                <w:szCs w:val="24"/>
              </w:rPr>
              <w:t>序号</w:t>
            </w:r>
          </w:p>
        </w:tc>
        <w:tc>
          <w:tcPr>
            <w:tcW w:w="1275"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物料编码</w:t>
            </w:r>
          </w:p>
        </w:tc>
        <w:tc>
          <w:tcPr>
            <w:tcW w:w="2682"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物料描述</w:t>
            </w:r>
          </w:p>
        </w:tc>
        <w:tc>
          <w:tcPr>
            <w:tcW w:w="1388"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技术参数</w:t>
            </w:r>
          </w:p>
        </w:tc>
        <w:tc>
          <w:tcPr>
            <w:tcW w:w="858" w:type="dxa"/>
            <w:vMerge w:val="restart"/>
            <w:vAlign w:val="center"/>
          </w:tcPr>
          <w:p>
            <w:pPr>
              <w:pStyle w:val="13"/>
              <w:spacing w:line="360" w:lineRule="auto"/>
              <w:rPr>
                <w:rFonts w:ascii="宋体"/>
                <w:color w:val="00B0F0"/>
                <w:kern w:val="2"/>
                <w:sz w:val="24"/>
                <w:szCs w:val="24"/>
              </w:rPr>
            </w:pPr>
            <w:r>
              <w:rPr>
                <w:rFonts w:hint="eastAsia" w:ascii="宋体" w:hAnsi="宋体" w:cs="宋体"/>
                <w:color w:val="00B0F0"/>
                <w:kern w:val="2"/>
                <w:sz w:val="24"/>
                <w:szCs w:val="24"/>
              </w:rPr>
              <w:t>数量</w:t>
            </w:r>
          </w:p>
        </w:tc>
        <w:tc>
          <w:tcPr>
            <w:tcW w:w="532" w:type="dxa"/>
            <w:vMerge w:val="restart"/>
            <w:vAlign w:val="center"/>
          </w:tcPr>
          <w:p>
            <w:pPr>
              <w:pStyle w:val="13"/>
              <w:spacing w:line="360" w:lineRule="auto"/>
              <w:jc w:val="center"/>
              <w:rPr>
                <w:rFonts w:ascii="宋体"/>
                <w:color w:val="00B0F0"/>
                <w:kern w:val="2"/>
                <w:sz w:val="24"/>
                <w:szCs w:val="24"/>
              </w:rPr>
            </w:pPr>
            <w:r>
              <w:rPr>
                <w:rFonts w:hint="eastAsia" w:ascii="宋体" w:hAnsi="宋体" w:cs="宋体"/>
                <w:color w:val="00B0F0"/>
                <w:kern w:val="2"/>
                <w:sz w:val="24"/>
                <w:szCs w:val="24"/>
              </w:rPr>
              <w:t>单位</w:t>
            </w:r>
          </w:p>
        </w:tc>
        <w:tc>
          <w:tcPr>
            <w:tcW w:w="2193" w:type="dxa"/>
            <w:gridSpan w:val="2"/>
            <w:vAlign w:val="center"/>
          </w:tcPr>
          <w:p>
            <w:pPr>
              <w:pStyle w:val="13"/>
              <w:spacing w:line="360" w:lineRule="auto"/>
              <w:jc w:val="center"/>
              <w:rPr>
                <w:rFonts w:ascii="宋体"/>
                <w:color w:val="00B0F0"/>
                <w:kern w:val="2"/>
                <w:sz w:val="24"/>
                <w:szCs w:val="24"/>
              </w:rPr>
            </w:pPr>
            <w:r>
              <w:rPr>
                <w:rFonts w:hint="eastAsia" w:ascii="宋体" w:hAnsi="宋体" w:cs="宋体"/>
                <w:kern w:val="2"/>
                <w:sz w:val="24"/>
                <w:szCs w:val="24"/>
              </w:rPr>
              <w:t>报价方</w:t>
            </w:r>
          </w:p>
        </w:tc>
        <w:tc>
          <w:tcPr>
            <w:tcW w:w="2492"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交货时间</w:t>
            </w:r>
          </w:p>
        </w:tc>
        <w:tc>
          <w:tcPr>
            <w:tcW w:w="980" w:type="dxa"/>
            <w:vMerge w:val="restart"/>
            <w:vAlign w:val="center"/>
          </w:tcPr>
          <w:p>
            <w:pPr>
              <w:pStyle w:val="13"/>
              <w:spacing w:line="360" w:lineRule="auto"/>
              <w:jc w:val="center"/>
              <w:rPr>
                <w:rFonts w:ascii="宋体"/>
                <w:kern w:val="2"/>
                <w:sz w:val="24"/>
                <w:szCs w:val="24"/>
              </w:rPr>
            </w:pPr>
            <w:r>
              <w:rPr>
                <w:rFonts w:hint="eastAsia" w:ascii="宋体" w:hAnsi="宋体" w:cs="宋体"/>
                <w:kern w:val="2"/>
                <w:sz w:val="24"/>
                <w:szCs w:val="24"/>
              </w:rPr>
              <w:t>交货地点</w:t>
            </w:r>
          </w:p>
        </w:tc>
        <w:tc>
          <w:tcPr>
            <w:tcW w:w="725" w:type="dxa"/>
            <w:vMerge w:val="restart"/>
            <w:vAlign w:val="center"/>
          </w:tcPr>
          <w:p>
            <w:pPr>
              <w:pStyle w:val="13"/>
              <w:spacing w:line="360" w:lineRule="auto"/>
              <w:rPr>
                <w:rFonts w:ascii="宋体"/>
                <w:kern w:val="2"/>
                <w:sz w:val="24"/>
                <w:szCs w:val="24"/>
              </w:rPr>
            </w:pPr>
            <w:r>
              <w:rPr>
                <w:rFonts w:hint="eastAsia" w:ascii="宋体"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1" w:type="dxa"/>
            <w:vMerge w:val="continue"/>
            <w:vAlign w:val="center"/>
          </w:tcPr>
          <w:p>
            <w:pPr>
              <w:pStyle w:val="13"/>
              <w:spacing w:line="360" w:lineRule="auto"/>
              <w:rPr>
                <w:rFonts w:ascii="宋体"/>
                <w:kern w:val="2"/>
                <w:sz w:val="24"/>
                <w:szCs w:val="24"/>
              </w:rPr>
            </w:pPr>
          </w:p>
        </w:tc>
        <w:tc>
          <w:tcPr>
            <w:tcW w:w="1275" w:type="dxa"/>
            <w:vMerge w:val="continue"/>
            <w:vAlign w:val="center"/>
          </w:tcPr>
          <w:p>
            <w:pPr>
              <w:pStyle w:val="13"/>
              <w:spacing w:line="360" w:lineRule="auto"/>
              <w:jc w:val="center"/>
              <w:rPr>
                <w:rFonts w:ascii="宋体"/>
                <w:kern w:val="2"/>
                <w:sz w:val="24"/>
                <w:szCs w:val="24"/>
              </w:rPr>
            </w:pPr>
          </w:p>
        </w:tc>
        <w:tc>
          <w:tcPr>
            <w:tcW w:w="2682" w:type="dxa"/>
            <w:vMerge w:val="continue"/>
            <w:vAlign w:val="center"/>
          </w:tcPr>
          <w:p>
            <w:pPr>
              <w:pStyle w:val="13"/>
              <w:spacing w:line="360" w:lineRule="auto"/>
              <w:jc w:val="center"/>
              <w:rPr>
                <w:rFonts w:ascii="宋体"/>
                <w:kern w:val="2"/>
                <w:sz w:val="24"/>
                <w:szCs w:val="24"/>
              </w:rPr>
            </w:pPr>
          </w:p>
        </w:tc>
        <w:tc>
          <w:tcPr>
            <w:tcW w:w="1388" w:type="dxa"/>
            <w:vMerge w:val="continue"/>
            <w:vAlign w:val="center"/>
          </w:tcPr>
          <w:p>
            <w:pPr>
              <w:pStyle w:val="13"/>
              <w:spacing w:line="360" w:lineRule="auto"/>
              <w:jc w:val="center"/>
              <w:rPr>
                <w:rFonts w:ascii="宋体"/>
                <w:kern w:val="2"/>
                <w:sz w:val="24"/>
                <w:szCs w:val="24"/>
              </w:rPr>
            </w:pPr>
          </w:p>
        </w:tc>
        <w:tc>
          <w:tcPr>
            <w:tcW w:w="858" w:type="dxa"/>
            <w:vMerge w:val="continue"/>
            <w:vAlign w:val="center"/>
          </w:tcPr>
          <w:p>
            <w:pPr>
              <w:pStyle w:val="13"/>
              <w:spacing w:line="360" w:lineRule="auto"/>
              <w:rPr>
                <w:rFonts w:ascii="宋体"/>
                <w:color w:val="00B0F0"/>
                <w:kern w:val="2"/>
                <w:sz w:val="24"/>
                <w:szCs w:val="24"/>
              </w:rPr>
            </w:pPr>
          </w:p>
        </w:tc>
        <w:tc>
          <w:tcPr>
            <w:tcW w:w="532" w:type="dxa"/>
            <w:vMerge w:val="continue"/>
            <w:vAlign w:val="center"/>
          </w:tcPr>
          <w:p>
            <w:pPr>
              <w:pStyle w:val="13"/>
              <w:spacing w:line="360" w:lineRule="auto"/>
              <w:jc w:val="center"/>
              <w:rPr>
                <w:rFonts w:ascii="宋体"/>
                <w:color w:val="00B0F0"/>
                <w:kern w:val="2"/>
                <w:sz w:val="24"/>
                <w:szCs w:val="24"/>
              </w:rPr>
            </w:pPr>
          </w:p>
        </w:tc>
        <w:tc>
          <w:tcPr>
            <w:tcW w:w="1031" w:type="dxa"/>
            <w:vAlign w:val="center"/>
          </w:tcPr>
          <w:p>
            <w:pPr>
              <w:pStyle w:val="13"/>
              <w:jc w:val="center"/>
              <w:rPr>
                <w:rFonts w:ascii="宋体"/>
                <w:b/>
                <w:bCs/>
                <w:color w:val="00B0F0"/>
                <w:kern w:val="2"/>
                <w:sz w:val="24"/>
                <w:szCs w:val="24"/>
              </w:rPr>
            </w:pPr>
            <w:r>
              <w:rPr>
                <w:rFonts w:hint="eastAsia" w:ascii="宋体" w:hAnsi="宋体" w:cs="宋体"/>
                <w:b/>
                <w:bCs/>
                <w:color w:val="00B0F0"/>
                <w:kern w:val="2"/>
                <w:sz w:val="24"/>
                <w:szCs w:val="24"/>
              </w:rPr>
              <w:t>含税报单价</w:t>
            </w:r>
          </w:p>
        </w:tc>
        <w:tc>
          <w:tcPr>
            <w:tcW w:w="1162" w:type="dxa"/>
            <w:vAlign w:val="center"/>
          </w:tcPr>
          <w:p>
            <w:pPr>
              <w:pStyle w:val="13"/>
              <w:jc w:val="center"/>
              <w:rPr>
                <w:rFonts w:ascii="宋体"/>
                <w:b/>
                <w:bCs/>
                <w:color w:val="00B0F0"/>
                <w:kern w:val="2"/>
                <w:sz w:val="24"/>
                <w:szCs w:val="24"/>
              </w:rPr>
            </w:pPr>
            <w:r>
              <w:rPr>
                <w:rFonts w:hint="eastAsia" w:ascii="宋体" w:hAnsi="宋体" w:cs="宋体"/>
                <w:b/>
                <w:bCs/>
                <w:color w:val="00B0F0"/>
                <w:kern w:val="2"/>
                <w:sz w:val="24"/>
                <w:szCs w:val="24"/>
              </w:rPr>
              <w:t>含税报总价</w:t>
            </w:r>
          </w:p>
        </w:tc>
        <w:tc>
          <w:tcPr>
            <w:tcW w:w="2492" w:type="dxa"/>
            <w:vMerge w:val="continue"/>
            <w:vAlign w:val="center"/>
          </w:tcPr>
          <w:p>
            <w:pPr>
              <w:pStyle w:val="13"/>
              <w:spacing w:line="360" w:lineRule="auto"/>
              <w:jc w:val="center"/>
              <w:rPr>
                <w:rFonts w:ascii="宋体"/>
                <w:kern w:val="2"/>
                <w:sz w:val="24"/>
                <w:szCs w:val="24"/>
              </w:rPr>
            </w:pPr>
          </w:p>
        </w:tc>
        <w:tc>
          <w:tcPr>
            <w:tcW w:w="980" w:type="dxa"/>
            <w:vMerge w:val="continue"/>
            <w:vAlign w:val="center"/>
          </w:tcPr>
          <w:p>
            <w:pPr>
              <w:pStyle w:val="13"/>
              <w:spacing w:line="360" w:lineRule="auto"/>
              <w:jc w:val="center"/>
              <w:rPr>
                <w:rFonts w:ascii="宋体"/>
                <w:kern w:val="2"/>
                <w:sz w:val="24"/>
                <w:szCs w:val="24"/>
              </w:rPr>
            </w:pPr>
          </w:p>
        </w:tc>
        <w:tc>
          <w:tcPr>
            <w:tcW w:w="725" w:type="dxa"/>
            <w:vMerge w:val="continue"/>
            <w:vAlign w:val="center"/>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vMerge w:val="restart"/>
            <w:vAlign w:val="center"/>
          </w:tcPr>
          <w:p>
            <w:pPr>
              <w:pStyle w:val="13"/>
              <w:spacing w:line="360" w:lineRule="auto"/>
              <w:jc w:val="center"/>
              <w:rPr>
                <w:rFonts w:hint="eastAsia" w:ascii="宋体" w:hAnsi="宋体" w:eastAsia="宋体" w:cs="宋体"/>
                <w:color w:val="FF0000"/>
                <w:kern w:val="2"/>
                <w:sz w:val="24"/>
                <w:szCs w:val="24"/>
                <w:lang w:val="en-US" w:eastAsia="zh-CN"/>
              </w:rPr>
            </w:pPr>
            <w:r>
              <w:rPr>
                <w:rFonts w:hint="eastAsia" w:ascii="ˎ̥" w:hAnsi="ˎ̥" w:cs="Times New Roman"/>
                <w:color w:val="000000"/>
                <w:sz w:val="18"/>
                <w:szCs w:val="18"/>
                <w:lang w:val="en-US" w:eastAsia="zh-CN"/>
              </w:rPr>
              <w:t>1</w:t>
            </w:r>
          </w:p>
        </w:tc>
        <w:tc>
          <w:tcPr>
            <w:tcW w:w="1275" w:type="dxa"/>
            <w:vMerge w:val="restart"/>
            <w:vAlign w:val="center"/>
          </w:tcPr>
          <w:p>
            <w:pPr>
              <w:keepNext w:val="0"/>
              <w:keepLines w:val="0"/>
              <w:widowControl/>
              <w:suppressLineNumbers w:val="0"/>
              <w:jc w:val="center"/>
              <w:textAlignment w:val="center"/>
              <w:rPr>
                <w:rFonts w:hint="default" w:ascii="ˎ̥" w:hAnsi="ˎ̥" w:eastAsia="宋体" w:cs="Times New Roman"/>
                <w:color w:val="000000"/>
                <w:kern w:val="0"/>
                <w:sz w:val="21"/>
                <w:szCs w:val="21"/>
                <w:lang w:val="en-US" w:eastAsia="zh-CN" w:bidi="ar-SA"/>
              </w:rPr>
            </w:pPr>
            <w:r>
              <w:rPr>
                <w:rFonts w:hint="eastAsia" w:ascii="ˎ̥" w:hAnsi="ˎ̥" w:eastAsia="宋体" w:cs="Times New Roman"/>
                <w:color w:val="000000"/>
                <w:kern w:val="0"/>
                <w:sz w:val="21"/>
                <w:szCs w:val="21"/>
                <w:lang w:val="en-US" w:eastAsia="zh-CN" w:bidi="ar-SA"/>
              </w:rPr>
              <w:t>2020302241</w:t>
            </w:r>
          </w:p>
        </w:tc>
        <w:tc>
          <w:tcPr>
            <w:tcW w:w="2682" w:type="dxa"/>
            <w:vMerge w:val="restart"/>
            <w:vAlign w:val="center"/>
          </w:tcPr>
          <w:p>
            <w:pPr>
              <w:pStyle w:val="13"/>
              <w:spacing w:line="360" w:lineRule="auto"/>
              <w:jc w:val="left"/>
              <w:rPr>
                <w:rFonts w:hint="default" w:ascii="ˎ̥" w:hAnsi="ˎ̥" w:eastAsia="宋体" w:cs="Times New Roman"/>
                <w:color w:val="000000"/>
                <w:kern w:val="0"/>
                <w:sz w:val="21"/>
                <w:szCs w:val="21"/>
                <w:lang w:val="en-US" w:eastAsia="zh-CN" w:bidi="ar-SA"/>
              </w:rPr>
            </w:pPr>
            <w:r>
              <w:rPr>
                <w:rFonts w:hint="eastAsia" w:ascii="ˎ̥" w:hAnsi="ˎ̥" w:eastAsia="宋体" w:cs="Times New Roman"/>
                <w:color w:val="000000"/>
                <w:kern w:val="0"/>
                <w:sz w:val="21"/>
                <w:szCs w:val="21"/>
                <w:lang w:val="en-US" w:eastAsia="zh-CN" w:bidi="ar-SA"/>
              </w:rPr>
              <w:t>控制电缆 ZR-KFFP 14×1.0</w:t>
            </w:r>
          </w:p>
        </w:tc>
        <w:tc>
          <w:tcPr>
            <w:tcW w:w="1388" w:type="dxa"/>
            <w:vMerge w:val="restart"/>
            <w:vAlign w:val="top"/>
          </w:tcPr>
          <w:p>
            <w:pPr>
              <w:pStyle w:val="13"/>
              <w:rPr>
                <w:rFonts w:hint="default" w:ascii="宋体" w:hAnsi="宋体" w:cs="宋体"/>
                <w:kern w:val="2"/>
                <w:sz w:val="24"/>
                <w:szCs w:val="24"/>
                <w:lang w:val="en-US"/>
              </w:rPr>
            </w:pPr>
            <w:r>
              <w:rPr>
                <w:rFonts w:hint="eastAsia" w:ascii="宋体" w:hAnsi="宋体" w:cs="宋体"/>
                <w:kern w:val="2"/>
                <w:sz w:val="24"/>
                <w:szCs w:val="24"/>
              </w:rPr>
              <w:t>详见</w:t>
            </w:r>
            <w:r>
              <w:rPr>
                <w:rFonts w:hint="eastAsia" w:ascii="宋体" w:hAnsi="宋体" w:cs="宋体"/>
                <w:sz w:val="24"/>
                <w:szCs w:val="24"/>
              </w:rPr>
              <w:t>参数标准</w:t>
            </w:r>
          </w:p>
        </w:tc>
        <w:tc>
          <w:tcPr>
            <w:tcW w:w="858" w:type="dxa"/>
            <w:vMerge w:val="restart"/>
          </w:tcPr>
          <w:p>
            <w:pPr>
              <w:pStyle w:val="13"/>
              <w:spacing w:line="360" w:lineRule="auto"/>
              <w:jc w:val="center"/>
              <w:rPr>
                <w:rFonts w:hint="eastAsia" w:ascii="宋体"/>
                <w:kern w:val="2"/>
                <w:sz w:val="24"/>
                <w:szCs w:val="24"/>
                <w:lang w:val="en-US" w:eastAsia="zh-CN"/>
              </w:rPr>
            </w:pPr>
          </w:p>
          <w:p>
            <w:pPr>
              <w:pStyle w:val="13"/>
              <w:spacing w:line="360" w:lineRule="auto"/>
              <w:jc w:val="center"/>
              <w:rPr>
                <w:rFonts w:hint="eastAsia" w:ascii="宋体" w:eastAsia="宋体"/>
                <w:kern w:val="2"/>
                <w:sz w:val="24"/>
                <w:szCs w:val="24"/>
                <w:lang w:val="en-US" w:eastAsia="zh-CN"/>
              </w:rPr>
            </w:pPr>
            <w:r>
              <w:rPr>
                <w:rFonts w:hint="eastAsia" w:ascii="宋体"/>
                <w:kern w:val="2"/>
                <w:sz w:val="24"/>
                <w:szCs w:val="24"/>
                <w:lang w:val="en-US" w:eastAsia="zh-CN"/>
              </w:rPr>
              <w:t>3000</w:t>
            </w:r>
          </w:p>
        </w:tc>
        <w:tc>
          <w:tcPr>
            <w:tcW w:w="532" w:type="dxa"/>
            <w:vMerge w:val="restart"/>
          </w:tcPr>
          <w:p>
            <w:pPr>
              <w:pStyle w:val="13"/>
              <w:spacing w:line="360" w:lineRule="auto"/>
              <w:rPr>
                <w:rFonts w:hint="eastAsia" w:ascii="宋体" w:cs="宋体"/>
                <w:kern w:val="2"/>
                <w:sz w:val="24"/>
                <w:szCs w:val="24"/>
              </w:rPr>
            </w:pPr>
          </w:p>
          <w:p>
            <w:pPr>
              <w:pStyle w:val="13"/>
              <w:spacing w:line="360" w:lineRule="auto"/>
              <w:rPr>
                <w:rFonts w:hint="eastAsia" w:ascii="宋体" w:cs="宋体"/>
                <w:kern w:val="2"/>
                <w:sz w:val="24"/>
                <w:szCs w:val="24"/>
              </w:rPr>
            </w:pPr>
            <w:r>
              <w:rPr>
                <w:rFonts w:hint="eastAsia" w:ascii="宋体" w:cs="宋体"/>
                <w:kern w:val="2"/>
                <w:sz w:val="24"/>
                <w:szCs w:val="24"/>
              </w:rPr>
              <w:t>米</w:t>
            </w:r>
          </w:p>
        </w:tc>
        <w:tc>
          <w:tcPr>
            <w:tcW w:w="1031" w:type="dxa"/>
            <w:vMerge w:val="restart"/>
          </w:tcPr>
          <w:p>
            <w:pPr>
              <w:pStyle w:val="13"/>
              <w:spacing w:line="360" w:lineRule="auto"/>
              <w:rPr>
                <w:rFonts w:ascii="宋体"/>
                <w:kern w:val="2"/>
                <w:sz w:val="24"/>
                <w:szCs w:val="24"/>
              </w:rPr>
            </w:pPr>
          </w:p>
        </w:tc>
        <w:tc>
          <w:tcPr>
            <w:tcW w:w="1162" w:type="dxa"/>
            <w:vMerge w:val="restart"/>
          </w:tcPr>
          <w:p>
            <w:pPr>
              <w:pStyle w:val="13"/>
              <w:spacing w:line="360" w:lineRule="auto"/>
              <w:rPr>
                <w:rFonts w:ascii="宋体"/>
                <w:kern w:val="2"/>
                <w:sz w:val="24"/>
                <w:szCs w:val="24"/>
              </w:rPr>
            </w:pPr>
          </w:p>
        </w:tc>
        <w:tc>
          <w:tcPr>
            <w:tcW w:w="2492" w:type="dxa"/>
            <w:vMerge w:val="restart"/>
          </w:tcPr>
          <w:p>
            <w:pPr>
              <w:widowControl/>
              <w:rPr>
                <w:rFonts w:ascii="宋体" w:hAnsi="宋体" w:cs="宋体"/>
                <w:sz w:val="22"/>
                <w:szCs w:val="24"/>
              </w:rPr>
            </w:pPr>
          </w:p>
          <w:p>
            <w:pPr>
              <w:widowControl/>
              <w:rPr>
                <w:rFonts w:ascii="宋体" w:hAnsi="宋体" w:cs="宋体"/>
                <w:sz w:val="22"/>
                <w:szCs w:val="24"/>
              </w:rPr>
            </w:pPr>
          </w:p>
          <w:p>
            <w:pPr>
              <w:widowControl/>
              <w:rPr>
                <w:rFonts w:ascii="宋体" w:hAnsi="宋体" w:cs="宋体"/>
                <w:sz w:val="22"/>
                <w:szCs w:val="24"/>
              </w:rPr>
            </w:pPr>
          </w:p>
          <w:p>
            <w:pPr>
              <w:widowControl/>
              <w:rPr>
                <w:rFonts w:ascii="宋体" w:cs="Times New Roman"/>
                <w:sz w:val="24"/>
                <w:szCs w:val="24"/>
              </w:rPr>
            </w:pPr>
            <w:r>
              <w:rPr>
                <w:rFonts w:ascii="宋体" w:hAnsi="宋体" w:cs="宋体"/>
                <w:sz w:val="22"/>
                <w:szCs w:val="24"/>
              </w:rPr>
              <w:t>合同</w:t>
            </w:r>
            <w:r>
              <w:rPr>
                <w:rFonts w:hint="eastAsia" w:ascii="宋体" w:hAnsi="宋体" w:cs="宋体"/>
                <w:sz w:val="22"/>
                <w:szCs w:val="24"/>
              </w:rPr>
              <w:t>签订</w:t>
            </w:r>
            <w:r>
              <w:rPr>
                <w:rFonts w:ascii="宋体" w:hAnsi="宋体" w:cs="宋体"/>
                <w:sz w:val="22"/>
                <w:szCs w:val="24"/>
              </w:rPr>
              <w:t>后</w:t>
            </w:r>
            <w:r>
              <w:rPr>
                <w:rFonts w:hint="eastAsia" w:ascii="宋体" w:hAnsi="宋体" w:cs="宋体"/>
                <w:sz w:val="22"/>
                <w:szCs w:val="24"/>
                <w:lang w:val="en-US" w:eastAsia="zh-CN"/>
              </w:rPr>
              <w:t>25</w:t>
            </w:r>
            <w:r>
              <w:rPr>
                <w:rFonts w:hint="eastAsia" w:ascii="宋体" w:hAnsi="宋体" w:cs="宋体"/>
                <w:sz w:val="22"/>
                <w:szCs w:val="24"/>
              </w:rPr>
              <w:t>天内货到需方指定位置</w:t>
            </w:r>
          </w:p>
        </w:tc>
        <w:tc>
          <w:tcPr>
            <w:tcW w:w="980" w:type="dxa"/>
            <w:vMerge w:val="restart"/>
          </w:tcPr>
          <w:p>
            <w:pPr>
              <w:pStyle w:val="13"/>
              <w:spacing w:line="360" w:lineRule="auto"/>
              <w:rPr>
                <w:rFonts w:ascii="宋体"/>
                <w:kern w:val="2"/>
                <w:sz w:val="24"/>
                <w:szCs w:val="24"/>
              </w:rPr>
            </w:pPr>
            <w:r>
              <w:rPr>
                <w:rFonts w:hint="eastAsia" w:ascii="宋体" w:hAnsi="宋体" w:cs="宋体"/>
                <w:szCs w:val="21"/>
              </w:rPr>
              <w:t>包头第一热电厂新厂物资站</w:t>
            </w:r>
            <w:r>
              <w:rPr>
                <w:rFonts w:hint="eastAsia" w:ascii="宋体" w:hAnsi="宋体" w:cs="宋体"/>
                <w:szCs w:val="21"/>
                <w:lang w:eastAsia="zh-CN"/>
              </w:rPr>
              <w:t>院内</w:t>
            </w:r>
          </w:p>
        </w:tc>
        <w:tc>
          <w:tcPr>
            <w:tcW w:w="725" w:type="dxa"/>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vMerge w:val="continue"/>
            <w:vAlign w:val="center"/>
          </w:tcPr>
          <w:p>
            <w:pPr>
              <w:pStyle w:val="13"/>
              <w:spacing w:line="360" w:lineRule="auto"/>
              <w:jc w:val="center"/>
              <w:rPr>
                <w:rFonts w:hint="eastAsia" w:ascii="宋体" w:hAnsi="宋体" w:eastAsia="宋体" w:cs="宋体"/>
                <w:color w:val="FF0000"/>
                <w:kern w:val="2"/>
                <w:sz w:val="24"/>
                <w:szCs w:val="24"/>
                <w:lang w:val="en-US" w:eastAsia="zh-CN"/>
              </w:rPr>
            </w:pPr>
          </w:p>
        </w:tc>
        <w:tc>
          <w:tcPr>
            <w:tcW w:w="1275" w:type="dxa"/>
            <w:vMerge w:val="continue"/>
            <w:vAlign w:val="center"/>
          </w:tcPr>
          <w:p>
            <w:pPr>
              <w:pStyle w:val="13"/>
              <w:spacing w:line="360" w:lineRule="auto"/>
              <w:jc w:val="center"/>
              <w:rPr>
                <w:rFonts w:ascii="ˎ̥" w:hAnsi="ˎ̥"/>
                <w:color w:val="000000"/>
                <w:sz w:val="18"/>
                <w:szCs w:val="18"/>
              </w:rPr>
            </w:pPr>
          </w:p>
        </w:tc>
        <w:tc>
          <w:tcPr>
            <w:tcW w:w="2682" w:type="dxa"/>
            <w:vMerge w:val="continue"/>
            <w:vAlign w:val="center"/>
          </w:tcPr>
          <w:p>
            <w:pPr>
              <w:keepNext w:val="0"/>
              <w:keepLines w:val="0"/>
              <w:widowControl/>
              <w:suppressLineNumbers w:val="0"/>
              <w:jc w:val="left"/>
              <w:textAlignment w:val="center"/>
              <w:rPr>
                <w:rFonts w:ascii="ˎ̥" w:hAnsi="ˎ̥"/>
                <w:color w:val="000000"/>
                <w:sz w:val="21"/>
                <w:szCs w:val="21"/>
              </w:rPr>
            </w:pPr>
          </w:p>
        </w:tc>
        <w:tc>
          <w:tcPr>
            <w:tcW w:w="1388" w:type="dxa"/>
            <w:vMerge w:val="continue"/>
          </w:tcPr>
          <w:p>
            <w:pPr>
              <w:pStyle w:val="13"/>
              <w:rPr>
                <w:rFonts w:hint="eastAsia" w:ascii="宋体" w:hAnsi="宋体" w:cs="宋体"/>
                <w:kern w:val="2"/>
                <w:sz w:val="24"/>
                <w:szCs w:val="24"/>
              </w:rPr>
            </w:pPr>
          </w:p>
        </w:tc>
        <w:tc>
          <w:tcPr>
            <w:tcW w:w="858" w:type="dxa"/>
            <w:vMerge w:val="continue"/>
          </w:tcPr>
          <w:p>
            <w:pPr>
              <w:pStyle w:val="13"/>
              <w:spacing w:line="360" w:lineRule="auto"/>
              <w:rPr>
                <w:rFonts w:hint="eastAsia" w:ascii="宋体" w:eastAsia="宋体"/>
                <w:kern w:val="2"/>
                <w:sz w:val="24"/>
                <w:szCs w:val="24"/>
                <w:lang w:val="en-US" w:eastAsia="zh-CN"/>
              </w:rPr>
            </w:pPr>
          </w:p>
        </w:tc>
        <w:tc>
          <w:tcPr>
            <w:tcW w:w="532" w:type="dxa"/>
            <w:vMerge w:val="continue"/>
          </w:tcPr>
          <w:p>
            <w:pPr>
              <w:pStyle w:val="13"/>
              <w:spacing w:line="360" w:lineRule="auto"/>
              <w:rPr>
                <w:rFonts w:hint="eastAsia" w:ascii="宋体" w:cs="宋体"/>
                <w:kern w:val="2"/>
                <w:sz w:val="24"/>
                <w:szCs w:val="24"/>
              </w:rPr>
            </w:pPr>
          </w:p>
        </w:tc>
        <w:tc>
          <w:tcPr>
            <w:tcW w:w="1031" w:type="dxa"/>
            <w:vMerge w:val="continue"/>
          </w:tcPr>
          <w:p>
            <w:pPr>
              <w:pStyle w:val="13"/>
              <w:spacing w:line="360" w:lineRule="auto"/>
              <w:rPr>
                <w:rFonts w:ascii="宋体"/>
                <w:kern w:val="2"/>
                <w:sz w:val="24"/>
                <w:szCs w:val="24"/>
              </w:rPr>
            </w:pPr>
          </w:p>
        </w:tc>
        <w:tc>
          <w:tcPr>
            <w:tcW w:w="1162" w:type="dxa"/>
            <w:vMerge w:val="continue"/>
          </w:tcPr>
          <w:p>
            <w:pPr>
              <w:pStyle w:val="13"/>
              <w:spacing w:line="360" w:lineRule="auto"/>
              <w:rPr>
                <w:rFonts w:ascii="宋体"/>
                <w:kern w:val="2"/>
                <w:sz w:val="24"/>
                <w:szCs w:val="24"/>
              </w:rPr>
            </w:pPr>
          </w:p>
        </w:tc>
        <w:tc>
          <w:tcPr>
            <w:tcW w:w="2492" w:type="dxa"/>
            <w:vMerge w:val="continue"/>
          </w:tcPr>
          <w:p>
            <w:pPr>
              <w:widowControl/>
              <w:rPr>
                <w:rFonts w:ascii="宋体" w:cs="Times New Roman"/>
                <w:sz w:val="24"/>
                <w:szCs w:val="24"/>
              </w:rPr>
            </w:pPr>
          </w:p>
        </w:tc>
        <w:tc>
          <w:tcPr>
            <w:tcW w:w="980" w:type="dxa"/>
            <w:vMerge w:val="continue"/>
          </w:tcPr>
          <w:p>
            <w:pPr>
              <w:pStyle w:val="13"/>
              <w:spacing w:line="360" w:lineRule="auto"/>
              <w:rPr>
                <w:rFonts w:ascii="宋体"/>
                <w:kern w:val="2"/>
                <w:sz w:val="24"/>
                <w:szCs w:val="24"/>
              </w:rPr>
            </w:pPr>
          </w:p>
        </w:tc>
        <w:tc>
          <w:tcPr>
            <w:tcW w:w="725" w:type="dxa"/>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81" w:type="dxa"/>
            <w:vAlign w:val="center"/>
          </w:tcPr>
          <w:p>
            <w:pPr>
              <w:pStyle w:val="13"/>
              <w:spacing w:line="360" w:lineRule="auto"/>
              <w:jc w:val="center"/>
              <w:rPr>
                <w:rFonts w:hint="eastAsia" w:ascii="宋体" w:hAnsi="宋体" w:eastAsia="宋体" w:cs="宋体"/>
                <w:color w:val="auto"/>
                <w:kern w:val="2"/>
                <w:sz w:val="24"/>
                <w:szCs w:val="24"/>
                <w:lang w:val="en-US" w:eastAsia="zh-CN"/>
              </w:rPr>
            </w:pPr>
            <w:r>
              <w:rPr>
                <w:rFonts w:hint="eastAsia" w:ascii="宋体" w:hAnsi="宋体" w:cs="宋体"/>
                <w:color w:val="auto"/>
                <w:kern w:val="2"/>
                <w:sz w:val="24"/>
                <w:szCs w:val="24"/>
                <w:lang w:val="en-US" w:eastAsia="zh-CN"/>
              </w:rPr>
              <w:t>2</w:t>
            </w:r>
          </w:p>
        </w:tc>
        <w:tc>
          <w:tcPr>
            <w:tcW w:w="1275" w:type="dxa"/>
            <w:vAlign w:val="center"/>
          </w:tcPr>
          <w:p>
            <w:pPr>
              <w:pStyle w:val="13"/>
              <w:spacing w:line="360" w:lineRule="auto"/>
              <w:jc w:val="center"/>
              <w:rPr>
                <w:rFonts w:ascii="ˎ̥" w:hAnsi="ˎ̥"/>
                <w:color w:val="000000"/>
                <w:sz w:val="21"/>
                <w:szCs w:val="21"/>
              </w:rPr>
            </w:pPr>
            <w:r>
              <w:rPr>
                <w:rFonts w:hint="eastAsia" w:ascii="ˎ̥" w:hAnsi="ˎ̥"/>
                <w:color w:val="000000"/>
                <w:sz w:val="21"/>
                <w:szCs w:val="21"/>
              </w:rPr>
              <w:t>2020302651</w:t>
            </w:r>
          </w:p>
        </w:tc>
        <w:tc>
          <w:tcPr>
            <w:tcW w:w="2682" w:type="dxa"/>
            <w:vAlign w:val="center"/>
          </w:tcPr>
          <w:p>
            <w:pPr>
              <w:pStyle w:val="13"/>
              <w:spacing w:line="360" w:lineRule="auto"/>
              <w:jc w:val="left"/>
              <w:rPr>
                <w:rFonts w:ascii="ˎ̥" w:hAnsi="ˎ̥"/>
                <w:color w:val="000000"/>
                <w:sz w:val="21"/>
                <w:szCs w:val="21"/>
              </w:rPr>
            </w:pPr>
            <w:r>
              <w:rPr>
                <w:rFonts w:hint="eastAsia" w:ascii="ˎ̥" w:hAnsi="ˎ̥"/>
                <w:color w:val="000000"/>
                <w:sz w:val="21"/>
                <w:szCs w:val="21"/>
              </w:rPr>
              <w:t>补偿导线 ZKX 2×1.5</w:t>
            </w:r>
          </w:p>
        </w:tc>
        <w:tc>
          <w:tcPr>
            <w:tcW w:w="1388" w:type="dxa"/>
          </w:tcPr>
          <w:p>
            <w:pPr>
              <w:pStyle w:val="13"/>
              <w:rPr>
                <w:rFonts w:hint="eastAsia" w:ascii="宋体" w:hAnsi="宋体" w:cs="宋体"/>
                <w:kern w:val="2"/>
                <w:sz w:val="24"/>
                <w:szCs w:val="24"/>
              </w:rPr>
            </w:pPr>
          </w:p>
        </w:tc>
        <w:tc>
          <w:tcPr>
            <w:tcW w:w="858" w:type="dxa"/>
          </w:tcPr>
          <w:p>
            <w:pPr>
              <w:pStyle w:val="13"/>
              <w:spacing w:line="360" w:lineRule="auto"/>
              <w:rPr>
                <w:rFonts w:hint="eastAsia" w:ascii="宋体" w:eastAsia="宋体"/>
                <w:kern w:val="2"/>
                <w:sz w:val="24"/>
                <w:szCs w:val="24"/>
                <w:lang w:val="en-US" w:eastAsia="zh-CN"/>
              </w:rPr>
            </w:pPr>
            <w:r>
              <w:rPr>
                <w:rFonts w:hint="eastAsia" w:ascii="宋体"/>
                <w:kern w:val="2"/>
                <w:sz w:val="24"/>
                <w:szCs w:val="24"/>
                <w:lang w:val="en-US" w:eastAsia="zh-CN"/>
              </w:rPr>
              <w:t>1500</w:t>
            </w:r>
          </w:p>
        </w:tc>
        <w:tc>
          <w:tcPr>
            <w:tcW w:w="532" w:type="dxa"/>
          </w:tcPr>
          <w:p>
            <w:pPr>
              <w:pStyle w:val="13"/>
              <w:spacing w:line="360" w:lineRule="auto"/>
              <w:rPr>
                <w:rFonts w:hint="eastAsia" w:ascii="宋体" w:cs="宋体"/>
                <w:kern w:val="2"/>
                <w:sz w:val="24"/>
                <w:szCs w:val="24"/>
              </w:rPr>
            </w:pPr>
          </w:p>
        </w:tc>
        <w:tc>
          <w:tcPr>
            <w:tcW w:w="1031" w:type="dxa"/>
          </w:tcPr>
          <w:p>
            <w:pPr>
              <w:pStyle w:val="13"/>
              <w:spacing w:line="360" w:lineRule="auto"/>
              <w:rPr>
                <w:rFonts w:ascii="宋体"/>
                <w:kern w:val="2"/>
                <w:sz w:val="24"/>
                <w:szCs w:val="24"/>
              </w:rPr>
            </w:pPr>
          </w:p>
        </w:tc>
        <w:tc>
          <w:tcPr>
            <w:tcW w:w="1162" w:type="dxa"/>
          </w:tcPr>
          <w:p>
            <w:pPr>
              <w:pStyle w:val="13"/>
              <w:spacing w:line="360" w:lineRule="auto"/>
              <w:rPr>
                <w:rFonts w:ascii="宋体"/>
                <w:kern w:val="2"/>
                <w:sz w:val="24"/>
                <w:szCs w:val="24"/>
              </w:rPr>
            </w:pPr>
          </w:p>
        </w:tc>
        <w:tc>
          <w:tcPr>
            <w:tcW w:w="2492" w:type="dxa"/>
            <w:vMerge w:val="continue"/>
          </w:tcPr>
          <w:p>
            <w:pPr>
              <w:widowControl/>
              <w:rPr>
                <w:rFonts w:ascii="宋体" w:cs="Times New Roman"/>
                <w:sz w:val="24"/>
                <w:szCs w:val="24"/>
              </w:rPr>
            </w:pPr>
          </w:p>
        </w:tc>
        <w:tc>
          <w:tcPr>
            <w:tcW w:w="980" w:type="dxa"/>
            <w:vMerge w:val="continue"/>
          </w:tcPr>
          <w:p>
            <w:pPr>
              <w:pStyle w:val="13"/>
              <w:spacing w:line="360" w:lineRule="auto"/>
              <w:rPr>
                <w:rFonts w:ascii="宋体"/>
                <w:kern w:val="2"/>
                <w:sz w:val="24"/>
                <w:szCs w:val="24"/>
              </w:rPr>
            </w:pPr>
          </w:p>
        </w:tc>
        <w:tc>
          <w:tcPr>
            <w:tcW w:w="725" w:type="dxa"/>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vAlign w:val="center"/>
          </w:tcPr>
          <w:p>
            <w:pPr>
              <w:pStyle w:val="13"/>
              <w:spacing w:line="360" w:lineRule="auto"/>
              <w:jc w:val="center"/>
              <w:rPr>
                <w:rFonts w:hint="eastAsia" w:ascii="宋体" w:hAnsi="宋体" w:eastAsia="宋体" w:cs="宋体"/>
                <w:color w:val="auto"/>
                <w:kern w:val="2"/>
                <w:sz w:val="24"/>
                <w:szCs w:val="24"/>
                <w:lang w:val="en-US" w:eastAsia="zh-CN"/>
              </w:rPr>
            </w:pPr>
            <w:r>
              <w:rPr>
                <w:rFonts w:hint="eastAsia" w:ascii="宋体" w:hAnsi="宋体" w:cs="宋体"/>
                <w:color w:val="auto"/>
                <w:kern w:val="2"/>
                <w:sz w:val="24"/>
                <w:szCs w:val="24"/>
                <w:lang w:val="en-US" w:eastAsia="zh-CN"/>
              </w:rPr>
              <w:t>3</w:t>
            </w:r>
          </w:p>
        </w:tc>
        <w:tc>
          <w:tcPr>
            <w:tcW w:w="1275" w:type="dxa"/>
            <w:vAlign w:val="center"/>
          </w:tcPr>
          <w:p>
            <w:pPr>
              <w:keepNext w:val="0"/>
              <w:keepLines w:val="0"/>
              <w:widowControl/>
              <w:suppressLineNumbers w:val="0"/>
              <w:jc w:val="center"/>
              <w:textAlignment w:val="center"/>
              <w:rPr>
                <w:rFonts w:hint="default" w:ascii="ˎ̥" w:hAnsi="ˎ̥" w:eastAsia="宋体" w:cs="Times New Roman"/>
                <w:color w:val="000000"/>
                <w:kern w:val="0"/>
                <w:sz w:val="21"/>
                <w:szCs w:val="21"/>
                <w:lang w:val="en-US" w:eastAsia="zh-CN" w:bidi="ar-SA"/>
              </w:rPr>
            </w:pPr>
            <w:r>
              <w:rPr>
                <w:rFonts w:hint="eastAsia" w:ascii="ˎ̥" w:hAnsi="ˎ̥" w:eastAsia="宋体" w:cs="Times New Roman"/>
                <w:color w:val="000000"/>
                <w:kern w:val="0"/>
                <w:sz w:val="21"/>
                <w:szCs w:val="21"/>
                <w:lang w:val="en-US" w:eastAsia="zh-CN" w:bidi="ar-SA"/>
              </w:rPr>
              <w:t>2020303006</w:t>
            </w:r>
          </w:p>
        </w:tc>
        <w:tc>
          <w:tcPr>
            <w:tcW w:w="2682" w:type="dxa"/>
            <w:vAlign w:val="center"/>
          </w:tcPr>
          <w:p>
            <w:pPr>
              <w:pStyle w:val="13"/>
              <w:spacing w:line="360" w:lineRule="auto"/>
              <w:jc w:val="left"/>
              <w:rPr>
                <w:rFonts w:hint="eastAsia" w:ascii="ˎ̥" w:hAnsi="ˎ̥" w:eastAsia="宋体" w:cs="Times New Roman"/>
                <w:color w:val="000000"/>
                <w:kern w:val="0"/>
                <w:sz w:val="21"/>
                <w:szCs w:val="21"/>
                <w:lang w:val="en-US" w:eastAsia="zh-CN" w:bidi="ar-SA"/>
              </w:rPr>
            </w:pPr>
            <w:r>
              <w:rPr>
                <w:rFonts w:hint="eastAsia" w:ascii="ˎ̥" w:hAnsi="ˎ̥" w:eastAsia="宋体" w:cs="Times New Roman"/>
                <w:color w:val="000000"/>
                <w:kern w:val="0"/>
                <w:sz w:val="21"/>
                <w:szCs w:val="21"/>
                <w:lang w:val="en-US" w:eastAsia="zh-CN" w:bidi="ar-SA"/>
              </w:rPr>
              <w:t>计算机电缆ZRC-DJYPVP 2×2×1.0</w:t>
            </w:r>
          </w:p>
        </w:tc>
        <w:tc>
          <w:tcPr>
            <w:tcW w:w="1388" w:type="dxa"/>
            <w:vAlign w:val="top"/>
          </w:tcPr>
          <w:p>
            <w:pPr>
              <w:pStyle w:val="13"/>
              <w:rPr>
                <w:rFonts w:hint="eastAsia" w:ascii="宋体" w:hAnsi="宋体" w:cs="宋体"/>
                <w:kern w:val="2"/>
                <w:sz w:val="24"/>
                <w:szCs w:val="24"/>
              </w:rPr>
            </w:pPr>
          </w:p>
        </w:tc>
        <w:tc>
          <w:tcPr>
            <w:tcW w:w="858" w:type="dxa"/>
            <w:vAlign w:val="top"/>
          </w:tcPr>
          <w:p>
            <w:pPr>
              <w:pStyle w:val="13"/>
              <w:spacing w:line="360" w:lineRule="auto"/>
              <w:rPr>
                <w:rFonts w:hint="default" w:ascii="宋体" w:eastAsia="宋体"/>
                <w:kern w:val="2"/>
                <w:sz w:val="24"/>
                <w:szCs w:val="24"/>
                <w:lang w:val="en-US" w:eastAsia="zh-CN"/>
              </w:rPr>
            </w:pPr>
            <w:r>
              <w:rPr>
                <w:rFonts w:hint="eastAsia" w:ascii="宋体"/>
                <w:kern w:val="2"/>
                <w:sz w:val="24"/>
                <w:szCs w:val="24"/>
                <w:lang w:val="en-US" w:eastAsia="zh-CN"/>
              </w:rPr>
              <w:t>2600</w:t>
            </w:r>
          </w:p>
        </w:tc>
        <w:tc>
          <w:tcPr>
            <w:tcW w:w="532" w:type="dxa"/>
            <w:vAlign w:val="top"/>
          </w:tcPr>
          <w:p>
            <w:pPr>
              <w:pStyle w:val="13"/>
              <w:spacing w:line="360" w:lineRule="auto"/>
              <w:rPr>
                <w:rFonts w:hint="eastAsia" w:ascii="宋体" w:cs="宋体"/>
                <w:kern w:val="2"/>
                <w:sz w:val="24"/>
                <w:szCs w:val="24"/>
              </w:rPr>
            </w:pPr>
          </w:p>
        </w:tc>
        <w:tc>
          <w:tcPr>
            <w:tcW w:w="1031" w:type="dxa"/>
            <w:vAlign w:val="top"/>
          </w:tcPr>
          <w:p>
            <w:pPr>
              <w:pStyle w:val="13"/>
              <w:spacing w:line="360" w:lineRule="auto"/>
              <w:rPr>
                <w:rFonts w:ascii="宋体"/>
                <w:kern w:val="2"/>
                <w:sz w:val="24"/>
                <w:szCs w:val="24"/>
              </w:rPr>
            </w:pPr>
          </w:p>
        </w:tc>
        <w:tc>
          <w:tcPr>
            <w:tcW w:w="1162" w:type="dxa"/>
            <w:vAlign w:val="top"/>
          </w:tcPr>
          <w:p>
            <w:pPr>
              <w:pStyle w:val="13"/>
              <w:spacing w:line="360" w:lineRule="auto"/>
              <w:rPr>
                <w:rFonts w:ascii="宋体"/>
                <w:kern w:val="2"/>
                <w:sz w:val="24"/>
                <w:szCs w:val="24"/>
              </w:rPr>
            </w:pPr>
          </w:p>
        </w:tc>
        <w:tc>
          <w:tcPr>
            <w:tcW w:w="2492" w:type="dxa"/>
            <w:vMerge w:val="continue"/>
          </w:tcPr>
          <w:p>
            <w:pPr>
              <w:widowControl/>
              <w:rPr>
                <w:rFonts w:ascii="宋体" w:cs="Times New Roman"/>
                <w:sz w:val="24"/>
                <w:szCs w:val="24"/>
              </w:rPr>
            </w:pPr>
          </w:p>
        </w:tc>
        <w:tc>
          <w:tcPr>
            <w:tcW w:w="980" w:type="dxa"/>
            <w:vMerge w:val="continue"/>
          </w:tcPr>
          <w:p>
            <w:pPr>
              <w:pStyle w:val="13"/>
              <w:spacing w:line="360" w:lineRule="auto"/>
              <w:rPr>
                <w:rFonts w:ascii="宋体"/>
                <w:kern w:val="2"/>
                <w:sz w:val="24"/>
                <w:szCs w:val="24"/>
              </w:rPr>
            </w:pPr>
          </w:p>
        </w:tc>
        <w:tc>
          <w:tcPr>
            <w:tcW w:w="725" w:type="dxa"/>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vAlign w:val="center"/>
          </w:tcPr>
          <w:p>
            <w:pPr>
              <w:pStyle w:val="13"/>
              <w:spacing w:line="360" w:lineRule="auto"/>
              <w:jc w:val="center"/>
              <w:rPr>
                <w:rFonts w:hint="eastAsia" w:ascii="宋体" w:hAnsi="宋体" w:cs="宋体"/>
                <w:color w:val="auto"/>
                <w:kern w:val="2"/>
                <w:sz w:val="24"/>
                <w:szCs w:val="24"/>
                <w:lang w:val="en-US" w:eastAsia="zh-CN"/>
              </w:rPr>
            </w:pPr>
            <w:r>
              <w:rPr>
                <w:rFonts w:hint="eastAsia" w:ascii="宋体" w:hAnsi="宋体" w:cs="宋体"/>
                <w:color w:val="auto"/>
                <w:kern w:val="2"/>
                <w:sz w:val="24"/>
                <w:szCs w:val="24"/>
                <w:lang w:val="en-US" w:eastAsia="zh-CN"/>
              </w:rPr>
              <w:t>4</w:t>
            </w:r>
          </w:p>
        </w:tc>
        <w:tc>
          <w:tcPr>
            <w:tcW w:w="1275" w:type="dxa"/>
            <w:vAlign w:val="center"/>
          </w:tcPr>
          <w:p>
            <w:pPr>
              <w:pStyle w:val="13"/>
              <w:spacing w:line="360" w:lineRule="auto"/>
              <w:jc w:val="center"/>
              <w:rPr>
                <w:rFonts w:ascii="ˎ̥" w:hAnsi="ˎ̥"/>
                <w:color w:val="000000"/>
                <w:sz w:val="21"/>
                <w:szCs w:val="21"/>
              </w:rPr>
            </w:pPr>
            <w:r>
              <w:rPr>
                <w:rFonts w:hint="eastAsia" w:ascii="ˎ̥" w:hAnsi="ˎ̥"/>
                <w:color w:val="000000"/>
                <w:sz w:val="21"/>
                <w:szCs w:val="21"/>
              </w:rPr>
              <w:t>2020301981</w:t>
            </w:r>
          </w:p>
        </w:tc>
        <w:tc>
          <w:tcPr>
            <w:tcW w:w="2682" w:type="dxa"/>
            <w:vAlign w:val="center"/>
          </w:tcPr>
          <w:p>
            <w:pPr>
              <w:pStyle w:val="13"/>
              <w:spacing w:line="360" w:lineRule="auto"/>
              <w:jc w:val="left"/>
              <w:rPr>
                <w:rFonts w:ascii="ˎ̥" w:hAnsi="ˎ̥"/>
                <w:color w:val="000000"/>
                <w:sz w:val="21"/>
                <w:szCs w:val="21"/>
              </w:rPr>
            </w:pPr>
            <w:r>
              <w:rPr>
                <w:rFonts w:hint="eastAsia" w:ascii="ˎ̥" w:hAnsi="ˎ̥"/>
                <w:color w:val="000000"/>
                <w:sz w:val="21"/>
                <w:szCs w:val="21"/>
              </w:rPr>
              <w:t>电力电缆ZR-VV22 2×16</w:t>
            </w:r>
          </w:p>
        </w:tc>
        <w:tc>
          <w:tcPr>
            <w:tcW w:w="1388" w:type="dxa"/>
          </w:tcPr>
          <w:p>
            <w:pPr>
              <w:pStyle w:val="13"/>
              <w:rPr>
                <w:rFonts w:hint="eastAsia" w:ascii="宋体" w:hAnsi="宋体" w:cs="宋体"/>
                <w:kern w:val="2"/>
                <w:sz w:val="24"/>
                <w:szCs w:val="24"/>
              </w:rPr>
            </w:pPr>
          </w:p>
        </w:tc>
        <w:tc>
          <w:tcPr>
            <w:tcW w:w="858" w:type="dxa"/>
          </w:tcPr>
          <w:p>
            <w:pPr>
              <w:pStyle w:val="13"/>
              <w:spacing w:line="360" w:lineRule="auto"/>
              <w:rPr>
                <w:rFonts w:hint="eastAsia" w:ascii="宋体" w:eastAsia="宋体"/>
                <w:kern w:val="2"/>
                <w:sz w:val="24"/>
                <w:szCs w:val="24"/>
                <w:lang w:val="en-US" w:eastAsia="zh-CN"/>
              </w:rPr>
            </w:pPr>
            <w:r>
              <w:rPr>
                <w:rFonts w:hint="eastAsia" w:ascii="宋体"/>
                <w:kern w:val="2"/>
                <w:sz w:val="24"/>
                <w:szCs w:val="24"/>
                <w:lang w:val="en-US" w:eastAsia="zh-CN"/>
              </w:rPr>
              <w:t>500</w:t>
            </w:r>
          </w:p>
        </w:tc>
        <w:tc>
          <w:tcPr>
            <w:tcW w:w="532" w:type="dxa"/>
          </w:tcPr>
          <w:p>
            <w:pPr>
              <w:pStyle w:val="13"/>
              <w:spacing w:line="360" w:lineRule="auto"/>
              <w:rPr>
                <w:rFonts w:hint="eastAsia" w:ascii="宋体" w:cs="宋体"/>
                <w:kern w:val="2"/>
                <w:sz w:val="24"/>
                <w:szCs w:val="24"/>
              </w:rPr>
            </w:pPr>
          </w:p>
        </w:tc>
        <w:tc>
          <w:tcPr>
            <w:tcW w:w="1031" w:type="dxa"/>
          </w:tcPr>
          <w:p>
            <w:pPr>
              <w:pStyle w:val="13"/>
              <w:spacing w:line="360" w:lineRule="auto"/>
              <w:rPr>
                <w:rFonts w:ascii="宋体"/>
                <w:kern w:val="2"/>
                <w:sz w:val="24"/>
                <w:szCs w:val="24"/>
              </w:rPr>
            </w:pPr>
          </w:p>
        </w:tc>
        <w:tc>
          <w:tcPr>
            <w:tcW w:w="1162" w:type="dxa"/>
          </w:tcPr>
          <w:p>
            <w:pPr>
              <w:pStyle w:val="13"/>
              <w:spacing w:line="360" w:lineRule="auto"/>
              <w:rPr>
                <w:rFonts w:ascii="宋体"/>
                <w:kern w:val="2"/>
                <w:sz w:val="24"/>
                <w:szCs w:val="24"/>
              </w:rPr>
            </w:pPr>
          </w:p>
        </w:tc>
        <w:tc>
          <w:tcPr>
            <w:tcW w:w="2492" w:type="dxa"/>
          </w:tcPr>
          <w:p>
            <w:pPr>
              <w:widowControl/>
              <w:rPr>
                <w:rFonts w:ascii="宋体" w:cs="Times New Roman"/>
                <w:sz w:val="24"/>
                <w:szCs w:val="24"/>
              </w:rPr>
            </w:pPr>
          </w:p>
        </w:tc>
        <w:tc>
          <w:tcPr>
            <w:tcW w:w="980" w:type="dxa"/>
          </w:tcPr>
          <w:p>
            <w:pPr>
              <w:pStyle w:val="13"/>
              <w:spacing w:line="360" w:lineRule="auto"/>
              <w:rPr>
                <w:rFonts w:ascii="宋体"/>
                <w:kern w:val="2"/>
                <w:sz w:val="24"/>
                <w:szCs w:val="24"/>
              </w:rPr>
            </w:pPr>
          </w:p>
        </w:tc>
        <w:tc>
          <w:tcPr>
            <w:tcW w:w="725" w:type="dxa"/>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vAlign w:val="center"/>
          </w:tcPr>
          <w:p>
            <w:pPr>
              <w:pStyle w:val="13"/>
              <w:spacing w:line="360" w:lineRule="auto"/>
              <w:jc w:val="center"/>
              <w:rPr>
                <w:rFonts w:hint="eastAsia" w:ascii="宋体" w:hAnsi="宋体" w:cs="宋体"/>
                <w:color w:val="auto"/>
                <w:kern w:val="2"/>
                <w:sz w:val="24"/>
                <w:szCs w:val="24"/>
                <w:lang w:val="en-US" w:eastAsia="zh-CN"/>
              </w:rPr>
            </w:pPr>
            <w:r>
              <w:rPr>
                <w:rFonts w:hint="eastAsia" w:ascii="宋体" w:hAnsi="宋体" w:cs="宋体"/>
                <w:color w:val="auto"/>
                <w:kern w:val="2"/>
                <w:sz w:val="24"/>
                <w:szCs w:val="24"/>
                <w:lang w:val="en-US" w:eastAsia="zh-CN"/>
              </w:rPr>
              <w:t>5</w:t>
            </w:r>
          </w:p>
        </w:tc>
        <w:tc>
          <w:tcPr>
            <w:tcW w:w="1275" w:type="dxa"/>
            <w:vAlign w:val="center"/>
          </w:tcPr>
          <w:p>
            <w:pPr>
              <w:pStyle w:val="13"/>
              <w:spacing w:line="360" w:lineRule="auto"/>
              <w:jc w:val="center"/>
              <w:rPr>
                <w:rFonts w:hint="eastAsia" w:ascii="ˎ̥" w:hAnsi="ˎ̥"/>
                <w:color w:val="000000"/>
                <w:sz w:val="21"/>
                <w:szCs w:val="21"/>
              </w:rPr>
            </w:pPr>
            <w:r>
              <w:rPr>
                <w:rFonts w:hint="eastAsia" w:ascii="ˎ̥" w:hAnsi="ˎ̥"/>
                <w:color w:val="000000"/>
                <w:sz w:val="21"/>
                <w:szCs w:val="21"/>
              </w:rPr>
              <w:t>2020302966</w:t>
            </w:r>
          </w:p>
        </w:tc>
        <w:tc>
          <w:tcPr>
            <w:tcW w:w="2682" w:type="dxa"/>
            <w:vAlign w:val="center"/>
          </w:tcPr>
          <w:p>
            <w:pPr>
              <w:pStyle w:val="13"/>
              <w:spacing w:line="360" w:lineRule="auto"/>
              <w:jc w:val="left"/>
              <w:rPr>
                <w:rFonts w:hint="eastAsia" w:ascii="ˎ̥" w:hAnsi="ˎ̥"/>
                <w:color w:val="000000"/>
                <w:sz w:val="21"/>
                <w:szCs w:val="21"/>
              </w:rPr>
            </w:pPr>
            <w:r>
              <w:rPr>
                <w:rFonts w:hint="eastAsia" w:ascii="ˎ̥" w:hAnsi="ˎ̥"/>
                <w:color w:val="000000"/>
                <w:sz w:val="21"/>
                <w:szCs w:val="21"/>
              </w:rPr>
              <w:t>电力电缆ZRC-YJV22 4×16</w:t>
            </w:r>
          </w:p>
        </w:tc>
        <w:tc>
          <w:tcPr>
            <w:tcW w:w="1388" w:type="dxa"/>
          </w:tcPr>
          <w:p>
            <w:pPr>
              <w:pStyle w:val="13"/>
              <w:rPr>
                <w:rFonts w:hint="eastAsia" w:ascii="宋体" w:hAnsi="宋体" w:cs="宋体"/>
                <w:kern w:val="2"/>
                <w:sz w:val="24"/>
                <w:szCs w:val="24"/>
              </w:rPr>
            </w:pPr>
          </w:p>
        </w:tc>
        <w:tc>
          <w:tcPr>
            <w:tcW w:w="858" w:type="dxa"/>
          </w:tcPr>
          <w:p>
            <w:pPr>
              <w:pStyle w:val="13"/>
              <w:spacing w:line="360" w:lineRule="auto"/>
              <w:rPr>
                <w:rFonts w:hint="eastAsia" w:ascii="宋体" w:eastAsia="宋体"/>
                <w:kern w:val="2"/>
                <w:sz w:val="24"/>
                <w:szCs w:val="24"/>
                <w:lang w:val="en-US" w:eastAsia="zh-CN"/>
              </w:rPr>
            </w:pPr>
            <w:r>
              <w:rPr>
                <w:rFonts w:hint="eastAsia" w:ascii="宋体"/>
                <w:kern w:val="2"/>
                <w:sz w:val="24"/>
                <w:szCs w:val="24"/>
                <w:lang w:val="en-US" w:eastAsia="zh-CN"/>
              </w:rPr>
              <w:t>400</w:t>
            </w:r>
          </w:p>
        </w:tc>
        <w:tc>
          <w:tcPr>
            <w:tcW w:w="532" w:type="dxa"/>
          </w:tcPr>
          <w:p>
            <w:pPr>
              <w:pStyle w:val="13"/>
              <w:spacing w:line="360" w:lineRule="auto"/>
              <w:rPr>
                <w:rFonts w:hint="eastAsia" w:ascii="宋体" w:cs="宋体"/>
                <w:kern w:val="2"/>
                <w:sz w:val="24"/>
                <w:szCs w:val="24"/>
              </w:rPr>
            </w:pPr>
          </w:p>
        </w:tc>
        <w:tc>
          <w:tcPr>
            <w:tcW w:w="1031" w:type="dxa"/>
          </w:tcPr>
          <w:p>
            <w:pPr>
              <w:pStyle w:val="13"/>
              <w:spacing w:line="360" w:lineRule="auto"/>
              <w:rPr>
                <w:rFonts w:ascii="宋体"/>
                <w:kern w:val="2"/>
                <w:sz w:val="24"/>
                <w:szCs w:val="24"/>
              </w:rPr>
            </w:pPr>
          </w:p>
        </w:tc>
        <w:tc>
          <w:tcPr>
            <w:tcW w:w="1162" w:type="dxa"/>
          </w:tcPr>
          <w:p>
            <w:pPr>
              <w:pStyle w:val="13"/>
              <w:spacing w:line="360" w:lineRule="auto"/>
              <w:rPr>
                <w:rFonts w:ascii="宋体"/>
                <w:kern w:val="2"/>
                <w:sz w:val="24"/>
                <w:szCs w:val="24"/>
              </w:rPr>
            </w:pPr>
          </w:p>
        </w:tc>
        <w:tc>
          <w:tcPr>
            <w:tcW w:w="2492" w:type="dxa"/>
          </w:tcPr>
          <w:p>
            <w:pPr>
              <w:widowControl/>
              <w:rPr>
                <w:rFonts w:ascii="宋体" w:cs="Times New Roman"/>
                <w:sz w:val="24"/>
                <w:szCs w:val="24"/>
              </w:rPr>
            </w:pPr>
          </w:p>
        </w:tc>
        <w:tc>
          <w:tcPr>
            <w:tcW w:w="980" w:type="dxa"/>
          </w:tcPr>
          <w:p>
            <w:pPr>
              <w:pStyle w:val="13"/>
              <w:spacing w:line="360" w:lineRule="auto"/>
              <w:rPr>
                <w:rFonts w:ascii="宋体"/>
                <w:kern w:val="2"/>
                <w:sz w:val="24"/>
                <w:szCs w:val="24"/>
              </w:rPr>
            </w:pPr>
          </w:p>
        </w:tc>
        <w:tc>
          <w:tcPr>
            <w:tcW w:w="725" w:type="dxa"/>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vAlign w:val="center"/>
          </w:tcPr>
          <w:p>
            <w:pPr>
              <w:pStyle w:val="13"/>
              <w:spacing w:line="360" w:lineRule="auto"/>
              <w:jc w:val="center"/>
              <w:rPr>
                <w:rFonts w:hint="eastAsia" w:ascii="宋体" w:hAnsi="宋体" w:cs="宋体"/>
                <w:color w:val="auto"/>
                <w:kern w:val="2"/>
                <w:sz w:val="24"/>
                <w:szCs w:val="24"/>
                <w:lang w:val="en-US" w:eastAsia="zh-CN"/>
              </w:rPr>
            </w:pPr>
            <w:r>
              <w:rPr>
                <w:rFonts w:hint="eastAsia" w:ascii="宋体" w:hAnsi="宋体" w:cs="宋体"/>
                <w:color w:val="auto"/>
                <w:kern w:val="2"/>
                <w:sz w:val="24"/>
                <w:szCs w:val="24"/>
                <w:lang w:val="en-US" w:eastAsia="zh-CN"/>
              </w:rPr>
              <w:t>6</w:t>
            </w:r>
          </w:p>
        </w:tc>
        <w:tc>
          <w:tcPr>
            <w:tcW w:w="1275" w:type="dxa"/>
            <w:vAlign w:val="center"/>
          </w:tcPr>
          <w:p>
            <w:pPr>
              <w:keepNext w:val="0"/>
              <w:keepLines w:val="0"/>
              <w:widowControl/>
              <w:suppressLineNumbers w:val="0"/>
              <w:jc w:val="center"/>
              <w:textAlignment w:val="center"/>
              <w:rPr>
                <w:rFonts w:hint="eastAsia" w:ascii="ˎ̥" w:hAnsi="ˎ̥"/>
                <w:color w:val="000000"/>
                <w:sz w:val="21"/>
                <w:szCs w:val="21"/>
              </w:rPr>
            </w:pPr>
            <w:r>
              <w:rPr>
                <w:rFonts w:hint="eastAsia" w:ascii="ˎ̥" w:hAnsi="ˎ̥" w:eastAsia="宋体" w:cs="Times New Roman"/>
                <w:color w:val="000000"/>
                <w:kern w:val="0"/>
                <w:sz w:val="21"/>
                <w:szCs w:val="21"/>
                <w:lang w:val="en-US" w:eastAsia="zh-CN" w:bidi="ar-SA"/>
              </w:rPr>
              <w:t>2020301114</w:t>
            </w:r>
            <w:r>
              <w:rPr>
                <w:rFonts w:hint="eastAsia" w:ascii="宋体" w:hAnsi="宋体" w:eastAsia="宋体" w:cs="宋体"/>
                <w:i w:val="0"/>
                <w:color w:val="000000"/>
                <w:kern w:val="0"/>
                <w:sz w:val="32"/>
                <w:szCs w:val="32"/>
                <w:u w:val="none"/>
                <w:lang w:val="en-US" w:eastAsia="zh-CN" w:bidi="ar"/>
              </w:rPr>
              <w:t xml:space="preserve"> </w:t>
            </w:r>
          </w:p>
        </w:tc>
        <w:tc>
          <w:tcPr>
            <w:tcW w:w="2682" w:type="dxa"/>
            <w:vAlign w:val="center"/>
          </w:tcPr>
          <w:p>
            <w:pPr>
              <w:pStyle w:val="13"/>
              <w:spacing w:line="360" w:lineRule="auto"/>
              <w:jc w:val="left"/>
              <w:rPr>
                <w:rFonts w:hint="eastAsia" w:ascii="ˎ̥" w:hAnsi="ˎ̥"/>
                <w:color w:val="000000"/>
                <w:sz w:val="21"/>
                <w:szCs w:val="21"/>
              </w:rPr>
            </w:pPr>
            <w:r>
              <w:rPr>
                <w:rFonts w:hint="eastAsia" w:ascii="ˎ̥" w:hAnsi="ˎ̥"/>
                <w:color w:val="000000"/>
                <w:sz w:val="21"/>
                <w:szCs w:val="21"/>
              </w:rPr>
              <w:t>控制电缆KVV22 4×4</w:t>
            </w:r>
          </w:p>
        </w:tc>
        <w:tc>
          <w:tcPr>
            <w:tcW w:w="1388" w:type="dxa"/>
          </w:tcPr>
          <w:p>
            <w:pPr>
              <w:pStyle w:val="13"/>
              <w:rPr>
                <w:rFonts w:hint="eastAsia" w:ascii="宋体" w:hAnsi="宋体" w:cs="宋体"/>
                <w:kern w:val="2"/>
                <w:sz w:val="24"/>
                <w:szCs w:val="24"/>
              </w:rPr>
            </w:pPr>
          </w:p>
        </w:tc>
        <w:tc>
          <w:tcPr>
            <w:tcW w:w="858" w:type="dxa"/>
          </w:tcPr>
          <w:p>
            <w:pPr>
              <w:pStyle w:val="13"/>
              <w:spacing w:line="360" w:lineRule="auto"/>
              <w:rPr>
                <w:rFonts w:hint="eastAsia" w:ascii="宋体" w:eastAsia="宋体"/>
                <w:kern w:val="2"/>
                <w:sz w:val="24"/>
                <w:szCs w:val="24"/>
                <w:lang w:val="en-US" w:eastAsia="zh-CN"/>
              </w:rPr>
            </w:pPr>
            <w:r>
              <w:rPr>
                <w:rFonts w:hint="eastAsia" w:ascii="宋体"/>
                <w:kern w:val="2"/>
                <w:sz w:val="24"/>
                <w:szCs w:val="24"/>
                <w:lang w:val="en-US" w:eastAsia="zh-CN"/>
              </w:rPr>
              <w:t>400</w:t>
            </w:r>
          </w:p>
        </w:tc>
        <w:tc>
          <w:tcPr>
            <w:tcW w:w="532" w:type="dxa"/>
          </w:tcPr>
          <w:p>
            <w:pPr>
              <w:pStyle w:val="13"/>
              <w:spacing w:line="360" w:lineRule="auto"/>
              <w:rPr>
                <w:rFonts w:hint="eastAsia" w:ascii="宋体" w:cs="宋体"/>
                <w:kern w:val="2"/>
                <w:sz w:val="24"/>
                <w:szCs w:val="24"/>
              </w:rPr>
            </w:pPr>
          </w:p>
        </w:tc>
        <w:tc>
          <w:tcPr>
            <w:tcW w:w="1031" w:type="dxa"/>
          </w:tcPr>
          <w:p>
            <w:pPr>
              <w:pStyle w:val="13"/>
              <w:spacing w:line="360" w:lineRule="auto"/>
              <w:rPr>
                <w:rFonts w:ascii="宋体"/>
                <w:kern w:val="2"/>
                <w:sz w:val="24"/>
                <w:szCs w:val="24"/>
              </w:rPr>
            </w:pPr>
          </w:p>
        </w:tc>
        <w:tc>
          <w:tcPr>
            <w:tcW w:w="1162" w:type="dxa"/>
          </w:tcPr>
          <w:p>
            <w:pPr>
              <w:pStyle w:val="13"/>
              <w:spacing w:line="360" w:lineRule="auto"/>
              <w:rPr>
                <w:rFonts w:ascii="宋体"/>
                <w:kern w:val="2"/>
                <w:sz w:val="24"/>
                <w:szCs w:val="24"/>
              </w:rPr>
            </w:pPr>
          </w:p>
        </w:tc>
        <w:tc>
          <w:tcPr>
            <w:tcW w:w="2492" w:type="dxa"/>
          </w:tcPr>
          <w:p>
            <w:pPr>
              <w:widowControl/>
              <w:rPr>
                <w:rFonts w:ascii="宋体" w:cs="Times New Roman"/>
                <w:sz w:val="24"/>
                <w:szCs w:val="24"/>
              </w:rPr>
            </w:pPr>
          </w:p>
        </w:tc>
        <w:tc>
          <w:tcPr>
            <w:tcW w:w="980" w:type="dxa"/>
          </w:tcPr>
          <w:p>
            <w:pPr>
              <w:pStyle w:val="13"/>
              <w:spacing w:line="360" w:lineRule="auto"/>
              <w:rPr>
                <w:rFonts w:ascii="宋体"/>
                <w:kern w:val="2"/>
                <w:sz w:val="24"/>
                <w:szCs w:val="24"/>
              </w:rPr>
            </w:pPr>
          </w:p>
        </w:tc>
        <w:tc>
          <w:tcPr>
            <w:tcW w:w="725" w:type="dxa"/>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1" w:type="dxa"/>
            <w:vAlign w:val="center"/>
          </w:tcPr>
          <w:p>
            <w:pPr>
              <w:pStyle w:val="13"/>
              <w:spacing w:line="360" w:lineRule="auto"/>
              <w:jc w:val="center"/>
              <w:rPr>
                <w:rFonts w:hint="eastAsia" w:ascii="宋体" w:hAnsi="宋体" w:cs="宋体"/>
                <w:color w:val="FF0000"/>
                <w:kern w:val="2"/>
                <w:sz w:val="24"/>
                <w:szCs w:val="24"/>
                <w:lang w:val="en-US" w:eastAsia="zh-CN"/>
              </w:rPr>
            </w:pPr>
          </w:p>
        </w:tc>
        <w:tc>
          <w:tcPr>
            <w:tcW w:w="1275" w:type="dxa"/>
            <w:vAlign w:val="center"/>
          </w:tcPr>
          <w:p>
            <w:pPr>
              <w:pStyle w:val="13"/>
              <w:spacing w:line="360" w:lineRule="auto"/>
              <w:jc w:val="center"/>
              <w:rPr>
                <w:rFonts w:hint="eastAsia" w:ascii="ˎ̥" w:hAnsi="ˎ̥"/>
                <w:color w:val="000000"/>
                <w:sz w:val="21"/>
                <w:szCs w:val="21"/>
              </w:rPr>
            </w:pPr>
          </w:p>
        </w:tc>
        <w:tc>
          <w:tcPr>
            <w:tcW w:w="2682" w:type="dxa"/>
            <w:vAlign w:val="center"/>
          </w:tcPr>
          <w:p>
            <w:pPr>
              <w:pStyle w:val="13"/>
              <w:spacing w:line="360" w:lineRule="auto"/>
              <w:jc w:val="left"/>
              <w:rPr>
                <w:rFonts w:hint="eastAsia" w:ascii="ˎ̥" w:hAnsi="ˎ̥"/>
                <w:color w:val="000000"/>
                <w:sz w:val="18"/>
                <w:szCs w:val="18"/>
              </w:rPr>
            </w:pPr>
          </w:p>
        </w:tc>
        <w:tc>
          <w:tcPr>
            <w:tcW w:w="1388" w:type="dxa"/>
          </w:tcPr>
          <w:p>
            <w:pPr>
              <w:pStyle w:val="13"/>
              <w:rPr>
                <w:rFonts w:hint="eastAsia" w:ascii="宋体" w:hAnsi="宋体" w:cs="宋体"/>
                <w:kern w:val="2"/>
                <w:sz w:val="24"/>
                <w:szCs w:val="24"/>
              </w:rPr>
            </w:pPr>
          </w:p>
        </w:tc>
        <w:tc>
          <w:tcPr>
            <w:tcW w:w="858" w:type="dxa"/>
          </w:tcPr>
          <w:p>
            <w:pPr>
              <w:pStyle w:val="13"/>
              <w:spacing w:line="360" w:lineRule="auto"/>
              <w:rPr>
                <w:rFonts w:ascii="宋体"/>
                <w:kern w:val="2"/>
                <w:sz w:val="24"/>
                <w:szCs w:val="24"/>
              </w:rPr>
            </w:pPr>
          </w:p>
        </w:tc>
        <w:tc>
          <w:tcPr>
            <w:tcW w:w="532" w:type="dxa"/>
          </w:tcPr>
          <w:p>
            <w:pPr>
              <w:pStyle w:val="13"/>
              <w:spacing w:line="360" w:lineRule="auto"/>
              <w:rPr>
                <w:rFonts w:hint="eastAsia" w:ascii="宋体" w:cs="宋体"/>
                <w:kern w:val="2"/>
                <w:sz w:val="24"/>
                <w:szCs w:val="24"/>
              </w:rPr>
            </w:pPr>
          </w:p>
        </w:tc>
        <w:tc>
          <w:tcPr>
            <w:tcW w:w="1031" w:type="dxa"/>
          </w:tcPr>
          <w:p>
            <w:pPr>
              <w:pStyle w:val="13"/>
              <w:spacing w:line="360" w:lineRule="auto"/>
              <w:rPr>
                <w:rFonts w:ascii="宋体"/>
                <w:kern w:val="2"/>
                <w:sz w:val="24"/>
                <w:szCs w:val="24"/>
              </w:rPr>
            </w:pPr>
          </w:p>
        </w:tc>
        <w:tc>
          <w:tcPr>
            <w:tcW w:w="1162" w:type="dxa"/>
          </w:tcPr>
          <w:p>
            <w:pPr>
              <w:pStyle w:val="13"/>
              <w:spacing w:line="360" w:lineRule="auto"/>
              <w:rPr>
                <w:rFonts w:ascii="宋体"/>
                <w:kern w:val="2"/>
                <w:sz w:val="24"/>
                <w:szCs w:val="24"/>
              </w:rPr>
            </w:pPr>
          </w:p>
        </w:tc>
        <w:tc>
          <w:tcPr>
            <w:tcW w:w="2492" w:type="dxa"/>
          </w:tcPr>
          <w:p>
            <w:pPr>
              <w:widowControl/>
              <w:rPr>
                <w:rFonts w:ascii="宋体" w:cs="Times New Roman"/>
                <w:sz w:val="24"/>
                <w:szCs w:val="24"/>
              </w:rPr>
            </w:pPr>
          </w:p>
        </w:tc>
        <w:tc>
          <w:tcPr>
            <w:tcW w:w="980" w:type="dxa"/>
          </w:tcPr>
          <w:p>
            <w:pPr>
              <w:pStyle w:val="13"/>
              <w:spacing w:line="360" w:lineRule="auto"/>
              <w:rPr>
                <w:rFonts w:ascii="宋体"/>
                <w:kern w:val="2"/>
                <w:sz w:val="24"/>
                <w:szCs w:val="24"/>
              </w:rPr>
            </w:pPr>
          </w:p>
        </w:tc>
        <w:tc>
          <w:tcPr>
            <w:tcW w:w="725" w:type="dxa"/>
          </w:tcPr>
          <w:p>
            <w:pPr>
              <w:pStyle w:val="13"/>
              <w:spacing w:line="360" w:lineRule="auto"/>
              <w:rPr>
                <w:rFonts w:asci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7" w:type="dxa"/>
            <w:gridSpan w:val="7"/>
          </w:tcPr>
          <w:p>
            <w:pPr>
              <w:pStyle w:val="13"/>
              <w:spacing w:line="360" w:lineRule="auto"/>
              <w:jc w:val="center"/>
              <w:rPr>
                <w:rFonts w:ascii="宋体"/>
                <w:kern w:val="2"/>
                <w:sz w:val="24"/>
                <w:szCs w:val="24"/>
              </w:rPr>
            </w:pPr>
            <w:r>
              <w:rPr>
                <w:rFonts w:hint="eastAsia" w:ascii="宋体" w:hAnsi="宋体" w:cs="宋体"/>
                <w:kern w:val="2"/>
                <w:sz w:val="24"/>
                <w:szCs w:val="24"/>
              </w:rPr>
              <w:t>合计</w:t>
            </w:r>
          </w:p>
        </w:tc>
        <w:tc>
          <w:tcPr>
            <w:tcW w:w="5359" w:type="dxa"/>
            <w:gridSpan w:val="4"/>
          </w:tcPr>
          <w:p>
            <w:pPr>
              <w:pStyle w:val="13"/>
              <w:spacing w:line="360" w:lineRule="auto"/>
              <w:rPr>
                <w:rFonts w:ascii="宋体"/>
                <w:kern w:val="2"/>
                <w:sz w:val="24"/>
                <w:szCs w:val="24"/>
              </w:rPr>
            </w:pPr>
          </w:p>
        </w:tc>
      </w:tr>
    </w:tbl>
    <w:p>
      <w:pPr>
        <w:pStyle w:val="13"/>
        <w:spacing w:line="360" w:lineRule="auto"/>
        <w:ind w:firstLine="480" w:firstLineChars="200"/>
        <w:rPr>
          <w:rFonts w:ascii="宋体"/>
          <w:sz w:val="24"/>
          <w:szCs w:val="24"/>
        </w:rPr>
        <w:sectPr>
          <w:pgSz w:w="16838" w:h="11906" w:orient="landscape"/>
          <w:pgMar w:top="1803" w:right="1440" w:bottom="1803" w:left="1440" w:header="851" w:footer="992" w:gutter="0"/>
          <w:cols w:space="0" w:num="1"/>
          <w:docGrid w:type="lines" w:linePitch="319" w:charSpace="0"/>
        </w:sectPr>
      </w:pPr>
    </w:p>
    <w:p>
      <w:pPr>
        <w:pStyle w:val="13"/>
        <w:numPr>
          <w:ilvl w:val="0"/>
          <w:numId w:val="2"/>
        </w:numPr>
        <w:spacing w:line="360" w:lineRule="auto"/>
        <w:ind w:left="0" w:leftChars="0" w:firstLine="0" w:firstLineChars="0"/>
        <w:rPr>
          <w:rFonts w:hint="eastAsia" w:ascii="宋体" w:hAnsi="宋体" w:cs="宋体"/>
          <w:b/>
          <w:bCs/>
          <w:sz w:val="24"/>
          <w:szCs w:val="24"/>
        </w:rPr>
      </w:pPr>
      <w:r>
        <w:rPr>
          <w:rFonts w:hint="eastAsia" w:ascii="宋体" w:hAnsi="宋体" w:cs="宋体"/>
          <w:b/>
          <w:bCs/>
          <w:sz w:val="24"/>
          <w:szCs w:val="24"/>
        </w:rPr>
        <w:t>参数标准</w:t>
      </w:r>
    </w:p>
    <w:p>
      <w:pPr>
        <w:pStyle w:val="13"/>
        <w:spacing w:line="360" w:lineRule="auto"/>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sz w:val="24"/>
          <w:szCs w:val="24"/>
          <w:lang w:eastAsia="zh-CN"/>
        </w:rPr>
        <w:t>电力</w:t>
      </w:r>
      <w:r>
        <w:rPr>
          <w:rFonts w:hint="eastAsia" w:ascii="宋体" w:hAnsi="宋体" w:cs="宋体"/>
          <w:sz w:val="24"/>
          <w:szCs w:val="24"/>
        </w:rPr>
        <w:t>电缆技术参数（</w:t>
      </w:r>
      <w:r>
        <w:rPr>
          <w:rFonts w:hint="eastAsia" w:ascii="ˎ̥" w:hAnsi="ˎ̥"/>
          <w:color w:val="000000"/>
          <w:sz w:val="24"/>
          <w:szCs w:val="24"/>
        </w:rPr>
        <w:t>电力电缆ZR-VV22 2×16</w:t>
      </w:r>
      <w:r>
        <w:rPr>
          <w:rFonts w:hint="eastAsia" w:ascii="ˎ̥" w:hAnsi="ˎ̥"/>
          <w:color w:val="000000"/>
          <w:sz w:val="24"/>
          <w:szCs w:val="24"/>
          <w:lang w:eastAsia="zh-CN"/>
        </w:rPr>
        <w:t>；</w:t>
      </w:r>
      <w:r>
        <w:rPr>
          <w:rFonts w:hint="eastAsia" w:ascii="ˎ̥" w:hAnsi="ˎ̥"/>
          <w:color w:val="000000"/>
          <w:sz w:val="24"/>
          <w:szCs w:val="24"/>
        </w:rPr>
        <w:t>电力电缆ZRC-YJV22 4×16</w:t>
      </w:r>
      <w:r>
        <w:rPr>
          <w:rFonts w:hint="eastAsia" w:ascii="ˎ̥" w:hAnsi="ˎ̥"/>
          <w:color w:val="000000"/>
          <w:sz w:val="24"/>
          <w:szCs w:val="24"/>
          <w:lang w:eastAsia="zh-CN"/>
        </w:rPr>
        <w:t>；</w:t>
      </w:r>
      <w:r>
        <w:rPr>
          <w:rFonts w:hint="eastAsia" w:ascii="ˎ̥" w:hAnsi="ˎ̥"/>
          <w:color w:val="000000"/>
          <w:sz w:val="24"/>
          <w:szCs w:val="24"/>
        </w:rPr>
        <w:t>控制电缆KVV22 4×4</w:t>
      </w:r>
      <w:r>
        <w:rPr>
          <w:rFonts w:hint="eastAsia" w:ascii="宋体" w:hAnsi="宋体" w:cs="宋体"/>
          <w:sz w:val="24"/>
          <w:szCs w:val="24"/>
        </w:rPr>
        <w:t>）：</w:t>
      </w:r>
    </w:p>
    <w:p>
      <w:pPr>
        <w:pStyle w:val="13"/>
        <w:spacing w:line="360" w:lineRule="auto"/>
        <w:ind w:firstLine="480" w:firstLineChars="200"/>
        <w:rPr>
          <w:rFonts w:ascii="宋体" w:cs="宋体"/>
          <w:color w:val="auto"/>
          <w:sz w:val="24"/>
          <w:szCs w:val="24"/>
        </w:rPr>
      </w:pPr>
      <w:r>
        <w:rPr>
          <w:rFonts w:ascii="宋体" w:hAnsi="宋体" w:cs="宋体"/>
          <w:sz w:val="24"/>
          <w:szCs w:val="24"/>
        </w:rPr>
        <w:t>1.</w:t>
      </w:r>
      <w:r>
        <w:rPr>
          <w:rFonts w:hint="eastAsia" w:ascii="宋体" w:hAnsi="宋体" w:cs="宋体"/>
          <w:sz w:val="24"/>
          <w:szCs w:val="24"/>
        </w:rPr>
        <w:t>绝缘种类：</w:t>
      </w:r>
      <w:r>
        <w:rPr>
          <w:rFonts w:ascii="Arial" w:hAnsi="Arial" w:cs="Arial"/>
          <w:color w:val="auto"/>
          <w:sz w:val="24"/>
          <w:szCs w:val="24"/>
        </w:rPr>
        <w:t>交联聚乙烯</w:t>
      </w:r>
    </w:p>
    <w:p>
      <w:pPr>
        <w:pStyle w:val="13"/>
        <w:spacing w:line="360" w:lineRule="auto"/>
        <w:ind w:firstLine="480" w:firstLineChars="200"/>
        <w:rPr>
          <w:rFonts w:hint="eastAsia" w:eastAsia="宋体" w:asciiTheme="minorEastAsia" w:hAnsiTheme="minorEastAsia"/>
          <w:spacing w:val="2"/>
          <w:kern w:val="2"/>
          <w:sz w:val="24"/>
          <w:szCs w:val="24"/>
          <w:lang w:val="en-US" w:eastAsia="zh-CN"/>
        </w:rPr>
      </w:pPr>
      <w:r>
        <w:rPr>
          <w:rFonts w:ascii="宋体" w:hAnsi="宋体" w:cs="宋体"/>
          <w:sz w:val="24"/>
          <w:szCs w:val="24"/>
        </w:rPr>
        <w:t>2.</w:t>
      </w:r>
      <w:r>
        <w:rPr>
          <w:rFonts w:asciiTheme="minorEastAsia" w:hAnsiTheme="minorEastAsia" w:eastAsiaTheme="minorEastAsia"/>
          <w:spacing w:val="2"/>
          <w:kern w:val="2"/>
          <w:sz w:val="24"/>
          <w:szCs w:val="24"/>
        </w:rPr>
        <w:t>额定电压</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0.6/1.0kV</w:t>
      </w:r>
    </w:p>
    <w:p>
      <w:pPr>
        <w:pStyle w:val="13"/>
        <w:spacing w:line="360" w:lineRule="auto"/>
        <w:ind w:firstLine="480" w:firstLineChars="200"/>
        <w:rPr>
          <w:rFonts w:ascii="宋体" w:cs="宋体"/>
          <w:sz w:val="24"/>
          <w:szCs w:val="24"/>
          <w:highlight w:val="yellow"/>
        </w:rPr>
      </w:pPr>
      <w:r>
        <w:rPr>
          <w:rFonts w:ascii="宋体" w:hAnsi="宋体" w:cs="宋体"/>
          <w:sz w:val="24"/>
          <w:szCs w:val="24"/>
        </w:rPr>
        <w:t>3.</w:t>
      </w:r>
      <w:r>
        <w:rPr>
          <w:rFonts w:asciiTheme="minorEastAsia" w:hAnsiTheme="minorEastAsia" w:eastAsiaTheme="minorEastAsia"/>
          <w:spacing w:val="2"/>
          <w:kern w:val="2"/>
          <w:sz w:val="24"/>
          <w:szCs w:val="24"/>
        </w:rPr>
        <w:t>额定频率</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50 Hz</w:t>
      </w:r>
    </w:p>
    <w:p>
      <w:pPr>
        <w:pStyle w:val="13"/>
        <w:spacing w:line="360" w:lineRule="auto"/>
        <w:ind w:left="4439" w:leftChars="228" w:hanging="3960" w:hangingChars="1650"/>
        <w:rPr>
          <w:rFonts w:cs="宋体" w:asciiTheme="minorEastAsia" w:hAnsiTheme="minorEastAsia" w:eastAsiaTheme="minorEastAsia"/>
          <w:sz w:val="24"/>
          <w:szCs w:val="24"/>
        </w:rPr>
      </w:pPr>
      <w:r>
        <w:rPr>
          <w:rFonts w:ascii="宋体" w:hAnsi="宋体" w:cs="宋体"/>
          <w:sz w:val="24"/>
          <w:szCs w:val="24"/>
        </w:rPr>
        <w:t>4.</w:t>
      </w:r>
      <w:r>
        <w:rPr>
          <w:spacing w:val="2"/>
          <w:kern w:val="2"/>
          <w:sz w:val="24"/>
          <w:szCs w:val="24"/>
        </w:rPr>
        <w:t>线芯导体长期允许工作温度</w:t>
      </w:r>
      <w:r>
        <w:rPr>
          <w:rFonts w:hint="eastAsia" w:ascii="宋体" w:hAnsi="宋体" w:cs="宋体"/>
          <w:sz w:val="24"/>
          <w:szCs w:val="24"/>
        </w:rPr>
        <w:t>：</w:t>
      </w:r>
      <w:r>
        <w:rPr>
          <w:rFonts w:asciiTheme="minorEastAsia" w:hAnsiTheme="minorEastAsia" w:eastAsiaTheme="minorEastAsia"/>
          <w:spacing w:val="2"/>
          <w:kern w:val="2"/>
          <w:sz w:val="24"/>
          <w:szCs w:val="24"/>
        </w:rPr>
        <w:t>90</w:t>
      </w:r>
      <w:r>
        <w:rPr>
          <w:rFonts w:hint="eastAsia" w:cs="宋体" w:asciiTheme="minorEastAsia" w:hAnsiTheme="minorEastAsia" w:eastAsiaTheme="minorEastAsia"/>
          <w:spacing w:val="2"/>
          <w:kern w:val="2"/>
          <w:sz w:val="24"/>
          <w:szCs w:val="24"/>
        </w:rPr>
        <w:t>℃</w:t>
      </w:r>
    </w:p>
    <w:p>
      <w:pPr>
        <w:pStyle w:val="13"/>
        <w:spacing w:line="360" w:lineRule="auto"/>
        <w:ind w:left="4439" w:leftChars="228" w:hanging="3960" w:hangingChars="1650"/>
        <w:rPr>
          <w:rFonts w:ascii="宋体" w:cs="宋体"/>
          <w:sz w:val="24"/>
          <w:szCs w:val="24"/>
        </w:rPr>
      </w:pPr>
      <w:r>
        <w:rPr>
          <w:rFonts w:cs="宋体" w:asciiTheme="minorEastAsia" w:hAnsiTheme="minorEastAsia" w:eastAsiaTheme="minorEastAsia"/>
          <w:sz w:val="24"/>
          <w:szCs w:val="24"/>
        </w:rPr>
        <w:t>5.</w:t>
      </w:r>
      <w:r>
        <w:rPr>
          <w:rFonts w:asciiTheme="minorEastAsia" w:hAnsiTheme="minorEastAsia" w:eastAsiaTheme="minorEastAsia"/>
          <w:spacing w:val="2"/>
          <w:kern w:val="2"/>
          <w:sz w:val="24"/>
          <w:szCs w:val="24"/>
        </w:rPr>
        <w:t>短路时电缆导体的最高温度（≤5s）</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250</w:t>
      </w:r>
      <w:r>
        <w:rPr>
          <w:rFonts w:hint="eastAsia" w:cs="宋体" w:asciiTheme="minorEastAsia" w:hAnsiTheme="minorEastAsia" w:eastAsiaTheme="minorEastAsia"/>
          <w:spacing w:val="2"/>
          <w:kern w:val="2"/>
          <w:sz w:val="24"/>
          <w:szCs w:val="24"/>
        </w:rPr>
        <w:t>℃</w:t>
      </w:r>
    </w:p>
    <w:p>
      <w:pPr>
        <w:pStyle w:val="13"/>
        <w:spacing w:line="360" w:lineRule="auto"/>
        <w:ind w:firstLine="480" w:firstLineChars="200"/>
        <w:rPr>
          <w:rFonts w:hint="eastAsia" w:ascii="宋体" w:hAnsi="宋体" w:cs="宋体"/>
          <w:sz w:val="24"/>
          <w:szCs w:val="24"/>
        </w:rPr>
      </w:pPr>
      <w:r>
        <w:rPr>
          <w:rFonts w:ascii="宋体" w:hAnsi="宋体" w:cs="宋体"/>
          <w:sz w:val="24"/>
          <w:szCs w:val="24"/>
        </w:rPr>
        <w:t>6</w:t>
      </w:r>
      <w:r>
        <w:rPr>
          <w:rFonts w:ascii="宋体" w:hAnsi="宋体" w:cs="宋体"/>
          <w:color w:val="FF0000"/>
          <w:sz w:val="24"/>
          <w:szCs w:val="24"/>
        </w:rPr>
        <w:t>.</w:t>
      </w:r>
      <w:r>
        <w:rPr>
          <w:rFonts w:hint="eastAsia"/>
          <w:spacing w:val="2"/>
          <w:kern w:val="2"/>
          <w:sz w:val="24"/>
          <w:szCs w:val="24"/>
        </w:rPr>
        <w:t>规格尺寸</w:t>
      </w:r>
      <w:r>
        <w:rPr>
          <w:rFonts w:hint="eastAsia" w:ascii="宋体" w:hAnsi="宋体" w:cs="宋体"/>
          <w:sz w:val="24"/>
          <w:szCs w:val="24"/>
        </w:rPr>
        <w:t>：芯数和截面尺寸</w:t>
      </w:r>
    </w:p>
    <w:p>
      <w:pPr>
        <w:pStyle w:val="13"/>
        <w:spacing w:line="360" w:lineRule="auto"/>
        <w:ind w:firstLine="480" w:firstLineChars="200"/>
        <w:rPr>
          <w:rFonts w:hint="eastAsia" w:ascii="宋体" w:hAnsi="宋体" w:cs="宋体"/>
          <w:sz w:val="24"/>
          <w:szCs w:val="24"/>
          <w:highlight w:val="none"/>
          <w:lang w:val="en-US" w:eastAsia="zh-CN"/>
        </w:rPr>
      </w:pPr>
      <w:r>
        <w:rPr>
          <w:rFonts w:hint="eastAsia" w:ascii="ˎ̥" w:hAnsi="ˎ̥"/>
          <w:color w:val="000000"/>
          <w:sz w:val="24"/>
          <w:szCs w:val="24"/>
        </w:rPr>
        <w:t>电力电缆ZR-VV22 2×16</w:t>
      </w:r>
      <w:r>
        <w:rPr>
          <w:rFonts w:hint="eastAsia" w:ascii="ˎ̥" w:hAnsi="ˎ̥"/>
          <w:color w:val="00000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cs="宋体"/>
          <w:sz w:val="24"/>
          <w:szCs w:val="24"/>
          <w:highlight w:val="none"/>
          <w:lang w:val="en-US" w:eastAsia="zh-CN"/>
        </w:rPr>
        <w:t>芯数：两芯、截面尺寸：16mm2</w:t>
      </w:r>
    </w:p>
    <w:p>
      <w:pPr>
        <w:pStyle w:val="13"/>
        <w:spacing w:line="360" w:lineRule="auto"/>
        <w:ind w:firstLine="480" w:firstLineChars="200"/>
        <w:rPr>
          <w:rFonts w:hint="eastAsia" w:ascii="宋体" w:hAnsi="宋体" w:cs="宋体"/>
          <w:sz w:val="24"/>
          <w:szCs w:val="24"/>
          <w:highlight w:val="none"/>
          <w:lang w:val="en-US" w:eastAsia="zh-CN"/>
        </w:rPr>
      </w:pPr>
      <w:r>
        <w:rPr>
          <w:rFonts w:hint="eastAsia" w:ascii="ˎ̥" w:hAnsi="ˎ̥"/>
          <w:color w:val="000000"/>
          <w:sz w:val="24"/>
          <w:szCs w:val="24"/>
        </w:rPr>
        <w:t>电力电缆ZRC-YJV22 4×16</w:t>
      </w:r>
      <w:r>
        <w:rPr>
          <w:rFonts w:hint="eastAsia" w:ascii="宋体" w:hAnsi="宋体" w:cs="宋体"/>
          <w:sz w:val="24"/>
          <w:szCs w:val="24"/>
          <w:highlight w:val="none"/>
          <w:lang w:val="en-US" w:eastAsia="zh-CN"/>
        </w:rPr>
        <w:t xml:space="preserve">  芯数：四芯、截面尺寸：16mm2</w:t>
      </w:r>
    </w:p>
    <w:p>
      <w:pPr>
        <w:pStyle w:val="13"/>
        <w:spacing w:line="360" w:lineRule="auto"/>
        <w:ind w:firstLine="480" w:firstLineChars="200"/>
        <w:rPr>
          <w:rFonts w:hint="eastAsia" w:ascii="宋体" w:hAnsi="宋体" w:cs="宋体"/>
          <w:sz w:val="24"/>
          <w:szCs w:val="24"/>
          <w:highlight w:val="none"/>
          <w:lang w:val="en-US" w:eastAsia="zh-CN"/>
        </w:rPr>
      </w:pPr>
      <w:r>
        <w:rPr>
          <w:rFonts w:hint="eastAsia" w:ascii="ˎ̥" w:hAnsi="ˎ̥"/>
          <w:color w:val="000000"/>
          <w:sz w:val="24"/>
          <w:szCs w:val="24"/>
        </w:rPr>
        <w:t>控制电缆KVV22 4×4</w:t>
      </w:r>
      <w:r>
        <w:rPr>
          <w:rFonts w:hint="eastAsia" w:ascii="ˎ̥" w:hAnsi="ˎ̥"/>
          <w:color w:val="000000"/>
          <w:sz w:val="24"/>
          <w:szCs w:val="24"/>
          <w:lang w:val="en-US" w:eastAsia="zh-CN"/>
        </w:rPr>
        <w:t xml:space="preserve">       </w:t>
      </w:r>
      <w:r>
        <w:rPr>
          <w:rFonts w:hint="eastAsia" w:ascii="宋体" w:hAnsi="宋体" w:cs="宋体"/>
          <w:sz w:val="24"/>
          <w:szCs w:val="24"/>
          <w:highlight w:val="none"/>
          <w:lang w:val="en-US" w:eastAsia="zh-CN"/>
        </w:rPr>
        <w:t>芯数：四芯、截面尺寸：4mm2</w:t>
      </w:r>
    </w:p>
    <w:p>
      <w:pPr>
        <w:pStyle w:val="13"/>
        <w:spacing w:line="360" w:lineRule="auto"/>
        <w:ind w:firstLine="480" w:firstLineChars="200"/>
        <w:rPr>
          <w:rFonts w:ascii="宋体" w:cs="宋体"/>
          <w:color w:val="auto"/>
          <w:sz w:val="24"/>
          <w:szCs w:val="24"/>
        </w:rPr>
      </w:pPr>
      <w:r>
        <w:rPr>
          <w:rFonts w:ascii="宋体" w:hAnsi="宋体" w:cs="宋体"/>
          <w:sz w:val="24"/>
          <w:szCs w:val="24"/>
        </w:rPr>
        <w:t>7.</w:t>
      </w:r>
      <w:r>
        <w:rPr>
          <w:rFonts w:hint="eastAsia"/>
          <w:spacing w:val="2"/>
          <w:kern w:val="2"/>
          <w:sz w:val="24"/>
          <w:szCs w:val="24"/>
        </w:rPr>
        <w:t>导线材料</w:t>
      </w:r>
      <w:r>
        <w:rPr>
          <w:rFonts w:hint="eastAsia" w:ascii="宋体" w:hAnsi="宋体" w:cs="宋体"/>
          <w:color w:val="auto"/>
          <w:sz w:val="24"/>
          <w:szCs w:val="24"/>
        </w:rPr>
        <w:t>：铜</w:t>
      </w:r>
    </w:p>
    <w:p>
      <w:pPr>
        <w:pStyle w:val="13"/>
        <w:spacing w:line="360" w:lineRule="auto"/>
        <w:ind w:firstLine="480" w:firstLineChars="200"/>
        <w:rPr>
          <w:rFonts w:ascii="宋体" w:cs="宋体"/>
          <w:sz w:val="24"/>
          <w:szCs w:val="24"/>
        </w:rPr>
      </w:pPr>
      <w:r>
        <w:rPr>
          <w:rFonts w:ascii="宋体" w:hAnsi="宋体" w:cs="宋体"/>
          <w:color w:val="auto"/>
          <w:sz w:val="24"/>
          <w:szCs w:val="24"/>
        </w:rPr>
        <w:t>8.</w:t>
      </w:r>
      <w:r>
        <w:rPr>
          <w:color w:val="auto"/>
          <w:spacing w:val="2"/>
          <w:kern w:val="2"/>
          <w:sz w:val="24"/>
          <w:szCs w:val="24"/>
        </w:rPr>
        <w:t>安装方式</w:t>
      </w:r>
      <w:r>
        <w:rPr>
          <w:rFonts w:hint="eastAsia" w:ascii="宋体" w:hAnsi="宋体" w:cs="宋体"/>
          <w:color w:val="auto"/>
          <w:sz w:val="24"/>
          <w:szCs w:val="24"/>
        </w:rPr>
        <w:t>：</w:t>
      </w:r>
      <w:r>
        <w:rPr>
          <w:rFonts w:ascii="宋体" w:hAnsi="宋体" w:cs="宋体"/>
          <w:sz w:val="24"/>
          <w:szCs w:val="24"/>
        </w:rPr>
        <w:t>埋地敷设</w:t>
      </w:r>
    </w:p>
    <w:p>
      <w:pPr>
        <w:pStyle w:val="13"/>
        <w:spacing w:line="360" w:lineRule="auto"/>
        <w:ind w:left="719" w:leftChars="228" w:hanging="240" w:hangingChars="100"/>
        <w:rPr>
          <w:rFonts w:ascii="宋体" w:cs="宋体"/>
          <w:sz w:val="24"/>
          <w:szCs w:val="24"/>
        </w:rPr>
      </w:pPr>
      <w:r>
        <w:rPr>
          <w:rFonts w:hint="eastAsia" w:ascii="宋体" w:hAnsi="宋体" w:cs="宋体"/>
          <w:sz w:val="24"/>
          <w:szCs w:val="24"/>
        </w:rPr>
        <w:t>9</w:t>
      </w:r>
      <w:r>
        <w:rPr>
          <w:rFonts w:ascii="宋体" w:hAnsi="宋体" w:cs="宋体"/>
          <w:sz w:val="24"/>
          <w:szCs w:val="24"/>
        </w:rPr>
        <w:t>.</w:t>
      </w:r>
      <w:r>
        <w:rPr>
          <w:rFonts w:ascii="Arial" w:hAnsi="Arial" w:cs="Arial"/>
          <w:color w:val="333333"/>
          <w:sz w:val="24"/>
          <w:szCs w:val="24"/>
        </w:rPr>
        <w:t>内护层</w:t>
      </w:r>
      <w:r>
        <w:rPr>
          <w:rFonts w:hint="eastAsia" w:ascii="宋体" w:hAnsi="宋体" w:cs="宋体"/>
          <w:sz w:val="24"/>
          <w:szCs w:val="24"/>
        </w:rPr>
        <w:t>：</w:t>
      </w:r>
      <w:r>
        <w:rPr>
          <w:rFonts w:ascii="宋体" w:hAnsi="宋体" w:cs="宋体"/>
          <w:sz w:val="24"/>
          <w:szCs w:val="24"/>
        </w:rPr>
        <w:t>聚氯乙烯护套</w:t>
      </w:r>
    </w:p>
    <w:p>
      <w:pPr>
        <w:pStyle w:val="13"/>
        <w:spacing w:line="360" w:lineRule="auto"/>
        <w:ind w:firstLine="480" w:firstLineChars="200"/>
        <w:rPr>
          <w:rFonts w:ascii="宋体" w:cs="宋体"/>
          <w:sz w:val="24"/>
          <w:szCs w:val="24"/>
        </w:rPr>
      </w:pPr>
      <w:r>
        <w:rPr>
          <w:rFonts w:hint="eastAsia" w:ascii="宋体" w:hAnsi="宋体" w:cs="宋体"/>
          <w:sz w:val="24"/>
          <w:szCs w:val="24"/>
        </w:rPr>
        <w:t>10</w:t>
      </w:r>
      <w:r>
        <w:rPr>
          <w:rFonts w:ascii="宋体" w:hAnsi="宋体" w:cs="宋体"/>
          <w:sz w:val="24"/>
          <w:szCs w:val="24"/>
        </w:rPr>
        <w:t>.</w:t>
      </w:r>
      <w:r>
        <w:rPr>
          <w:rFonts w:ascii="Arial" w:hAnsi="Arial" w:cs="Arial"/>
          <w:color w:val="333333"/>
          <w:sz w:val="24"/>
          <w:szCs w:val="24"/>
        </w:rPr>
        <w:t>特征</w:t>
      </w:r>
      <w:r>
        <w:rPr>
          <w:rFonts w:hint="eastAsia" w:ascii="宋体" w:hAnsi="宋体" w:cs="宋体"/>
          <w:sz w:val="24"/>
          <w:szCs w:val="24"/>
        </w:rPr>
        <w:t>：</w:t>
      </w:r>
      <w:r>
        <w:rPr>
          <w:rFonts w:ascii="宋体" w:hAnsi="宋体" w:cs="宋体"/>
          <w:sz w:val="24"/>
          <w:szCs w:val="24"/>
        </w:rPr>
        <w:t>分相//屏蔽</w:t>
      </w:r>
    </w:p>
    <w:p>
      <w:pPr>
        <w:pStyle w:val="13"/>
        <w:spacing w:line="360" w:lineRule="auto"/>
        <w:ind w:firstLine="480" w:firstLineChars="200"/>
        <w:rPr>
          <w:rFonts w:ascii="宋体" w:cs="宋体"/>
          <w:sz w:val="24"/>
          <w:szCs w:val="24"/>
        </w:rPr>
      </w:pPr>
      <w:r>
        <w:rPr>
          <w:rFonts w:hint="eastAsia" w:ascii="宋体" w:hAnsi="宋体" w:cs="宋体"/>
          <w:sz w:val="24"/>
          <w:szCs w:val="24"/>
        </w:rPr>
        <w:t>11</w:t>
      </w:r>
      <w:r>
        <w:rPr>
          <w:rFonts w:ascii="宋体" w:hAnsi="宋体" w:cs="宋体"/>
          <w:sz w:val="24"/>
          <w:szCs w:val="24"/>
        </w:rPr>
        <w:t>.</w:t>
      </w:r>
      <w:r>
        <w:rPr>
          <w:rFonts w:ascii="Arial" w:hAnsi="Arial" w:cs="Arial"/>
          <w:color w:val="333333"/>
          <w:sz w:val="24"/>
          <w:szCs w:val="24"/>
        </w:rPr>
        <w:t>铠装层</w:t>
      </w:r>
      <w:r>
        <w:rPr>
          <w:rFonts w:hint="eastAsia" w:ascii="宋体" w:hAnsi="宋体" w:cs="宋体"/>
          <w:sz w:val="24"/>
          <w:szCs w:val="24"/>
        </w:rPr>
        <w:t>：</w:t>
      </w:r>
      <w:r>
        <w:rPr>
          <w:rFonts w:ascii="宋体" w:hAnsi="宋体" w:cs="宋体"/>
          <w:sz w:val="24"/>
          <w:szCs w:val="24"/>
        </w:rPr>
        <w:t>双钢带</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w:t>
      </w:r>
      <w:r>
        <w:rPr>
          <w:rFonts w:ascii="宋体" w:hAnsi="宋体" w:cs="宋体"/>
          <w:sz w:val="24"/>
          <w:szCs w:val="24"/>
        </w:rPr>
        <w:t>.</w:t>
      </w:r>
      <w:r>
        <w:rPr>
          <w:rFonts w:ascii="Arial" w:hAnsi="Arial" w:cs="Arial"/>
          <w:color w:val="333333"/>
          <w:sz w:val="24"/>
          <w:szCs w:val="24"/>
        </w:rPr>
        <w:t>外被层</w:t>
      </w:r>
      <w:r>
        <w:rPr>
          <w:rFonts w:hint="eastAsia" w:ascii="宋体" w:hAnsi="宋体" w:cs="宋体"/>
          <w:sz w:val="24"/>
          <w:szCs w:val="24"/>
        </w:rPr>
        <w:t>：</w:t>
      </w:r>
      <w:r>
        <w:rPr>
          <w:rFonts w:ascii="宋体" w:hAnsi="宋体" w:cs="宋体"/>
          <w:sz w:val="24"/>
          <w:szCs w:val="24"/>
        </w:rPr>
        <w:t>聚氯乙烯护套</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w:t>
      </w:r>
      <w:r>
        <w:rPr>
          <w:rFonts w:ascii="宋体" w:hAnsi="宋体" w:cs="宋体"/>
          <w:sz w:val="24"/>
          <w:szCs w:val="24"/>
        </w:rPr>
        <w:t>.</w:t>
      </w:r>
      <w:r>
        <w:rPr>
          <w:rFonts w:asciiTheme="minorEastAsia" w:hAnsiTheme="minorEastAsia" w:eastAsiaTheme="minorEastAsia"/>
          <w:spacing w:val="4"/>
          <w:sz w:val="24"/>
          <w:szCs w:val="24"/>
        </w:rPr>
        <w:t>不圆度</w:t>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不圆度应不大于10%</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4</w:t>
      </w:r>
      <w:r>
        <w:rPr>
          <w:rFonts w:ascii="宋体" w:hAnsi="宋体" w:cs="宋体"/>
          <w:sz w:val="24"/>
          <w:szCs w:val="24"/>
        </w:rPr>
        <w:t>.</w:t>
      </w:r>
      <w:r>
        <w:rPr>
          <w:rFonts w:asciiTheme="minorEastAsia" w:hAnsiTheme="minorEastAsia" w:eastAsiaTheme="minorEastAsia"/>
          <w:spacing w:val="4"/>
          <w:sz w:val="24"/>
          <w:szCs w:val="24"/>
        </w:rPr>
        <w:t>阻燃要求</w:t>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需符合GB/T 19666的相关规定</w:t>
      </w:r>
    </w:p>
    <w:p>
      <w:pPr>
        <w:pStyle w:val="13"/>
        <w:spacing w:line="360" w:lineRule="auto"/>
        <w:ind w:left="2039" w:leftChars="228" w:hanging="1560" w:hangingChars="650"/>
        <w:rPr>
          <w:rFonts w:hint="eastAsia" w:ascii="宋体" w:hAnsi="宋体" w:cs="宋体"/>
          <w:sz w:val="24"/>
          <w:szCs w:val="24"/>
        </w:rPr>
      </w:pPr>
      <w:r>
        <w:rPr>
          <w:rFonts w:ascii="宋体" w:hAnsi="宋体" w:cs="宋体"/>
          <w:sz w:val="24"/>
          <w:szCs w:val="24"/>
        </w:rPr>
        <w:t>1</w:t>
      </w:r>
      <w:r>
        <w:rPr>
          <w:rFonts w:hint="eastAsia" w:ascii="宋体" w:hAnsi="宋体" w:cs="宋体"/>
          <w:sz w:val="24"/>
          <w:szCs w:val="24"/>
        </w:rPr>
        <w:t>5</w:t>
      </w:r>
      <w:r>
        <w:rPr>
          <w:rFonts w:ascii="宋体" w:hAnsi="宋体" w:cs="宋体"/>
          <w:sz w:val="24"/>
          <w:szCs w:val="24"/>
        </w:rPr>
        <w:t>.</w:t>
      </w:r>
      <w:r>
        <w:rPr>
          <w:rFonts w:hint="eastAsia" w:ascii="宋体" w:hAnsi="宋体" w:cs="宋体"/>
          <w:sz w:val="24"/>
          <w:szCs w:val="24"/>
        </w:rPr>
        <w:t>质量标准：必须符合</w:t>
      </w:r>
      <w:r>
        <w:rPr>
          <w:rFonts w:hint="eastAsia" w:ascii="宋体" w:hAnsi="宋体"/>
          <w:kern w:val="2"/>
          <w:sz w:val="21"/>
          <w:szCs w:val="21"/>
        </w:rPr>
        <w:t>《</w:t>
      </w:r>
      <w:r>
        <w:rPr>
          <w:rFonts w:hint="eastAsia" w:ascii="宋体" w:hAnsi="宋体" w:cs="宋体"/>
          <w:sz w:val="24"/>
          <w:szCs w:val="24"/>
        </w:rPr>
        <w:t>电线电缆国家标准汇编》标准</w:t>
      </w:r>
    </w:p>
    <w:p>
      <w:pPr>
        <w:pStyle w:val="13"/>
        <w:spacing w:line="360" w:lineRule="auto"/>
        <w:ind w:left="2065" w:leftChars="228" w:hanging="1586" w:hangingChars="650"/>
        <w:rPr>
          <w:rFonts w:ascii="宋体" w:cs="宋体"/>
          <w:sz w:val="24"/>
          <w:szCs w:val="24"/>
        </w:rPr>
      </w:pPr>
      <w:r>
        <w:rPr>
          <w:rFonts w:hint="eastAsia"/>
          <w:spacing w:val="2"/>
          <w:kern w:val="2"/>
          <w:sz w:val="24"/>
          <w:szCs w:val="24"/>
        </w:rPr>
        <w:t>导线材料为</w:t>
      </w:r>
      <w:r>
        <w:rPr>
          <w:rFonts w:hint="eastAsia" w:ascii="宋体" w:hAnsi="宋体" w:cs="宋体"/>
          <w:sz w:val="24"/>
          <w:szCs w:val="24"/>
        </w:rPr>
        <w:t>铝合金执行</w:t>
      </w:r>
      <w:r>
        <w:rPr>
          <w:rFonts w:asciiTheme="minorEastAsia" w:hAnsiTheme="minorEastAsia" w:eastAsiaTheme="minorEastAsia"/>
          <w:sz w:val="24"/>
          <w:szCs w:val="24"/>
        </w:rPr>
        <w:t xml:space="preserve">GB/T </w:t>
      </w:r>
      <w:r>
        <w:rPr>
          <w:rFonts w:hint="eastAsia" w:ascii="宋体" w:hAnsi="宋体" w:cs="宋体"/>
          <w:sz w:val="24"/>
          <w:szCs w:val="24"/>
        </w:rPr>
        <w:t>31840-2015标准</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6</w:t>
      </w:r>
      <w:r>
        <w:rPr>
          <w:rFonts w:ascii="宋体" w:hAnsi="宋体" w:cs="宋体"/>
          <w:sz w:val="24"/>
          <w:szCs w:val="24"/>
        </w:rPr>
        <w:t>.</w:t>
      </w:r>
      <w:r>
        <w:rPr>
          <w:rFonts w:hint="eastAsia" w:ascii="宋体" w:hAnsi="宋体" w:cs="宋体"/>
          <w:sz w:val="24"/>
          <w:szCs w:val="24"/>
        </w:rPr>
        <w:t>导体直流电阻：执行</w:t>
      </w:r>
      <w:r>
        <w:rPr>
          <w:rFonts w:ascii="宋体" w:hAnsi="宋体" w:cs="宋体"/>
          <w:sz w:val="24"/>
          <w:szCs w:val="24"/>
        </w:rPr>
        <w:t xml:space="preserve">GB/T </w:t>
      </w:r>
      <w:r>
        <w:rPr>
          <w:rFonts w:hint="eastAsia" w:ascii="宋体" w:hAnsi="宋体" w:cs="宋体"/>
          <w:sz w:val="24"/>
          <w:szCs w:val="24"/>
        </w:rPr>
        <w:t>3956-2008标准</w:t>
      </w:r>
    </w:p>
    <w:p>
      <w:pPr>
        <w:pStyle w:val="13"/>
        <w:spacing w:line="360" w:lineRule="auto"/>
        <w:ind w:firstLine="480" w:firstLineChars="200"/>
        <w:rPr>
          <w:rFonts w:hint="eastAsia" w:ascii="宋体" w:hAnsi="宋体" w:cs="宋体"/>
          <w:b/>
          <w:bCs/>
          <w:sz w:val="24"/>
          <w:szCs w:val="24"/>
        </w:rPr>
      </w:pPr>
      <w:r>
        <w:rPr>
          <w:rFonts w:ascii="宋体" w:hAnsi="宋体" w:cs="宋体"/>
          <w:sz w:val="24"/>
          <w:szCs w:val="24"/>
        </w:rPr>
        <w:t>1</w:t>
      </w:r>
      <w:r>
        <w:rPr>
          <w:rFonts w:hint="eastAsia" w:ascii="宋体" w:hAnsi="宋体" w:cs="宋体"/>
          <w:sz w:val="24"/>
          <w:szCs w:val="24"/>
        </w:rPr>
        <w:t>7</w:t>
      </w:r>
      <w:r>
        <w:rPr>
          <w:rFonts w:ascii="宋体" w:hAnsi="宋体" w:cs="宋体"/>
          <w:sz w:val="24"/>
          <w:szCs w:val="24"/>
        </w:rPr>
        <w:t>.</w:t>
      </w:r>
      <w:r>
        <w:rPr>
          <w:rFonts w:hint="eastAsia" w:ascii="宋体" w:hAnsi="宋体" w:cs="宋体"/>
          <w:sz w:val="24"/>
          <w:szCs w:val="24"/>
        </w:rPr>
        <w:t>材料特性：</w:t>
      </w:r>
      <w:r>
        <w:rPr>
          <w:rFonts w:ascii="宋体" w:hAnsi="宋体" w:cs="宋体"/>
          <w:sz w:val="24"/>
          <w:szCs w:val="24"/>
        </w:rPr>
        <w:t>阻燃</w:t>
      </w:r>
      <w:r>
        <w:rPr>
          <w:rFonts w:asciiTheme="minorEastAsia" w:hAnsiTheme="minorEastAsia" w:eastAsiaTheme="minorEastAsia"/>
          <w:spacing w:val="2"/>
          <w:kern w:val="2"/>
          <w:sz w:val="24"/>
          <w:szCs w:val="24"/>
        </w:rPr>
        <w:t>/耐火/防火</w:t>
      </w:r>
    </w:p>
    <w:p>
      <w:pPr>
        <w:pStyle w:val="13"/>
        <w:spacing w:line="360" w:lineRule="auto"/>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二</w:t>
      </w:r>
      <w:r>
        <w:rPr>
          <w:rFonts w:hint="eastAsia" w:ascii="宋体" w:hAnsi="宋体" w:cs="宋体"/>
          <w:sz w:val="24"/>
          <w:szCs w:val="24"/>
        </w:rPr>
        <w:t>）</w:t>
      </w:r>
      <w:r>
        <w:rPr>
          <w:rFonts w:hint="eastAsia" w:ascii="宋体" w:hAnsi="宋体" w:cs="宋体"/>
          <w:sz w:val="24"/>
          <w:szCs w:val="24"/>
          <w:lang w:eastAsia="zh-CN"/>
        </w:rPr>
        <w:t>补偿导线、计算机</w:t>
      </w:r>
      <w:r>
        <w:rPr>
          <w:rFonts w:hint="eastAsia" w:ascii="宋体" w:hAnsi="宋体" w:cs="宋体"/>
          <w:sz w:val="24"/>
          <w:szCs w:val="24"/>
        </w:rPr>
        <w:t>电缆技术参数（</w:t>
      </w:r>
      <w:r>
        <w:rPr>
          <w:rFonts w:hint="eastAsia" w:ascii="ˎ̥" w:hAnsi="ˎ̥"/>
          <w:color w:val="000000"/>
          <w:sz w:val="24"/>
          <w:szCs w:val="24"/>
        </w:rPr>
        <w:t>补偿导线 ZKX 2×1.5</w:t>
      </w:r>
      <w:r>
        <w:rPr>
          <w:rFonts w:hint="eastAsia" w:ascii="ˎ̥" w:hAnsi="ˎ̥"/>
          <w:color w:val="000000"/>
          <w:sz w:val="24"/>
          <w:szCs w:val="24"/>
          <w:lang w:eastAsia="zh-CN"/>
        </w:rPr>
        <w:t>；</w:t>
      </w:r>
      <w:r>
        <w:rPr>
          <w:rFonts w:hint="eastAsia" w:ascii="ˎ̥" w:hAnsi="ˎ̥" w:eastAsia="宋体" w:cs="Times New Roman"/>
          <w:color w:val="000000"/>
          <w:kern w:val="0"/>
          <w:sz w:val="24"/>
          <w:szCs w:val="24"/>
          <w:lang w:val="en-US" w:eastAsia="zh-CN" w:bidi="ar-SA"/>
        </w:rPr>
        <w:t>计算机电缆ZRC-DJYPVP 2×2×1.0</w:t>
      </w:r>
      <w:r>
        <w:rPr>
          <w:rFonts w:hint="eastAsia" w:ascii="宋体" w:hAnsi="宋体" w:cs="宋体"/>
          <w:sz w:val="24"/>
          <w:szCs w:val="24"/>
        </w:rPr>
        <w:t>）：</w:t>
      </w:r>
    </w:p>
    <w:p>
      <w:pPr>
        <w:pStyle w:val="13"/>
        <w:spacing w:line="360" w:lineRule="auto"/>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绝缘种类：</w:t>
      </w:r>
      <w:r>
        <w:rPr>
          <w:rFonts w:ascii="Arial" w:hAnsi="Arial" w:cs="Arial"/>
          <w:color w:val="auto"/>
          <w:sz w:val="24"/>
          <w:szCs w:val="24"/>
        </w:rPr>
        <w:t>聚乙烯</w:t>
      </w:r>
    </w:p>
    <w:p>
      <w:pPr>
        <w:pStyle w:val="13"/>
        <w:spacing w:line="360" w:lineRule="auto"/>
        <w:ind w:firstLine="480" w:firstLineChars="200"/>
        <w:rPr>
          <w:rFonts w:hint="eastAsia" w:asciiTheme="minorEastAsia" w:hAnsiTheme="minorEastAsia" w:eastAsiaTheme="minorEastAsia"/>
          <w:color w:val="auto"/>
          <w:spacing w:val="2"/>
          <w:kern w:val="2"/>
          <w:sz w:val="24"/>
          <w:szCs w:val="24"/>
          <w:lang w:val="en-US" w:eastAsia="zh-CN"/>
        </w:rPr>
      </w:pPr>
      <w:r>
        <w:rPr>
          <w:rFonts w:ascii="宋体" w:hAnsi="宋体" w:cs="宋体"/>
          <w:color w:val="auto"/>
          <w:sz w:val="24"/>
          <w:szCs w:val="24"/>
        </w:rPr>
        <w:t>2.</w:t>
      </w:r>
      <w:r>
        <w:rPr>
          <w:rFonts w:asciiTheme="minorEastAsia" w:hAnsiTheme="minorEastAsia" w:eastAsiaTheme="minorEastAsia"/>
          <w:color w:val="auto"/>
          <w:spacing w:val="2"/>
          <w:kern w:val="2"/>
          <w:sz w:val="24"/>
          <w:szCs w:val="24"/>
        </w:rPr>
        <w:t>额定电压</w:t>
      </w:r>
      <w:r>
        <w:rPr>
          <w:rFonts w:hint="eastAsia" w:cs="宋体" w:asciiTheme="minorEastAsia" w:hAnsiTheme="minorEastAsia" w:eastAsiaTheme="minorEastAsia"/>
          <w:color w:val="auto"/>
          <w:sz w:val="24"/>
          <w:szCs w:val="24"/>
        </w:rPr>
        <w:t>：</w:t>
      </w:r>
      <w:r>
        <w:rPr>
          <w:rFonts w:hint="eastAsia" w:ascii="宋体" w:hAnsi="宋体" w:cs="宋体"/>
          <w:color w:val="auto"/>
          <w:sz w:val="24"/>
          <w:szCs w:val="24"/>
          <w:lang w:val="en-US" w:eastAsia="zh-CN"/>
        </w:rPr>
        <w:t>450-750V；</w:t>
      </w:r>
    </w:p>
    <w:p>
      <w:pPr>
        <w:pStyle w:val="13"/>
        <w:spacing w:line="360" w:lineRule="auto"/>
        <w:ind w:left="4439" w:leftChars="228" w:hanging="3960" w:hangingChars="1650"/>
        <w:rPr>
          <w:rFonts w:hint="eastAsia" w:asciiTheme="minorEastAsia" w:hAnsiTheme="minorEastAsia" w:eastAsiaTheme="minorEastAsia"/>
          <w:spacing w:val="2"/>
          <w:kern w:val="2"/>
          <w:sz w:val="24"/>
          <w:szCs w:val="24"/>
          <w:lang w:val="en-US" w:eastAsia="zh-CN"/>
        </w:rPr>
      </w:pPr>
      <w:r>
        <w:rPr>
          <w:rFonts w:ascii="宋体" w:hAnsi="宋体" w:cs="宋体"/>
          <w:sz w:val="24"/>
          <w:szCs w:val="24"/>
        </w:rPr>
        <w:t>3.</w:t>
      </w:r>
      <w:r>
        <w:rPr>
          <w:rFonts w:asciiTheme="minorEastAsia" w:hAnsiTheme="minorEastAsia" w:eastAsiaTheme="minorEastAsia"/>
          <w:spacing w:val="2"/>
          <w:kern w:val="2"/>
          <w:sz w:val="24"/>
          <w:szCs w:val="24"/>
        </w:rPr>
        <w:t>额定频率</w:t>
      </w:r>
      <w:r>
        <w:rPr>
          <w:rFonts w:hint="eastAsia" w:cs="宋体" w:asciiTheme="minorEastAsia" w:hAnsiTheme="minorEastAsia" w:eastAsiaTheme="minorEastAsia"/>
          <w:sz w:val="24"/>
          <w:szCs w:val="24"/>
        </w:rPr>
        <w:t>：</w:t>
      </w:r>
      <w:r>
        <w:rPr>
          <w:rFonts w:asciiTheme="minorEastAsia" w:hAnsiTheme="minorEastAsia" w:eastAsiaTheme="minorEastAsia"/>
          <w:spacing w:val="2"/>
          <w:kern w:val="2"/>
          <w:sz w:val="24"/>
          <w:szCs w:val="24"/>
        </w:rPr>
        <w:t>50 Hz</w:t>
      </w:r>
      <w:r>
        <w:rPr>
          <w:rFonts w:hint="eastAsia" w:asciiTheme="minorEastAsia" w:hAnsiTheme="minorEastAsia" w:eastAsiaTheme="minorEastAsia"/>
          <w:spacing w:val="2"/>
          <w:kern w:val="2"/>
          <w:sz w:val="24"/>
          <w:szCs w:val="24"/>
          <w:lang w:val="en-US" w:eastAsia="zh-CN"/>
        </w:rPr>
        <w:t xml:space="preserve">  </w:t>
      </w:r>
    </w:p>
    <w:p>
      <w:pPr>
        <w:pStyle w:val="13"/>
        <w:spacing w:line="360" w:lineRule="auto"/>
        <w:ind w:left="4439" w:leftChars="228" w:hanging="3960" w:hangingChars="1650"/>
        <w:rPr>
          <w:rFonts w:cs="宋体" w:asciiTheme="minorEastAsia" w:hAnsiTheme="minorEastAsia" w:eastAsiaTheme="minorEastAsia"/>
          <w:sz w:val="24"/>
          <w:szCs w:val="24"/>
          <w:highlight w:val="none"/>
        </w:rPr>
      </w:pPr>
      <w:r>
        <w:rPr>
          <w:rFonts w:ascii="宋体" w:hAnsi="宋体" w:cs="宋体"/>
          <w:sz w:val="24"/>
          <w:szCs w:val="24"/>
        </w:rPr>
        <w:t>4.</w:t>
      </w:r>
      <w:r>
        <w:rPr>
          <w:spacing w:val="2"/>
          <w:kern w:val="2"/>
          <w:sz w:val="24"/>
          <w:szCs w:val="24"/>
        </w:rPr>
        <w:t>线芯导体长期</w:t>
      </w:r>
      <w:r>
        <w:rPr>
          <w:spacing w:val="2"/>
          <w:kern w:val="2"/>
          <w:sz w:val="24"/>
          <w:szCs w:val="24"/>
          <w:highlight w:val="none"/>
        </w:rPr>
        <w:t>允许工作温度</w:t>
      </w:r>
      <w:r>
        <w:rPr>
          <w:rFonts w:hint="eastAsia"/>
          <w:spacing w:val="2"/>
          <w:kern w:val="2"/>
          <w:sz w:val="24"/>
          <w:szCs w:val="24"/>
          <w:highlight w:val="none"/>
          <w:lang w:eastAsia="zh-CN"/>
        </w:rPr>
        <w:t>：</w:t>
      </w:r>
      <w:r>
        <w:rPr>
          <w:rFonts w:hint="eastAsia" w:asciiTheme="minorEastAsia" w:hAnsiTheme="minorEastAsia" w:eastAsiaTheme="minorEastAsia"/>
          <w:spacing w:val="2"/>
          <w:kern w:val="2"/>
          <w:sz w:val="24"/>
          <w:szCs w:val="24"/>
          <w:highlight w:val="none"/>
        </w:rPr>
        <w:t>7</w:t>
      </w:r>
      <w:r>
        <w:rPr>
          <w:rFonts w:asciiTheme="minorEastAsia" w:hAnsiTheme="minorEastAsia" w:eastAsiaTheme="minorEastAsia"/>
          <w:spacing w:val="2"/>
          <w:kern w:val="2"/>
          <w:sz w:val="24"/>
          <w:szCs w:val="24"/>
          <w:highlight w:val="none"/>
        </w:rPr>
        <w:t>0</w:t>
      </w:r>
      <w:r>
        <w:rPr>
          <w:rFonts w:hint="eastAsia" w:cs="宋体" w:asciiTheme="minorEastAsia" w:hAnsiTheme="minorEastAsia" w:eastAsiaTheme="minorEastAsia"/>
          <w:spacing w:val="2"/>
          <w:kern w:val="2"/>
          <w:sz w:val="24"/>
          <w:szCs w:val="24"/>
          <w:highlight w:val="none"/>
        </w:rPr>
        <w:t>℃</w:t>
      </w:r>
    </w:p>
    <w:p>
      <w:pPr>
        <w:pStyle w:val="13"/>
        <w:spacing w:line="360" w:lineRule="auto"/>
        <w:ind w:left="4439" w:leftChars="228" w:hanging="3960" w:hangingChars="1650"/>
        <w:rPr>
          <w:rFonts w:ascii="宋体" w:cs="宋体"/>
          <w:sz w:val="24"/>
          <w:szCs w:val="24"/>
          <w:highlight w:val="none"/>
        </w:rPr>
      </w:pPr>
      <w:r>
        <w:rPr>
          <w:rFonts w:cs="宋体" w:asciiTheme="minorEastAsia" w:hAnsiTheme="minorEastAsia" w:eastAsiaTheme="minorEastAsia"/>
          <w:sz w:val="24"/>
          <w:szCs w:val="24"/>
          <w:highlight w:val="none"/>
        </w:rPr>
        <w:t>5.</w:t>
      </w:r>
      <w:r>
        <w:rPr>
          <w:rFonts w:asciiTheme="minorEastAsia" w:hAnsiTheme="minorEastAsia" w:eastAsiaTheme="minorEastAsia"/>
          <w:spacing w:val="2"/>
          <w:kern w:val="2"/>
          <w:sz w:val="24"/>
          <w:szCs w:val="24"/>
          <w:highlight w:val="none"/>
        </w:rPr>
        <w:t>短路时电缆导体的最高温度（≤5s）</w:t>
      </w:r>
      <w:r>
        <w:rPr>
          <w:rFonts w:hint="eastAsia" w:cs="宋体" w:asciiTheme="minorEastAsia" w:hAnsiTheme="minorEastAsia" w:eastAsiaTheme="minorEastAsia"/>
          <w:sz w:val="24"/>
          <w:szCs w:val="24"/>
          <w:highlight w:val="none"/>
        </w:rPr>
        <w:t>：</w:t>
      </w:r>
      <w:r>
        <w:rPr>
          <w:rFonts w:hint="eastAsia" w:asciiTheme="minorEastAsia" w:hAnsiTheme="minorEastAsia" w:eastAsiaTheme="minorEastAsia"/>
          <w:spacing w:val="2"/>
          <w:kern w:val="2"/>
          <w:sz w:val="24"/>
          <w:szCs w:val="24"/>
          <w:highlight w:val="none"/>
        </w:rPr>
        <w:t>16</w:t>
      </w:r>
      <w:r>
        <w:rPr>
          <w:rFonts w:asciiTheme="minorEastAsia" w:hAnsiTheme="minorEastAsia" w:eastAsiaTheme="minorEastAsia"/>
          <w:spacing w:val="2"/>
          <w:kern w:val="2"/>
          <w:sz w:val="24"/>
          <w:szCs w:val="24"/>
          <w:highlight w:val="none"/>
        </w:rPr>
        <w:t>0</w:t>
      </w:r>
      <w:r>
        <w:rPr>
          <w:rFonts w:hint="eastAsia" w:cs="宋体" w:asciiTheme="minorEastAsia" w:hAnsiTheme="minorEastAsia" w:eastAsiaTheme="minorEastAsia"/>
          <w:spacing w:val="2"/>
          <w:kern w:val="2"/>
          <w:sz w:val="24"/>
          <w:szCs w:val="24"/>
          <w:highlight w:val="none"/>
        </w:rPr>
        <w:t>℃</w:t>
      </w:r>
    </w:p>
    <w:p>
      <w:pPr>
        <w:pStyle w:val="13"/>
        <w:spacing w:line="360" w:lineRule="auto"/>
        <w:ind w:firstLine="480" w:firstLineChars="200"/>
        <w:rPr>
          <w:rFonts w:hint="eastAsia" w:ascii="宋体" w:hAnsi="宋体" w:cs="宋体"/>
          <w:color w:val="auto"/>
          <w:sz w:val="24"/>
          <w:szCs w:val="24"/>
          <w:highlight w:val="none"/>
        </w:rPr>
      </w:pPr>
      <w:r>
        <w:rPr>
          <w:rFonts w:ascii="宋体" w:hAnsi="宋体" w:cs="宋体"/>
          <w:color w:val="auto"/>
          <w:sz w:val="24"/>
          <w:szCs w:val="24"/>
          <w:highlight w:val="none"/>
        </w:rPr>
        <w:t>6.</w:t>
      </w:r>
      <w:r>
        <w:rPr>
          <w:rFonts w:hint="eastAsia"/>
          <w:color w:val="auto"/>
          <w:spacing w:val="2"/>
          <w:kern w:val="2"/>
          <w:sz w:val="24"/>
          <w:szCs w:val="24"/>
          <w:highlight w:val="none"/>
        </w:rPr>
        <w:t>规格尺寸</w:t>
      </w:r>
      <w:r>
        <w:rPr>
          <w:rFonts w:hint="eastAsia" w:ascii="宋体" w:hAnsi="宋体" w:cs="宋体"/>
          <w:color w:val="auto"/>
          <w:sz w:val="24"/>
          <w:szCs w:val="24"/>
          <w:highlight w:val="none"/>
        </w:rPr>
        <w:t>：</w:t>
      </w:r>
    </w:p>
    <w:p>
      <w:pPr>
        <w:pStyle w:val="13"/>
        <w:spacing w:line="360" w:lineRule="auto"/>
        <w:ind w:firstLine="480" w:firstLineChars="200"/>
        <w:rPr>
          <w:rFonts w:hint="eastAsia" w:ascii="宋体" w:hAnsi="宋体" w:cs="宋体"/>
          <w:sz w:val="24"/>
          <w:szCs w:val="24"/>
          <w:highlight w:val="none"/>
          <w:lang w:val="en-US" w:eastAsia="zh-CN"/>
        </w:rPr>
      </w:pPr>
      <w:r>
        <w:rPr>
          <w:rFonts w:hint="eastAsia" w:ascii="ˎ̥" w:hAnsi="ˎ̥"/>
          <w:color w:val="000000"/>
          <w:sz w:val="24"/>
          <w:szCs w:val="24"/>
        </w:rPr>
        <w:t>补偿导线 ZKX 2×1.5</w:t>
      </w:r>
      <w:r>
        <w:rPr>
          <w:rFonts w:hint="eastAsia" w:ascii="ˎ̥" w:hAnsi="ˎ̥"/>
          <w:color w:val="000000"/>
          <w:sz w:val="24"/>
          <w:szCs w:val="24"/>
          <w:lang w:val="en-US" w:eastAsia="zh-CN"/>
        </w:rPr>
        <w:t xml:space="preserve">                </w:t>
      </w:r>
      <w:r>
        <w:rPr>
          <w:rFonts w:hint="eastAsia" w:ascii="宋体" w:hAnsi="宋体" w:cs="宋体"/>
          <w:sz w:val="24"/>
          <w:szCs w:val="24"/>
          <w:highlight w:val="none"/>
          <w:lang w:val="en-US" w:eastAsia="zh-CN"/>
        </w:rPr>
        <w:t>芯数：两芯、截面尺寸：1.5mm2</w:t>
      </w:r>
    </w:p>
    <w:p>
      <w:pPr>
        <w:pStyle w:val="13"/>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ˎ̥" w:hAnsi="ˎ̥" w:eastAsia="宋体" w:cs="Times New Roman"/>
          <w:color w:val="000000"/>
          <w:kern w:val="0"/>
          <w:sz w:val="24"/>
          <w:szCs w:val="24"/>
          <w:lang w:val="en-US" w:eastAsia="zh-CN" w:bidi="ar-SA"/>
        </w:rPr>
        <w:t>计算机电缆ZRC-DJYPVP 2×2×1.0</w:t>
      </w:r>
      <w:r>
        <w:rPr>
          <w:rFonts w:hint="eastAsia" w:ascii="ˎ̥" w:hAnsi="ˎ̥" w:cs="Times New Roman"/>
          <w:color w:val="000000"/>
          <w:kern w:val="0"/>
          <w:sz w:val="24"/>
          <w:szCs w:val="24"/>
          <w:lang w:val="en-US" w:eastAsia="zh-CN" w:bidi="ar-SA"/>
        </w:rPr>
        <w:t xml:space="preserve">  </w:t>
      </w:r>
      <w:r>
        <w:rPr>
          <w:rFonts w:hint="eastAsia" w:ascii="ˎ̥" w:hAnsi="ˎ̥" w:cs="Times New Roman"/>
          <w:color w:val="000000"/>
          <w:kern w:val="0"/>
          <w:sz w:val="21"/>
          <w:szCs w:val="21"/>
          <w:lang w:val="en-US" w:eastAsia="zh-CN" w:bidi="ar-SA"/>
        </w:rPr>
        <w:t xml:space="preserve">  </w:t>
      </w:r>
      <w:r>
        <w:rPr>
          <w:rFonts w:hint="eastAsia" w:ascii="宋体" w:hAnsi="宋体" w:cs="宋体"/>
          <w:sz w:val="24"/>
          <w:szCs w:val="24"/>
          <w:highlight w:val="none"/>
          <w:lang w:val="en-US" w:eastAsia="zh-CN"/>
        </w:rPr>
        <w:t>芯数：四芯、截面尺寸：1.0mm2</w:t>
      </w:r>
    </w:p>
    <w:p>
      <w:pPr>
        <w:pStyle w:val="13"/>
        <w:spacing w:line="360" w:lineRule="auto"/>
        <w:ind w:firstLine="480" w:firstLineChars="200"/>
        <w:rPr>
          <w:rFonts w:ascii="宋体" w:cs="宋体"/>
          <w:color w:val="auto"/>
          <w:sz w:val="24"/>
          <w:szCs w:val="24"/>
        </w:rPr>
      </w:pPr>
      <w:r>
        <w:rPr>
          <w:rFonts w:ascii="宋体" w:hAnsi="宋体" w:cs="宋体"/>
          <w:sz w:val="24"/>
          <w:szCs w:val="24"/>
        </w:rPr>
        <w:t>7.</w:t>
      </w:r>
      <w:r>
        <w:rPr>
          <w:rFonts w:hint="eastAsia"/>
          <w:spacing w:val="2"/>
          <w:kern w:val="2"/>
          <w:sz w:val="24"/>
          <w:szCs w:val="24"/>
        </w:rPr>
        <w:t>导线材</w:t>
      </w:r>
      <w:r>
        <w:rPr>
          <w:rFonts w:hint="eastAsia"/>
          <w:color w:val="auto"/>
          <w:spacing w:val="2"/>
          <w:kern w:val="2"/>
          <w:sz w:val="24"/>
          <w:szCs w:val="24"/>
        </w:rPr>
        <w:t>料</w:t>
      </w:r>
      <w:r>
        <w:rPr>
          <w:rFonts w:hint="eastAsia" w:ascii="宋体" w:hAnsi="宋体" w:cs="宋体"/>
          <w:color w:val="auto"/>
          <w:sz w:val="24"/>
          <w:szCs w:val="24"/>
        </w:rPr>
        <w:t>：铜</w:t>
      </w:r>
    </w:p>
    <w:p>
      <w:pPr>
        <w:pStyle w:val="13"/>
        <w:spacing w:line="360" w:lineRule="auto"/>
        <w:ind w:firstLine="480" w:firstLineChars="200"/>
        <w:rPr>
          <w:rFonts w:ascii="宋体" w:cs="宋体"/>
          <w:sz w:val="24"/>
          <w:szCs w:val="24"/>
        </w:rPr>
      </w:pPr>
      <w:r>
        <w:rPr>
          <w:rFonts w:ascii="宋体" w:hAnsi="宋体" w:cs="宋体"/>
          <w:color w:val="auto"/>
          <w:sz w:val="24"/>
          <w:szCs w:val="24"/>
        </w:rPr>
        <w:t>8.</w:t>
      </w:r>
      <w:r>
        <w:rPr>
          <w:color w:val="auto"/>
          <w:spacing w:val="2"/>
          <w:kern w:val="2"/>
          <w:sz w:val="24"/>
          <w:szCs w:val="24"/>
        </w:rPr>
        <w:t>安装方式</w:t>
      </w:r>
      <w:r>
        <w:rPr>
          <w:rFonts w:hint="eastAsia" w:ascii="宋体" w:hAnsi="宋体" w:cs="宋体"/>
          <w:color w:val="auto"/>
          <w:sz w:val="24"/>
          <w:szCs w:val="24"/>
        </w:rPr>
        <w:t>：空中敷设</w:t>
      </w:r>
      <w:r>
        <w:rPr>
          <w:rFonts w:ascii="宋体" w:hAnsi="宋体" w:cs="宋体"/>
          <w:color w:val="auto"/>
          <w:sz w:val="24"/>
          <w:szCs w:val="24"/>
        </w:rPr>
        <w:t>/埋地敷设</w:t>
      </w:r>
      <w:r>
        <w:rPr>
          <w:rFonts w:ascii="宋体" w:hAnsi="宋体" w:cs="宋体"/>
          <w:sz w:val="24"/>
          <w:szCs w:val="24"/>
        </w:rPr>
        <w:t>/管道室内敷设</w:t>
      </w:r>
    </w:p>
    <w:p>
      <w:pPr>
        <w:pStyle w:val="13"/>
        <w:spacing w:line="360" w:lineRule="auto"/>
        <w:ind w:left="719" w:leftChars="228" w:hanging="240" w:hangingChars="100"/>
        <w:rPr>
          <w:rFonts w:ascii="宋体" w:cs="宋体"/>
          <w:color w:val="auto"/>
          <w:sz w:val="24"/>
          <w:szCs w:val="24"/>
        </w:rPr>
      </w:pPr>
      <w:r>
        <w:rPr>
          <w:rFonts w:hint="eastAsia" w:ascii="宋体" w:hAnsi="宋体" w:cs="宋体"/>
          <w:color w:val="auto"/>
          <w:sz w:val="24"/>
          <w:szCs w:val="24"/>
        </w:rPr>
        <w:t>9</w:t>
      </w:r>
      <w:r>
        <w:rPr>
          <w:rFonts w:ascii="宋体" w:hAnsi="宋体" w:cs="宋体"/>
          <w:color w:val="auto"/>
          <w:sz w:val="24"/>
          <w:szCs w:val="24"/>
        </w:rPr>
        <w:t>.</w:t>
      </w:r>
      <w:r>
        <w:rPr>
          <w:rFonts w:ascii="Arial" w:hAnsi="Arial" w:cs="Arial"/>
          <w:color w:val="auto"/>
          <w:sz w:val="24"/>
          <w:szCs w:val="24"/>
        </w:rPr>
        <w:t>内护层</w:t>
      </w:r>
      <w:r>
        <w:rPr>
          <w:rFonts w:hint="eastAsia" w:ascii="宋体" w:hAnsi="宋体" w:cs="宋体"/>
          <w:color w:val="auto"/>
          <w:sz w:val="24"/>
          <w:szCs w:val="24"/>
        </w:rPr>
        <w:t>：</w:t>
      </w:r>
      <w:r>
        <w:rPr>
          <w:rFonts w:ascii="宋体" w:hAnsi="宋体" w:cs="宋体"/>
          <w:sz w:val="24"/>
          <w:szCs w:val="24"/>
        </w:rPr>
        <w:t>聚氯乙烯护套</w:t>
      </w:r>
    </w:p>
    <w:p>
      <w:pPr>
        <w:pStyle w:val="13"/>
        <w:spacing w:line="360" w:lineRule="auto"/>
        <w:ind w:firstLine="480" w:firstLineChars="200"/>
        <w:rPr>
          <w:rFonts w:ascii="宋体" w:cs="宋体"/>
          <w:color w:val="auto"/>
          <w:sz w:val="24"/>
          <w:szCs w:val="24"/>
        </w:rPr>
      </w:pPr>
      <w:r>
        <w:rPr>
          <w:rFonts w:hint="eastAsia" w:ascii="宋体" w:hAnsi="宋体" w:cs="宋体"/>
          <w:color w:val="auto"/>
          <w:sz w:val="24"/>
          <w:szCs w:val="24"/>
        </w:rPr>
        <w:t>10</w:t>
      </w:r>
      <w:r>
        <w:rPr>
          <w:rFonts w:ascii="宋体" w:hAnsi="宋体" w:cs="宋体"/>
          <w:color w:val="auto"/>
          <w:sz w:val="24"/>
          <w:szCs w:val="24"/>
        </w:rPr>
        <w:t>.</w:t>
      </w:r>
      <w:r>
        <w:rPr>
          <w:rFonts w:ascii="Arial" w:hAnsi="Arial" w:cs="Arial"/>
          <w:color w:val="auto"/>
          <w:sz w:val="24"/>
          <w:szCs w:val="24"/>
        </w:rPr>
        <w:t>特征</w:t>
      </w:r>
      <w:r>
        <w:rPr>
          <w:rFonts w:hint="eastAsia" w:ascii="宋体" w:hAnsi="宋体" w:cs="宋体"/>
          <w:color w:val="auto"/>
          <w:sz w:val="24"/>
          <w:szCs w:val="24"/>
        </w:rPr>
        <w:t>：</w:t>
      </w:r>
      <w:r>
        <w:rPr>
          <w:rFonts w:ascii="宋体" w:hAnsi="宋体" w:cs="宋体"/>
          <w:color w:val="auto"/>
          <w:sz w:val="24"/>
          <w:szCs w:val="24"/>
        </w:rPr>
        <w:t>分相/屏蔽</w:t>
      </w:r>
    </w:p>
    <w:p>
      <w:pPr>
        <w:pStyle w:val="13"/>
        <w:spacing w:line="360" w:lineRule="auto"/>
        <w:ind w:firstLine="480" w:firstLineChars="200"/>
        <w:rPr>
          <w:rFonts w:ascii="宋体" w:hAnsi="宋体" w:cs="宋体"/>
          <w:sz w:val="24"/>
          <w:szCs w:val="24"/>
        </w:rPr>
      </w:pPr>
      <w:r>
        <w:rPr>
          <w:rFonts w:hint="eastAsia" w:ascii="宋体" w:hAnsi="宋体" w:cs="宋体"/>
          <w:color w:val="auto"/>
          <w:sz w:val="24"/>
          <w:szCs w:val="24"/>
        </w:rPr>
        <w:t>11</w:t>
      </w:r>
      <w:r>
        <w:rPr>
          <w:rFonts w:ascii="宋体" w:hAnsi="宋体" w:cs="宋体"/>
          <w:color w:val="auto"/>
          <w:sz w:val="24"/>
          <w:szCs w:val="24"/>
        </w:rPr>
        <w:t>.</w:t>
      </w:r>
      <w:r>
        <w:rPr>
          <w:rFonts w:ascii="Arial" w:hAnsi="Arial" w:cs="Arial"/>
          <w:color w:val="auto"/>
          <w:sz w:val="24"/>
          <w:szCs w:val="24"/>
        </w:rPr>
        <w:t>铠装层</w:t>
      </w:r>
      <w:r>
        <w:rPr>
          <w:rFonts w:hint="eastAsia" w:ascii="宋体" w:hAnsi="宋体" w:cs="宋体"/>
          <w:color w:val="auto"/>
          <w:sz w:val="24"/>
          <w:szCs w:val="24"/>
        </w:rPr>
        <w:t>：</w:t>
      </w:r>
      <w:r>
        <w:rPr>
          <w:rFonts w:ascii="宋体" w:hAnsi="宋体" w:cs="宋体"/>
          <w:sz w:val="24"/>
          <w:szCs w:val="24"/>
        </w:rPr>
        <w:t>钢带</w:t>
      </w:r>
    </w:p>
    <w:p>
      <w:pPr>
        <w:pStyle w:val="13"/>
        <w:spacing w:line="360" w:lineRule="auto"/>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2</w:t>
      </w:r>
      <w:r>
        <w:rPr>
          <w:rFonts w:ascii="宋体" w:hAnsi="宋体" w:cs="宋体"/>
          <w:color w:val="auto"/>
          <w:sz w:val="24"/>
          <w:szCs w:val="24"/>
        </w:rPr>
        <w:t>.</w:t>
      </w:r>
      <w:r>
        <w:rPr>
          <w:rFonts w:ascii="Arial" w:hAnsi="Arial" w:cs="Arial"/>
          <w:color w:val="auto"/>
          <w:sz w:val="24"/>
          <w:szCs w:val="24"/>
        </w:rPr>
        <w:t>外被层</w:t>
      </w:r>
      <w:r>
        <w:rPr>
          <w:rFonts w:hint="eastAsia" w:ascii="宋体" w:hAnsi="宋体" w:cs="宋体"/>
          <w:color w:val="auto"/>
          <w:sz w:val="24"/>
          <w:szCs w:val="24"/>
        </w:rPr>
        <w:t>：</w:t>
      </w:r>
      <w:r>
        <w:rPr>
          <w:rFonts w:ascii="宋体" w:hAnsi="宋体" w:cs="宋体"/>
          <w:sz w:val="24"/>
          <w:szCs w:val="24"/>
        </w:rPr>
        <w:t>聚氯乙烯护套</w:t>
      </w:r>
    </w:p>
    <w:p>
      <w:pPr>
        <w:pStyle w:val="13"/>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w:t>
      </w:r>
      <w:r>
        <w:rPr>
          <w:rFonts w:ascii="宋体" w:hAnsi="宋体" w:cs="宋体"/>
          <w:sz w:val="24"/>
          <w:szCs w:val="24"/>
        </w:rPr>
        <w:t>.</w:t>
      </w:r>
      <w:r>
        <w:rPr>
          <w:rFonts w:asciiTheme="minorEastAsia" w:hAnsiTheme="minorEastAsia" w:eastAsiaTheme="minorEastAsia"/>
          <w:spacing w:val="4"/>
          <w:sz w:val="24"/>
          <w:szCs w:val="24"/>
        </w:rPr>
        <w:t>不圆度</w:t>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不圆度应不大于10%</w:t>
      </w:r>
    </w:p>
    <w:p>
      <w:pPr>
        <w:pStyle w:val="13"/>
        <w:spacing w:line="360" w:lineRule="auto"/>
        <w:ind w:firstLine="480" w:firstLineChars="200"/>
        <w:rPr>
          <w:rFonts w:ascii="宋体" w:cs="宋体"/>
          <w:color w:val="auto"/>
          <w:sz w:val="24"/>
          <w:szCs w:val="24"/>
          <w:highlight w:val="none"/>
        </w:rPr>
      </w:pPr>
      <w:r>
        <w:rPr>
          <w:rFonts w:ascii="宋体" w:hAnsi="宋体" w:cs="宋体"/>
          <w:sz w:val="24"/>
          <w:szCs w:val="24"/>
        </w:rPr>
        <w:t>1</w:t>
      </w:r>
      <w:r>
        <w:rPr>
          <w:rFonts w:hint="eastAsia" w:ascii="宋体" w:hAnsi="宋体" w:cs="宋体"/>
          <w:color w:val="auto"/>
          <w:sz w:val="24"/>
          <w:szCs w:val="24"/>
        </w:rPr>
        <w:t>4</w:t>
      </w:r>
      <w:r>
        <w:rPr>
          <w:rFonts w:ascii="宋体" w:hAnsi="宋体" w:cs="宋体"/>
          <w:color w:val="auto"/>
          <w:sz w:val="24"/>
          <w:szCs w:val="24"/>
        </w:rPr>
        <w:t>.</w:t>
      </w:r>
      <w:r>
        <w:rPr>
          <w:rFonts w:asciiTheme="minorEastAsia" w:hAnsiTheme="minorEastAsia" w:eastAsiaTheme="minorEastAsia"/>
          <w:color w:val="auto"/>
          <w:spacing w:val="4"/>
          <w:sz w:val="24"/>
          <w:szCs w:val="24"/>
        </w:rPr>
        <w:t>阻燃要求</w:t>
      </w:r>
      <w:r>
        <w:rPr>
          <w:rFonts w:hint="eastAsia" w:cs="宋体" w:asciiTheme="minorEastAsia" w:hAnsiTheme="minorEastAsia" w:eastAsiaTheme="minorEastAsia"/>
          <w:color w:val="auto"/>
          <w:sz w:val="24"/>
          <w:szCs w:val="24"/>
        </w:rPr>
        <w:t>：</w:t>
      </w:r>
      <w:r>
        <w:rPr>
          <w:rFonts w:asciiTheme="minorEastAsia" w:hAnsiTheme="minorEastAsia" w:eastAsiaTheme="minorEastAsia"/>
          <w:color w:val="auto"/>
          <w:sz w:val="24"/>
          <w:szCs w:val="24"/>
        </w:rPr>
        <w:t>需符合GB/T 19666的相关规</w:t>
      </w:r>
      <w:r>
        <w:rPr>
          <w:rFonts w:asciiTheme="minorEastAsia" w:hAnsiTheme="minorEastAsia" w:eastAsiaTheme="minorEastAsia"/>
          <w:color w:val="auto"/>
          <w:sz w:val="24"/>
          <w:szCs w:val="24"/>
          <w:highlight w:val="none"/>
        </w:rPr>
        <w:t>定</w:t>
      </w:r>
      <w:r>
        <w:rPr>
          <w:rFonts w:hint="eastAsia" w:ascii="宋体" w:hAnsi="宋体" w:cs="宋体"/>
          <w:color w:val="auto"/>
          <w:sz w:val="24"/>
          <w:szCs w:val="24"/>
          <w:highlight w:val="none"/>
        </w:rPr>
        <w:t>（所有电缆通用）</w:t>
      </w:r>
    </w:p>
    <w:p>
      <w:pPr>
        <w:pStyle w:val="13"/>
        <w:spacing w:line="360" w:lineRule="auto"/>
        <w:ind w:left="2039" w:leftChars="228" w:hanging="1560" w:hangingChars="65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5</w:t>
      </w:r>
      <w:r>
        <w:rPr>
          <w:rFonts w:ascii="宋体" w:hAnsi="宋体" w:cs="宋体"/>
          <w:color w:val="auto"/>
          <w:sz w:val="24"/>
          <w:szCs w:val="24"/>
          <w:highlight w:val="none"/>
        </w:rPr>
        <w:t>.</w:t>
      </w:r>
      <w:r>
        <w:rPr>
          <w:rFonts w:hint="eastAsia" w:ascii="宋体" w:hAnsi="宋体" w:cs="宋体"/>
          <w:color w:val="auto"/>
          <w:sz w:val="24"/>
          <w:szCs w:val="24"/>
          <w:highlight w:val="none"/>
        </w:rPr>
        <w:t>质量标准：必须符合</w:t>
      </w:r>
      <w:r>
        <w:rPr>
          <w:rFonts w:hint="eastAsia" w:ascii="宋体" w:hAnsi="宋体"/>
          <w:color w:val="auto"/>
          <w:kern w:val="2"/>
          <w:sz w:val="21"/>
          <w:szCs w:val="21"/>
          <w:highlight w:val="none"/>
        </w:rPr>
        <w:t>《</w:t>
      </w:r>
      <w:r>
        <w:rPr>
          <w:rFonts w:hint="eastAsia" w:ascii="宋体" w:hAnsi="宋体" w:cs="宋体"/>
          <w:color w:val="auto"/>
          <w:sz w:val="24"/>
          <w:szCs w:val="24"/>
          <w:highlight w:val="none"/>
        </w:rPr>
        <w:t>电线电缆国家标准汇编》标准（所有电缆通用）</w:t>
      </w:r>
      <w:r>
        <w:rPr>
          <w:rFonts w:hint="eastAsia"/>
          <w:color w:val="auto"/>
          <w:spacing w:val="2"/>
          <w:kern w:val="2"/>
          <w:sz w:val="24"/>
          <w:szCs w:val="24"/>
          <w:highlight w:val="none"/>
        </w:rPr>
        <w:t>导线材料为</w:t>
      </w:r>
      <w:r>
        <w:rPr>
          <w:rFonts w:hint="eastAsia" w:ascii="宋体" w:hAnsi="宋体" w:cs="宋体"/>
          <w:color w:val="auto"/>
          <w:sz w:val="24"/>
          <w:szCs w:val="24"/>
          <w:highlight w:val="none"/>
        </w:rPr>
        <w:t>铝合金执行</w:t>
      </w:r>
      <w:r>
        <w:rPr>
          <w:rFonts w:asciiTheme="minorEastAsia" w:hAnsiTheme="minorEastAsia" w:eastAsiaTheme="minorEastAsia"/>
          <w:color w:val="auto"/>
          <w:sz w:val="24"/>
          <w:szCs w:val="24"/>
          <w:highlight w:val="none"/>
        </w:rPr>
        <w:t xml:space="preserve">GB/T </w:t>
      </w:r>
      <w:r>
        <w:rPr>
          <w:rFonts w:hint="eastAsia" w:ascii="宋体" w:hAnsi="宋体" w:cs="宋体"/>
          <w:color w:val="auto"/>
          <w:sz w:val="24"/>
          <w:szCs w:val="24"/>
          <w:highlight w:val="none"/>
        </w:rPr>
        <w:t>31840-2015标准</w:t>
      </w:r>
    </w:p>
    <w:p>
      <w:pPr>
        <w:pStyle w:val="13"/>
        <w:spacing w:line="360" w:lineRule="auto"/>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6</w:t>
      </w:r>
      <w:r>
        <w:rPr>
          <w:rFonts w:ascii="宋体" w:hAnsi="宋体" w:cs="宋体"/>
          <w:color w:val="auto"/>
          <w:sz w:val="24"/>
          <w:szCs w:val="24"/>
          <w:highlight w:val="none"/>
        </w:rPr>
        <w:t>.</w:t>
      </w:r>
      <w:r>
        <w:rPr>
          <w:rFonts w:hint="eastAsia" w:ascii="宋体" w:hAnsi="宋体" w:cs="宋体"/>
          <w:color w:val="auto"/>
          <w:sz w:val="24"/>
          <w:szCs w:val="24"/>
          <w:highlight w:val="none"/>
        </w:rPr>
        <w:t>导体直流电阻：执行</w:t>
      </w:r>
      <w:r>
        <w:rPr>
          <w:rFonts w:ascii="宋体" w:hAnsi="宋体" w:cs="宋体"/>
          <w:color w:val="auto"/>
          <w:sz w:val="24"/>
          <w:szCs w:val="24"/>
          <w:highlight w:val="none"/>
        </w:rPr>
        <w:t xml:space="preserve">GB/T </w:t>
      </w:r>
      <w:r>
        <w:rPr>
          <w:rFonts w:hint="eastAsia" w:ascii="宋体" w:hAnsi="宋体" w:cs="宋体"/>
          <w:color w:val="auto"/>
          <w:sz w:val="24"/>
          <w:szCs w:val="24"/>
          <w:highlight w:val="none"/>
        </w:rPr>
        <w:t>3956-2008标准（所有电缆通用）</w:t>
      </w:r>
    </w:p>
    <w:p>
      <w:pPr>
        <w:pStyle w:val="13"/>
        <w:spacing w:line="360" w:lineRule="auto"/>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7</w:t>
      </w:r>
      <w:r>
        <w:rPr>
          <w:rFonts w:ascii="宋体" w:hAnsi="宋体" w:cs="宋体"/>
          <w:color w:val="auto"/>
          <w:sz w:val="24"/>
          <w:szCs w:val="24"/>
        </w:rPr>
        <w:t>.</w:t>
      </w:r>
      <w:r>
        <w:rPr>
          <w:rFonts w:hint="eastAsia" w:ascii="宋体" w:hAnsi="宋体" w:cs="宋体"/>
          <w:color w:val="auto"/>
          <w:sz w:val="24"/>
          <w:szCs w:val="24"/>
        </w:rPr>
        <w:t>材料特性：</w:t>
      </w:r>
      <w:r>
        <w:rPr>
          <w:rFonts w:ascii="宋体" w:hAnsi="宋体" w:cs="宋体"/>
          <w:color w:val="auto"/>
          <w:sz w:val="24"/>
          <w:szCs w:val="24"/>
        </w:rPr>
        <w:t>阻燃</w:t>
      </w:r>
      <w:r>
        <w:rPr>
          <w:rFonts w:asciiTheme="minorEastAsia" w:hAnsiTheme="minorEastAsia" w:eastAsiaTheme="minorEastAsia"/>
          <w:color w:val="auto"/>
          <w:spacing w:val="2"/>
          <w:kern w:val="2"/>
          <w:sz w:val="24"/>
          <w:szCs w:val="24"/>
        </w:rPr>
        <w:t>/耐火</w:t>
      </w:r>
    </w:p>
    <w:p>
      <w:pPr>
        <w:pStyle w:val="13"/>
        <w:spacing w:line="360" w:lineRule="auto"/>
        <w:ind w:firstLine="480" w:firstLineChars="200"/>
        <w:rPr>
          <w:rFonts w:hint="eastAsia" w:ascii="宋体" w:cs="宋体"/>
          <w:sz w:val="24"/>
          <w:szCs w:val="24"/>
        </w:rPr>
      </w:pPr>
      <w:r>
        <w:rPr>
          <w:rFonts w:hint="eastAsia" w:ascii="宋体" w:cs="宋体"/>
          <w:sz w:val="24"/>
          <w:szCs w:val="24"/>
        </w:rPr>
        <w:t>（</w:t>
      </w:r>
      <w:r>
        <w:rPr>
          <w:rFonts w:hint="eastAsia" w:ascii="宋体" w:cs="宋体"/>
          <w:sz w:val="24"/>
          <w:szCs w:val="24"/>
          <w:lang w:eastAsia="zh-CN"/>
        </w:rPr>
        <w:t>二</w:t>
      </w:r>
      <w:r>
        <w:rPr>
          <w:rFonts w:hint="eastAsia" w:ascii="宋体" w:cs="宋体"/>
          <w:sz w:val="24"/>
          <w:szCs w:val="24"/>
        </w:rPr>
        <w:t>） 工艺要求（通用）</w:t>
      </w:r>
    </w:p>
    <w:p>
      <w:pPr>
        <w:pStyle w:val="13"/>
        <w:spacing w:line="360" w:lineRule="auto"/>
        <w:ind w:firstLine="480" w:firstLineChars="200"/>
        <w:rPr>
          <w:rFonts w:hint="eastAsia" w:ascii="宋体" w:cs="宋体"/>
          <w:sz w:val="24"/>
          <w:szCs w:val="24"/>
        </w:rPr>
      </w:pPr>
      <w:r>
        <w:rPr>
          <w:rFonts w:hint="eastAsia" w:ascii="宋体" w:cs="宋体"/>
          <w:sz w:val="24"/>
          <w:szCs w:val="24"/>
        </w:rPr>
        <w:t>1、绝缘线芯数应采用颜色标志。绝缘线芯数在8芯及以下时，应采用颜色标志，其它采用数字以示识别，且印刷标志要求耐涂擦。</w:t>
      </w:r>
    </w:p>
    <w:p>
      <w:pPr>
        <w:pStyle w:val="13"/>
        <w:spacing w:line="360" w:lineRule="auto"/>
        <w:ind w:firstLine="480" w:firstLineChars="200"/>
        <w:rPr>
          <w:rFonts w:hint="eastAsia" w:ascii="宋体" w:cs="宋体"/>
          <w:sz w:val="24"/>
          <w:szCs w:val="24"/>
        </w:rPr>
      </w:pPr>
      <w:r>
        <w:rPr>
          <w:rFonts w:hint="eastAsia" w:ascii="宋体" w:cs="宋体"/>
          <w:sz w:val="24"/>
          <w:szCs w:val="24"/>
        </w:rPr>
        <w:t>2、护套应紧挤包在绞合的绝缘线芯及铠装层上，且应容易剥离而不损伤绝缘或护套，护套表面应光滑。</w:t>
      </w:r>
    </w:p>
    <w:p>
      <w:pPr>
        <w:pStyle w:val="13"/>
        <w:spacing w:line="360" w:lineRule="auto"/>
        <w:ind w:firstLine="480" w:firstLineChars="200"/>
        <w:rPr>
          <w:rFonts w:hint="eastAsia" w:ascii="宋体" w:cs="宋体"/>
          <w:sz w:val="24"/>
          <w:szCs w:val="24"/>
        </w:rPr>
      </w:pPr>
      <w:r>
        <w:rPr>
          <w:rFonts w:hint="eastAsia" w:ascii="宋体" w:cs="宋体"/>
          <w:sz w:val="24"/>
          <w:szCs w:val="24"/>
        </w:rPr>
        <w:t>3、电缆的绝缘标称厚度、护套标称厚度、平均外径上下限、阻燃性以及70℃的最小绝缘电阻等均应符合国标要求。</w:t>
      </w:r>
    </w:p>
    <w:p>
      <w:pPr>
        <w:pStyle w:val="13"/>
        <w:spacing w:line="360" w:lineRule="auto"/>
        <w:ind w:firstLine="480" w:firstLineChars="200"/>
        <w:rPr>
          <w:rFonts w:hint="eastAsia" w:ascii="宋体" w:cs="宋体"/>
          <w:sz w:val="24"/>
          <w:szCs w:val="24"/>
        </w:rPr>
      </w:pPr>
      <w:r>
        <w:rPr>
          <w:rFonts w:hint="eastAsia" w:ascii="宋体" w:cs="宋体"/>
          <w:sz w:val="24"/>
          <w:szCs w:val="24"/>
        </w:rPr>
        <w:t>4、要求在电缆外皮以每米为单位打印电缆型号和长度。整轴电缆不允许有接头及断头。</w:t>
      </w:r>
    </w:p>
    <w:p>
      <w:pPr>
        <w:pStyle w:val="13"/>
        <w:spacing w:line="360" w:lineRule="auto"/>
        <w:ind w:firstLine="480" w:firstLineChars="200"/>
        <w:rPr>
          <w:rFonts w:hint="eastAsia" w:ascii="宋体" w:cs="宋体"/>
          <w:sz w:val="24"/>
          <w:szCs w:val="24"/>
        </w:rPr>
      </w:pPr>
      <w:r>
        <w:rPr>
          <w:rFonts w:hint="eastAsia" w:ascii="宋体" w:cs="宋体"/>
          <w:sz w:val="24"/>
          <w:szCs w:val="24"/>
        </w:rPr>
        <w:t>5、电缆的绝缘水平，不得低于500V额定电压等级。</w:t>
      </w:r>
    </w:p>
    <w:p>
      <w:pPr>
        <w:pStyle w:val="13"/>
        <w:spacing w:line="360" w:lineRule="auto"/>
        <w:ind w:firstLine="480" w:firstLineChars="200"/>
        <w:rPr>
          <w:rFonts w:hint="eastAsia" w:ascii="宋体" w:cs="宋体"/>
          <w:sz w:val="24"/>
          <w:szCs w:val="24"/>
        </w:rPr>
      </w:pPr>
      <w:r>
        <w:rPr>
          <w:rFonts w:hint="eastAsia" w:ascii="宋体" w:cs="宋体"/>
          <w:sz w:val="24"/>
          <w:szCs w:val="24"/>
        </w:rPr>
        <w:t>6、所有控制电缆均选用总屏电缆。屏蔽层采用铜带屏蔽。</w:t>
      </w:r>
    </w:p>
    <w:p>
      <w:pPr>
        <w:pStyle w:val="13"/>
        <w:spacing w:line="360" w:lineRule="auto"/>
        <w:ind w:firstLine="480" w:firstLineChars="200"/>
        <w:rPr>
          <w:rFonts w:hint="eastAsia" w:ascii="宋体" w:cs="宋体"/>
          <w:sz w:val="24"/>
          <w:szCs w:val="24"/>
        </w:rPr>
      </w:pPr>
    </w:p>
    <w:p>
      <w:pPr>
        <w:pStyle w:val="13"/>
        <w:spacing w:line="360" w:lineRule="auto"/>
        <w:ind w:firstLine="480" w:firstLineChars="200"/>
        <w:rPr>
          <w:rFonts w:hint="eastAsia" w:ascii="宋体" w:cs="宋体"/>
          <w:sz w:val="24"/>
          <w:szCs w:val="24"/>
        </w:rPr>
      </w:pPr>
      <w:r>
        <w:rPr>
          <w:rFonts w:hint="eastAsia" w:ascii="宋体" w:cs="宋体"/>
          <w:sz w:val="24"/>
          <w:szCs w:val="24"/>
        </w:rPr>
        <w:t>（</w:t>
      </w:r>
      <w:r>
        <w:rPr>
          <w:rFonts w:hint="eastAsia" w:ascii="宋体" w:cs="宋体"/>
          <w:sz w:val="24"/>
          <w:szCs w:val="24"/>
          <w:lang w:eastAsia="zh-CN"/>
        </w:rPr>
        <w:t>三</w:t>
      </w:r>
      <w:r>
        <w:rPr>
          <w:rFonts w:hint="eastAsia" w:ascii="宋体" w:cs="宋体"/>
          <w:sz w:val="24"/>
          <w:szCs w:val="24"/>
        </w:rPr>
        <w:t>）提供资料</w:t>
      </w:r>
    </w:p>
    <w:p>
      <w:pPr>
        <w:pStyle w:val="13"/>
        <w:spacing w:line="360" w:lineRule="auto"/>
        <w:ind w:firstLine="480" w:firstLineChars="200"/>
        <w:rPr>
          <w:rFonts w:hint="eastAsia" w:ascii="宋体" w:cs="宋体"/>
          <w:sz w:val="24"/>
          <w:szCs w:val="24"/>
        </w:rPr>
      </w:pPr>
      <w:r>
        <w:rPr>
          <w:rFonts w:hint="eastAsia" w:ascii="宋体" w:cs="宋体"/>
          <w:sz w:val="24"/>
          <w:szCs w:val="24"/>
        </w:rPr>
        <w:t xml:space="preserve"> 投标方在投标时应提供以下报告：</w:t>
      </w:r>
    </w:p>
    <w:p>
      <w:pPr>
        <w:pStyle w:val="13"/>
        <w:spacing w:line="360" w:lineRule="auto"/>
        <w:ind w:firstLine="480" w:firstLineChars="200"/>
        <w:rPr>
          <w:rFonts w:hint="eastAsia" w:ascii="宋体" w:cs="宋体"/>
          <w:sz w:val="24"/>
          <w:szCs w:val="24"/>
        </w:rPr>
      </w:pPr>
      <w:r>
        <w:rPr>
          <w:rFonts w:hint="eastAsia" w:ascii="宋体" w:cs="宋体"/>
          <w:sz w:val="24"/>
          <w:szCs w:val="24"/>
        </w:rPr>
        <w:t>1、供货范围内所有规格型号电缆的型式试验报告；</w:t>
      </w:r>
    </w:p>
    <w:p>
      <w:pPr>
        <w:pStyle w:val="13"/>
        <w:spacing w:line="360" w:lineRule="auto"/>
        <w:ind w:firstLine="480" w:firstLineChars="200"/>
        <w:rPr>
          <w:rFonts w:hint="eastAsia" w:ascii="宋体" w:cs="宋体"/>
          <w:sz w:val="24"/>
          <w:szCs w:val="24"/>
        </w:rPr>
      </w:pPr>
      <w:r>
        <w:rPr>
          <w:rFonts w:hint="eastAsia" w:ascii="宋体" w:cs="宋体"/>
          <w:sz w:val="24"/>
          <w:szCs w:val="24"/>
        </w:rPr>
        <w:t>2、所有规格型号的耐火、阻燃电缆</w:t>
      </w:r>
      <w:r>
        <w:rPr>
          <w:rFonts w:hint="eastAsia" w:ascii="宋体" w:cs="宋体"/>
          <w:sz w:val="24"/>
          <w:szCs w:val="24"/>
          <w:lang w:eastAsia="zh-CN"/>
        </w:rPr>
        <w:t>须有出厂合格证</w:t>
      </w:r>
      <w:r>
        <w:rPr>
          <w:rFonts w:hint="eastAsia" w:ascii="宋体" w:cs="宋体"/>
          <w:sz w:val="24"/>
          <w:szCs w:val="24"/>
        </w:rPr>
        <w:t>。</w:t>
      </w:r>
    </w:p>
    <w:p>
      <w:pPr>
        <w:pStyle w:val="13"/>
        <w:spacing w:line="360" w:lineRule="auto"/>
        <w:ind w:firstLine="480" w:firstLineChars="200"/>
        <w:rPr>
          <w:rFonts w:hint="eastAsia" w:ascii="宋体" w:cs="宋体"/>
          <w:sz w:val="24"/>
          <w:szCs w:val="24"/>
        </w:rPr>
      </w:pPr>
      <w:r>
        <w:rPr>
          <w:rFonts w:hint="eastAsia" w:ascii="宋体" w:cs="宋体"/>
          <w:sz w:val="24"/>
          <w:szCs w:val="24"/>
        </w:rPr>
        <w:t>3、供方所提供的控制及特种电缆应符合本规范书，满足各种运行工况下热控系统及控制装置的要求，确保机组安全、 高效运行。</w:t>
      </w:r>
    </w:p>
    <w:p>
      <w:pPr>
        <w:pStyle w:val="13"/>
        <w:spacing w:line="360" w:lineRule="auto"/>
        <w:ind w:firstLine="480" w:firstLineChars="200"/>
        <w:rPr>
          <w:rFonts w:hint="eastAsia" w:ascii="宋体" w:cs="宋体"/>
          <w:sz w:val="24"/>
          <w:szCs w:val="24"/>
        </w:rPr>
      </w:pPr>
      <w:r>
        <w:rPr>
          <w:rFonts w:hint="eastAsia" w:ascii="宋体" w:cs="宋体"/>
          <w:sz w:val="24"/>
          <w:szCs w:val="24"/>
        </w:rPr>
        <w:t>（</w:t>
      </w:r>
      <w:r>
        <w:rPr>
          <w:rFonts w:hint="eastAsia" w:ascii="宋体" w:cs="宋体"/>
          <w:sz w:val="24"/>
          <w:szCs w:val="24"/>
          <w:lang w:eastAsia="zh-CN"/>
        </w:rPr>
        <w:t>四</w:t>
      </w:r>
      <w:r>
        <w:rPr>
          <w:rFonts w:hint="eastAsia" w:ascii="宋体" w:cs="宋体"/>
          <w:sz w:val="24"/>
          <w:szCs w:val="24"/>
        </w:rPr>
        <w:t>）质量保证</w:t>
      </w:r>
    </w:p>
    <w:p>
      <w:pPr>
        <w:pStyle w:val="13"/>
        <w:spacing w:line="360" w:lineRule="auto"/>
        <w:ind w:firstLine="480" w:firstLineChars="200"/>
        <w:rPr>
          <w:rFonts w:hint="eastAsia" w:ascii="宋体" w:eastAsia="宋体" w:cs="宋体"/>
          <w:sz w:val="24"/>
          <w:szCs w:val="24"/>
          <w:lang w:eastAsia="zh-CN"/>
        </w:rPr>
      </w:pPr>
      <w:r>
        <w:rPr>
          <w:rFonts w:hint="eastAsia" w:ascii="宋体" w:cs="宋体"/>
          <w:sz w:val="24"/>
          <w:szCs w:val="24"/>
        </w:rPr>
        <w:t>1、 订购的新型产品除应满足本规范书</w:t>
      </w:r>
      <w:r>
        <w:rPr>
          <w:rFonts w:hint="eastAsia" w:ascii="宋体" w:cs="宋体"/>
          <w:sz w:val="24"/>
          <w:szCs w:val="24"/>
          <w:lang w:eastAsia="zh-CN"/>
        </w:rPr>
        <w:t>技术要求。</w:t>
      </w:r>
    </w:p>
    <w:p>
      <w:pPr>
        <w:pStyle w:val="13"/>
        <w:spacing w:line="360" w:lineRule="auto"/>
        <w:ind w:firstLine="480" w:firstLineChars="200"/>
        <w:rPr>
          <w:rFonts w:hint="eastAsia" w:ascii="宋体" w:cs="宋体"/>
          <w:sz w:val="24"/>
          <w:szCs w:val="24"/>
        </w:rPr>
      </w:pPr>
      <w:r>
        <w:rPr>
          <w:rFonts w:hint="eastAsia" w:ascii="宋体" w:cs="宋体"/>
          <w:sz w:val="24"/>
          <w:szCs w:val="24"/>
        </w:rPr>
        <w:t>2、 供方应保证制造过程中的所有工艺、材料、试验等（包括供方的外购件在内）均应符合有关国家、行业标准及本规范书的规定。</w:t>
      </w:r>
    </w:p>
    <w:p>
      <w:pPr>
        <w:pStyle w:val="13"/>
        <w:spacing w:line="360" w:lineRule="auto"/>
        <w:ind w:firstLine="480" w:firstLineChars="200"/>
        <w:rPr>
          <w:rFonts w:hint="eastAsia" w:ascii="宋体" w:cs="宋体"/>
          <w:sz w:val="24"/>
          <w:szCs w:val="24"/>
        </w:rPr>
      </w:pPr>
      <w:r>
        <w:rPr>
          <w:rFonts w:hint="eastAsia" w:ascii="宋体" w:cs="宋体"/>
          <w:sz w:val="24"/>
          <w:szCs w:val="24"/>
        </w:rPr>
        <w:t>3、附属及配套设备必须满足本规范书的有关规定及厂标和行业标准的要求，并提供试验报告和产品合格证。</w:t>
      </w:r>
    </w:p>
    <w:p>
      <w:pPr>
        <w:pStyle w:val="13"/>
        <w:spacing w:line="360" w:lineRule="auto"/>
        <w:ind w:firstLine="480" w:firstLineChars="200"/>
        <w:rPr>
          <w:rFonts w:hint="eastAsia" w:ascii="宋体" w:cs="宋体"/>
          <w:sz w:val="24"/>
          <w:szCs w:val="24"/>
        </w:rPr>
      </w:pPr>
      <w:r>
        <w:rPr>
          <w:rFonts w:hint="eastAsia" w:ascii="宋体" w:cs="宋体"/>
          <w:sz w:val="24"/>
          <w:szCs w:val="24"/>
        </w:rPr>
        <w:t>4、供方应有遵守本规范书中各条款和工作项目的ISO9001GB／T19001</w:t>
      </w:r>
    </w:p>
    <w:p>
      <w:pPr>
        <w:pStyle w:val="13"/>
        <w:spacing w:line="360" w:lineRule="auto"/>
        <w:ind w:firstLine="480" w:firstLineChars="200"/>
        <w:rPr>
          <w:rFonts w:hint="eastAsia" w:ascii="宋体" w:cs="宋体"/>
          <w:sz w:val="24"/>
          <w:szCs w:val="24"/>
        </w:rPr>
      </w:pPr>
      <w:r>
        <w:rPr>
          <w:rFonts w:hint="eastAsia" w:ascii="宋体" w:cs="宋体"/>
          <w:sz w:val="24"/>
          <w:szCs w:val="24"/>
        </w:rPr>
        <w:t>质量保证体系，该质量保证体系已经通过国家认证和正常运转。</w:t>
      </w:r>
    </w:p>
    <w:p>
      <w:pPr>
        <w:pStyle w:val="13"/>
        <w:spacing w:line="360" w:lineRule="auto"/>
        <w:ind w:firstLine="480" w:firstLineChars="200"/>
        <w:rPr>
          <w:rFonts w:hint="eastAsia" w:ascii="宋体" w:cs="宋体"/>
          <w:sz w:val="24"/>
          <w:szCs w:val="24"/>
        </w:rPr>
      </w:pPr>
      <w:r>
        <w:rPr>
          <w:rFonts w:hint="eastAsia" w:ascii="宋体" w:cs="宋体"/>
          <w:sz w:val="24"/>
          <w:szCs w:val="24"/>
        </w:rPr>
        <w:t>（</w:t>
      </w:r>
      <w:r>
        <w:rPr>
          <w:rFonts w:hint="eastAsia" w:ascii="宋体" w:cs="宋体"/>
          <w:sz w:val="24"/>
          <w:szCs w:val="24"/>
          <w:lang w:eastAsia="zh-CN"/>
        </w:rPr>
        <w:t>五</w:t>
      </w:r>
      <w:r>
        <w:rPr>
          <w:rFonts w:hint="eastAsia" w:ascii="宋体" w:cs="宋体"/>
          <w:sz w:val="24"/>
          <w:szCs w:val="24"/>
        </w:rPr>
        <w:t>）试验（按GB有关规定进行）</w:t>
      </w:r>
    </w:p>
    <w:p>
      <w:pPr>
        <w:pStyle w:val="13"/>
        <w:spacing w:line="360" w:lineRule="auto"/>
        <w:ind w:firstLine="480" w:firstLineChars="200"/>
        <w:rPr>
          <w:rFonts w:hint="eastAsia" w:ascii="宋体" w:cs="宋体"/>
          <w:sz w:val="24"/>
          <w:szCs w:val="24"/>
        </w:rPr>
      </w:pPr>
      <w:r>
        <w:rPr>
          <w:rFonts w:hint="eastAsia" w:ascii="宋体" w:cs="宋体"/>
          <w:sz w:val="24"/>
          <w:szCs w:val="24"/>
        </w:rPr>
        <w:t>1、型式试验</w:t>
      </w:r>
    </w:p>
    <w:p>
      <w:pPr>
        <w:pStyle w:val="13"/>
        <w:spacing w:line="360" w:lineRule="auto"/>
        <w:ind w:firstLine="480" w:firstLineChars="200"/>
        <w:rPr>
          <w:rFonts w:hint="eastAsia" w:ascii="宋体" w:cs="宋体"/>
          <w:sz w:val="24"/>
          <w:szCs w:val="24"/>
        </w:rPr>
      </w:pPr>
      <w:r>
        <w:rPr>
          <w:rFonts w:hint="eastAsia" w:ascii="宋体" w:cs="宋体"/>
          <w:sz w:val="24"/>
          <w:szCs w:val="24"/>
        </w:rPr>
        <w:t>厂家应提供按国标进行的同类电缆的型式试验报告。项目包括电气部分和非电气部分。</w:t>
      </w:r>
    </w:p>
    <w:p>
      <w:pPr>
        <w:pStyle w:val="13"/>
        <w:spacing w:line="360" w:lineRule="auto"/>
        <w:ind w:firstLine="480" w:firstLineChars="200"/>
        <w:rPr>
          <w:rFonts w:hint="eastAsia" w:ascii="宋体" w:cs="宋体"/>
          <w:sz w:val="24"/>
          <w:szCs w:val="24"/>
        </w:rPr>
      </w:pPr>
      <w:r>
        <w:rPr>
          <w:rFonts w:hint="eastAsia" w:ascii="宋体" w:cs="宋体"/>
          <w:sz w:val="24"/>
          <w:szCs w:val="24"/>
        </w:rPr>
        <w:t>2、出厂试验（例行试验）</w:t>
      </w:r>
    </w:p>
    <w:p>
      <w:pPr>
        <w:pStyle w:val="13"/>
        <w:spacing w:line="360" w:lineRule="auto"/>
        <w:ind w:firstLine="480" w:firstLineChars="200"/>
        <w:rPr>
          <w:rFonts w:hint="eastAsia" w:ascii="宋体" w:cs="宋体"/>
          <w:sz w:val="24"/>
          <w:szCs w:val="24"/>
        </w:rPr>
      </w:pPr>
      <w:r>
        <w:rPr>
          <w:rFonts w:hint="eastAsia" w:ascii="宋体" w:cs="宋体"/>
          <w:sz w:val="24"/>
          <w:szCs w:val="24"/>
        </w:rPr>
        <w:t xml:space="preserve">   1 ）导体直流电阻</w:t>
      </w:r>
    </w:p>
    <w:p>
      <w:pPr>
        <w:pStyle w:val="13"/>
        <w:spacing w:line="360" w:lineRule="auto"/>
        <w:ind w:firstLine="480" w:firstLineChars="200"/>
        <w:rPr>
          <w:rFonts w:hint="eastAsia" w:ascii="宋体" w:cs="宋体"/>
          <w:sz w:val="24"/>
          <w:szCs w:val="24"/>
        </w:rPr>
      </w:pPr>
      <w:r>
        <w:rPr>
          <w:rFonts w:hint="eastAsia" w:ascii="宋体" w:cs="宋体"/>
          <w:sz w:val="24"/>
          <w:szCs w:val="24"/>
        </w:rPr>
        <w:t xml:space="preserve">   2 ）交流耐压试验</w:t>
      </w:r>
    </w:p>
    <w:p>
      <w:pPr>
        <w:pStyle w:val="13"/>
        <w:spacing w:line="360" w:lineRule="auto"/>
        <w:ind w:firstLine="480" w:firstLineChars="200"/>
        <w:rPr>
          <w:rFonts w:hint="eastAsia" w:ascii="宋体" w:cs="宋体"/>
          <w:sz w:val="24"/>
          <w:szCs w:val="24"/>
        </w:rPr>
      </w:pPr>
      <w:r>
        <w:rPr>
          <w:rFonts w:hint="eastAsia" w:ascii="宋体" w:cs="宋体"/>
          <w:sz w:val="24"/>
          <w:szCs w:val="24"/>
        </w:rPr>
        <w:t xml:space="preserve">   3 ）电缆护套火花试验</w:t>
      </w:r>
    </w:p>
    <w:p>
      <w:pPr>
        <w:pStyle w:val="13"/>
        <w:spacing w:line="360" w:lineRule="auto"/>
        <w:ind w:firstLine="480" w:firstLineChars="200"/>
        <w:rPr>
          <w:rFonts w:hint="eastAsia" w:ascii="宋体" w:cs="宋体"/>
          <w:sz w:val="24"/>
          <w:szCs w:val="24"/>
        </w:rPr>
      </w:pPr>
      <w:r>
        <w:rPr>
          <w:rFonts w:hint="eastAsia" w:ascii="宋体" w:cs="宋体"/>
          <w:sz w:val="24"/>
          <w:szCs w:val="24"/>
        </w:rPr>
        <w:t>3、抽样试验与指标</w:t>
      </w:r>
    </w:p>
    <w:p>
      <w:pPr>
        <w:pStyle w:val="13"/>
        <w:spacing w:line="360" w:lineRule="auto"/>
        <w:ind w:firstLine="480" w:firstLineChars="200"/>
        <w:rPr>
          <w:rFonts w:hint="eastAsia" w:ascii="宋体" w:cs="宋体"/>
          <w:sz w:val="24"/>
          <w:szCs w:val="24"/>
        </w:rPr>
      </w:pPr>
      <w:r>
        <w:rPr>
          <w:rFonts w:hint="eastAsia" w:ascii="宋体" w:cs="宋体"/>
          <w:sz w:val="24"/>
          <w:szCs w:val="24"/>
        </w:rPr>
        <w:t xml:space="preserve">   1 ）交流耐压试验：  4 U。时4 h不击穿。</w:t>
      </w:r>
    </w:p>
    <w:p>
      <w:pPr>
        <w:pStyle w:val="13"/>
        <w:spacing w:line="360" w:lineRule="auto"/>
        <w:ind w:firstLine="480" w:firstLineChars="200"/>
        <w:rPr>
          <w:rFonts w:hint="eastAsia" w:ascii="宋体" w:cs="宋体"/>
          <w:sz w:val="24"/>
          <w:szCs w:val="24"/>
        </w:rPr>
      </w:pPr>
      <w:r>
        <w:rPr>
          <w:rFonts w:hint="eastAsia" w:ascii="宋体" w:cs="宋体"/>
          <w:sz w:val="24"/>
          <w:szCs w:val="24"/>
        </w:rPr>
        <w:t xml:space="preserve">   2） 击穿试验(裕度试验)：提供同类产品试验报告。</w:t>
      </w:r>
    </w:p>
    <w:p>
      <w:pPr>
        <w:pStyle w:val="13"/>
        <w:spacing w:line="360" w:lineRule="auto"/>
        <w:ind w:firstLine="480" w:firstLineChars="200"/>
        <w:rPr>
          <w:rFonts w:hint="eastAsia" w:ascii="宋体" w:cs="宋体"/>
          <w:sz w:val="24"/>
          <w:szCs w:val="24"/>
        </w:rPr>
      </w:pPr>
      <w:r>
        <w:rPr>
          <w:rFonts w:hint="eastAsia" w:ascii="宋体" w:cs="宋体"/>
          <w:sz w:val="24"/>
          <w:szCs w:val="24"/>
        </w:rPr>
        <w:t xml:space="preserve">   3 ）绝缘热收缩试验：  收缩率不大于2％</w:t>
      </w:r>
    </w:p>
    <w:p>
      <w:pPr>
        <w:pStyle w:val="13"/>
        <w:spacing w:line="360" w:lineRule="auto"/>
        <w:ind w:firstLine="480" w:firstLineChars="200"/>
        <w:rPr>
          <w:rFonts w:hint="eastAsia" w:ascii="宋体" w:cs="宋体"/>
          <w:sz w:val="24"/>
          <w:szCs w:val="24"/>
        </w:rPr>
      </w:pPr>
      <w:r>
        <w:rPr>
          <w:rFonts w:hint="eastAsia" w:ascii="宋体" w:cs="宋体"/>
          <w:sz w:val="24"/>
          <w:szCs w:val="24"/>
        </w:rPr>
        <w:t xml:space="preserve">   4 ）阻燃试验按IEC332-3A要求或提供同类产品试验报告。</w:t>
      </w:r>
    </w:p>
    <w:p>
      <w:pPr>
        <w:pStyle w:val="13"/>
        <w:spacing w:line="360" w:lineRule="auto"/>
        <w:ind w:firstLine="480" w:firstLineChars="200"/>
        <w:rPr>
          <w:rFonts w:hint="eastAsia" w:ascii="宋体" w:cs="宋体"/>
          <w:sz w:val="24"/>
          <w:szCs w:val="24"/>
        </w:rPr>
      </w:pPr>
      <w:r>
        <w:rPr>
          <w:rFonts w:hint="eastAsia" w:ascii="宋体" w:cs="宋体"/>
          <w:sz w:val="24"/>
          <w:szCs w:val="24"/>
        </w:rPr>
        <w:t>供方需按上述规定进行抽样试验，并委托质量监督部门进行质量鉴定，</w:t>
      </w:r>
    </w:p>
    <w:p>
      <w:pPr>
        <w:pStyle w:val="13"/>
        <w:spacing w:line="360" w:lineRule="auto"/>
        <w:ind w:firstLine="480" w:firstLineChars="200"/>
        <w:rPr>
          <w:rFonts w:ascii="宋体" w:cs="宋体"/>
          <w:sz w:val="24"/>
          <w:szCs w:val="24"/>
          <w:highlight w:val="yellow"/>
        </w:rPr>
      </w:pPr>
      <w:r>
        <w:rPr>
          <w:rFonts w:hint="eastAsia" w:ascii="宋体" w:cs="宋体"/>
          <w:sz w:val="24"/>
          <w:szCs w:val="24"/>
        </w:rPr>
        <w:t>费用由承担。</w:t>
      </w:r>
    </w:p>
    <w:p>
      <w:pPr>
        <w:pStyle w:val="13"/>
        <w:spacing w:line="360" w:lineRule="auto"/>
        <w:ind w:firstLine="480" w:firstLineChars="200"/>
        <w:rPr>
          <w:rFonts w:ascii="宋体" w:cs="宋体"/>
          <w:sz w:val="24"/>
          <w:szCs w:val="24"/>
          <w:highlight w:val="yellow"/>
        </w:rPr>
      </w:pPr>
    </w:p>
    <w:p>
      <w:pPr>
        <w:pStyle w:val="13"/>
        <w:spacing w:line="360" w:lineRule="auto"/>
        <w:ind w:firstLine="482" w:firstLineChars="200"/>
        <w:rPr>
          <w:rFonts w:ascii="宋体"/>
          <w:b/>
          <w:bCs/>
          <w:sz w:val="24"/>
          <w:szCs w:val="24"/>
        </w:rPr>
      </w:pPr>
      <w:r>
        <w:rPr>
          <w:rFonts w:hint="eastAsia" w:ascii="宋体" w:hAnsi="宋体" w:cs="宋体"/>
          <w:b/>
          <w:bCs/>
          <w:sz w:val="24"/>
          <w:szCs w:val="24"/>
        </w:rPr>
        <w:t>技术服务和质保期服务要求</w:t>
      </w:r>
    </w:p>
    <w:p>
      <w:pPr>
        <w:pStyle w:val="13"/>
        <w:spacing w:line="360" w:lineRule="auto"/>
        <w:ind w:firstLine="480" w:firstLineChars="200"/>
        <w:rPr>
          <w:rFonts w:ascii="宋体" w:cs="宋体"/>
          <w:color w:val="FF0000"/>
          <w:sz w:val="24"/>
          <w:szCs w:val="24"/>
        </w:rPr>
      </w:pPr>
      <w:r>
        <w:rPr>
          <w:rFonts w:ascii="宋体" w:hAnsi="宋体" w:cs="宋体"/>
          <w:color w:val="FF0000"/>
          <w:sz w:val="24"/>
          <w:szCs w:val="24"/>
        </w:rPr>
        <w:t>1.</w:t>
      </w:r>
      <w:r>
        <w:rPr>
          <w:rFonts w:hint="eastAsia" w:ascii="宋体" w:hAnsi="宋体" w:cs="宋体"/>
          <w:color w:val="FF0000"/>
          <w:sz w:val="24"/>
          <w:szCs w:val="24"/>
        </w:rPr>
        <w:t>报价方服务响应必须满足</w:t>
      </w:r>
      <w:r>
        <w:rPr>
          <w:rFonts w:ascii="宋体" w:hAnsi="宋体" w:cs="宋体"/>
          <w:color w:val="FF0000"/>
          <w:sz w:val="24"/>
          <w:szCs w:val="24"/>
        </w:rPr>
        <w:t>24</w:t>
      </w:r>
      <w:r>
        <w:rPr>
          <w:rFonts w:hint="eastAsia" w:ascii="宋体" w:hAnsi="宋体" w:cs="宋体"/>
          <w:color w:val="FF0000"/>
          <w:sz w:val="24"/>
          <w:szCs w:val="24"/>
        </w:rPr>
        <w:t>小时内进行答复，</w:t>
      </w:r>
      <w:r>
        <w:rPr>
          <w:rFonts w:ascii="宋体" w:hAnsi="宋体" w:cs="宋体"/>
          <w:color w:val="FF0000"/>
          <w:sz w:val="24"/>
          <w:szCs w:val="24"/>
        </w:rPr>
        <w:t>48</w:t>
      </w:r>
      <w:r>
        <w:rPr>
          <w:rFonts w:hint="eastAsia" w:ascii="宋体" w:hAnsi="宋体" w:cs="宋体"/>
          <w:color w:val="FF0000"/>
          <w:sz w:val="24"/>
          <w:szCs w:val="24"/>
        </w:rPr>
        <w:t>小时内工程师到达现场；</w:t>
      </w:r>
    </w:p>
    <w:p>
      <w:pPr>
        <w:pStyle w:val="13"/>
        <w:spacing w:line="360" w:lineRule="auto"/>
        <w:ind w:firstLine="480" w:firstLineChars="200"/>
        <w:rPr>
          <w:rFonts w:ascii="宋体" w:cs="宋体"/>
          <w:color w:val="FF0000"/>
          <w:sz w:val="24"/>
          <w:szCs w:val="24"/>
        </w:rPr>
      </w:pPr>
      <w:r>
        <w:rPr>
          <w:rFonts w:ascii="宋体" w:hAnsi="宋体" w:cs="宋体"/>
          <w:color w:val="FF0000"/>
          <w:sz w:val="24"/>
          <w:szCs w:val="24"/>
        </w:rPr>
        <w:t>2.</w:t>
      </w:r>
      <w:r>
        <w:rPr>
          <w:rFonts w:hint="eastAsia" w:ascii="宋体" w:hAnsi="宋体" w:cs="宋体"/>
          <w:color w:val="FF0000"/>
          <w:sz w:val="24"/>
          <w:szCs w:val="24"/>
        </w:rPr>
        <w:t>报价方出现质量问题必须在</w:t>
      </w:r>
      <w:r>
        <w:rPr>
          <w:rFonts w:ascii="宋体" w:hAnsi="宋体" w:cs="宋体"/>
          <w:color w:val="FF0000"/>
          <w:sz w:val="24"/>
          <w:szCs w:val="24"/>
        </w:rPr>
        <w:t>24</w:t>
      </w:r>
      <w:r>
        <w:rPr>
          <w:rFonts w:hint="eastAsia" w:ascii="宋体" w:hAnsi="宋体" w:cs="宋体"/>
          <w:color w:val="FF0000"/>
          <w:sz w:val="24"/>
          <w:szCs w:val="24"/>
        </w:rPr>
        <w:t>小时内提供书面解决方案，且质量延保时间必须额外增加</w:t>
      </w:r>
      <w:r>
        <w:rPr>
          <w:rFonts w:ascii="宋体" w:hAnsi="宋体" w:cs="宋体"/>
          <w:color w:val="FF0000"/>
          <w:sz w:val="24"/>
          <w:szCs w:val="24"/>
        </w:rPr>
        <w:t>6</w:t>
      </w:r>
      <w:r>
        <w:rPr>
          <w:rFonts w:hint="eastAsia" w:ascii="宋体" w:hAnsi="宋体" w:cs="宋体"/>
          <w:color w:val="FF0000"/>
          <w:sz w:val="24"/>
          <w:szCs w:val="24"/>
        </w:rPr>
        <w:t>个月；</w:t>
      </w:r>
    </w:p>
    <w:p>
      <w:pPr>
        <w:pStyle w:val="13"/>
        <w:spacing w:line="360" w:lineRule="auto"/>
        <w:ind w:firstLine="480" w:firstLineChars="200"/>
        <w:rPr>
          <w:rFonts w:ascii="宋体" w:cs="宋体"/>
          <w:color w:val="FF0000"/>
          <w:sz w:val="24"/>
          <w:szCs w:val="24"/>
        </w:rPr>
      </w:pPr>
      <w:r>
        <w:rPr>
          <w:rFonts w:ascii="宋体" w:hAnsi="宋体" w:cs="宋体"/>
          <w:color w:val="FF0000"/>
          <w:sz w:val="24"/>
          <w:szCs w:val="24"/>
        </w:rPr>
        <w:t>3.</w:t>
      </w:r>
      <w:r>
        <w:rPr>
          <w:rFonts w:hint="eastAsia" w:ascii="宋体" w:hAnsi="宋体" w:cs="宋体"/>
          <w:color w:val="FF0000"/>
          <w:sz w:val="24"/>
          <w:szCs w:val="24"/>
        </w:rPr>
        <w:t>本次采购电缆的质保期、售后服务、技术支持及其他服务以华能集团年度资格预审通过后各厂家递交至北方公司</w:t>
      </w:r>
      <w:r>
        <w:rPr>
          <w:rFonts w:hint="eastAsia" w:ascii="宋体" w:hAnsi="宋体" w:cs="宋体"/>
          <w:color w:val="0070C0"/>
          <w:sz w:val="24"/>
          <w:szCs w:val="24"/>
        </w:rPr>
        <w:t>承诺函</w:t>
      </w:r>
      <w:r>
        <w:rPr>
          <w:rFonts w:hint="eastAsia" w:ascii="宋体" w:hAnsi="宋体" w:cs="宋体"/>
          <w:color w:val="FF0000"/>
          <w:sz w:val="24"/>
          <w:szCs w:val="24"/>
        </w:rPr>
        <w:t>为准</w:t>
      </w:r>
      <w:r>
        <w:rPr>
          <w:rFonts w:ascii="宋体" w:hAnsi="宋体" w:cs="宋体"/>
          <w:color w:val="FF0000"/>
          <w:sz w:val="24"/>
          <w:szCs w:val="24"/>
        </w:rPr>
        <w:t>(</w:t>
      </w:r>
      <w:r>
        <w:rPr>
          <w:rFonts w:hint="eastAsia" w:ascii="宋体" w:hAnsi="宋体" w:cs="宋体"/>
          <w:color w:val="0070C0"/>
          <w:sz w:val="24"/>
          <w:szCs w:val="24"/>
        </w:rPr>
        <w:t>质量寿命30年</w:t>
      </w:r>
      <w:r>
        <w:rPr>
          <w:rFonts w:hint="eastAsia" w:ascii="宋体" w:hAnsi="宋体" w:cs="宋体"/>
          <w:color w:val="FF0000"/>
          <w:sz w:val="24"/>
          <w:szCs w:val="24"/>
        </w:rPr>
        <w:t>；免费保修至少不得低于1年</w:t>
      </w:r>
      <w:r>
        <w:rPr>
          <w:rFonts w:ascii="宋体" w:hAnsi="宋体" w:cs="宋体"/>
          <w:color w:val="FF0000"/>
          <w:sz w:val="24"/>
          <w:szCs w:val="24"/>
        </w:rPr>
        <w:t>)</w:t>
      </w:r>
      <w:r>
        <w:rPr>
          <w:rFonts w:hint="eastAsia" w:ascii="宋体" w:hAnsi="宋体" w:cs="宋体"/>
          <w:color w:val="FF0000"/>
          <w:sz w:val="24"/>
          <w:szCs w:val="24"/>
        </w:rPr>
        <w:t>。</w:t>
      </w:r>
    </w:p>
    <w:p>
      <w:pPr>
        <w:pStyle w:val="13"/>
        <w:spacing w:line="360" w:lineRule="auto"/>
        <w:ind w:firstLine="480" w:firstLineChars="200"/>
        <w:rPr>
          <w:rFonts w:ascii="宋体" w:cs="宋体"/>
          <w:color w:val="FF0000"/>
          <w:sz w:val="24"/>
          <w:szCs w:val="24"/>
        </w:rPr>
      </w:pPr>
    </w:p>
    <w:p>
      <w:pPr>
        <w:pStyle w:val="13"/>
        <w:numPr>
          <w:ilvl w:val="0"/>
          <w:numId w:val="3"/>
        </w:numPr>
        <w:spacing w:line="360" w:lineRule="auto"/>
        <w:ind w:firstLine="482" w:firstLineChars="200"/>
        <w:rPr>
          <w:rFonts w:ascii="宋体" w:cs="宋体"/>
          <w:b/>
          <w:bCs/>
          <w:sz w:val="24"/>
          <w:szCs w:val="24"/>
        </w:rPr>
      </w:pPr>
      <w:r>
        <w:rPr>
          <w:rFonts w:hint="eastAsia" w:ascii="宋体" w:hAnsi="宋体" w:cs="宋体"/>
          <w:b/>
          <w:bCs/>
          <w:sz w:val="24"/>
          <w:szCs w:val="24"/>
        </w:rPr>
        <w:t>技术协议及合同签订</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中标确认后，采购方和报价方必须通过微信视频、照片、现场确认等方式确认电缆型号及技术参数，确认无误后双方签订技术协议（协议中应明确电缆型号及技术参数），签订技术协议后方可签订合同。</w:t>
      </w:r>
    </w:p>
    <w:p>
      <w:pPr>
        <w:pStyle w:val="13"/>
        <w:spacing w:line="360" w:lineRule="auto"/>
        <w:ind w:firstLine="480" w:firstLineChars="200"/>
        <w:rPr>
          <w:rFonts w:ascii="宋体" w:hAnsi="宋体" w:cs="宋体"/>
          <w:color w:val="0070C0"/>
          <w:sz w:val="24"/>
          <w:szCs w:val="24"/>
        </w:rPr>
      </w:pPr>
      <w:r>
        <w:rPr>
          <w:rFonts w:hint="eastAsia" w:ascii="宋体" w:hAnsi="宋体" w:cs="宋体"/>
          <w:color w:val="FF0000"/>
          <w:sz w:val="24"/>
          <w:szCs w:val="24"/>
        </w:rPr>
        <w:t>技术协议和合同签订必须是法人或法人授权代表，签字人员需提供本人身份证、中标单位的授权书和中标单位当年社保证明，缺一不可。</w:t>
      </w:r>
    </w:p>
    <w:p>
      <w:pPr>
        <w:pStyle w:val="13"/>
        <w:spacing w:line="360" w:lineRule="auto"/>
        <w:ind w:firstLine="482" w:firstLineChars="200"/>
        <w:rPr>
          <w:rFonts w:ascii="宋体" w:cs="宋体"/>
          <w:b/>
          <w:bCs/>
          <w:sz w:val="24"/>
          <w:szCs w:val="24"/>
        </w:rPr>
      </w:pPr>
    </w:p>
    <w:p>
      <w:pPr>
        <w:pStyle w:val="13"/>
        <w:numPr>
          <w:ilvl w:val="0"/>
          <w:numId w:val="3"/>
        </w:numPr>
        <w:spacing w:line="360" w:lineRule="auto"/>
        <w:ind w:firstLine="482" w:firstLineChars="200"/>
        <w:rPr>
          <w:rFonts w:ascii="宋体" w:cs="宋体"/>
          <w:b/>
          <w:bCs/>
          <w:sz w:val="24"/>
          <w:szCs w:val="24"/>
        </w:rPr>
      </w:pPr>
      <w:r>
        <w:rPr>
          <w:rFonts w:hint="eastAsia" w:ascii="宋体" w:hAnsi="宋体" w:cs="宋体"/>
          <w:b/>
          <w:bCs/>
          <w:sz w:val="24"/>
          <w:szCs w:val="24"/>
        </w:rPr>
        <w:t>电缆质量验收及供应商考核</w:t>
      </w:r>
    </w:p>
    <w:p>
      <w:pPr>
        <w:pStyle w:val="13"/>
        <w:spacing w:line="360" w:lineRule="auto"/>
        <w:ind w:firstLine="480" w:firstLineChars="200"/>
        <w:rPr>
          <w:rFonts w:cs="宋体" w:asciiTheme="minorEastAsia" w:hAnsiTheme="minorEastAsia" w:eastAsiaTheme="minorEastAsia"/>
          <w:color w:val="FF0000"/>
          <w:sz w:val="24"/>
          <w:szCs w:val="24"/>
        </w:rPr>
      </w:pPr>
      <w:r>
        <w:rPr>
          <w:rFonts w:cs="宋体" w:asciiTheme="minorEastAsia" w:hAnsiTheme="minorEastAsia" w:eastAsiaTheme="minorEastAsia"/>
          <w:color w:val="FF0000"/>
          <w:sz w:val="24"/>
          <w:szCs w:val="24"/>
        </w:rPr>
        <w:t>1.</w:t>
      </w:r>
      <w:r>
        <w:rPr>
          <w:rFonts w:hint="eastAsia" w:cs="宋体" w:asciiTheme="minorEastAsia" w:hAnsiTheme="minorEastAsia" w:eastAsiaTheme="minorEastAsia"/>
          <w:color w:val="FF0000"/>
          <w:sz w:val="24"/>
          <w:szCs w:val="24"/>
        </w:rPr>
        <w:t>电缆到达现场后，双方必须共同进行质量验收（可通过微信视频、照片、现场确认等方式），且验收内容至少包括：</w:t>
      </w:r>
    </w:p>
    <w:p>
      <w:pPr>
        <w:pStyle w:val="13"/>
        <w:spacing w:line="360" w:lineRule="auto"/>
        <w:ind w:firstLine="480" w:firstLineChars="200"/>
        <w:rPr>
          <w:rFonts w:cs="宋体" w:asciiTheme="minorEastAsia" w:hAnsiTheme="minorEastAsia" w:eastAsiaTheme="minorEastAsia"/>
          <w:color w:val="FF0000"/>
          <w:sz w:val="24"/>
          <w:szCs w:val="24"/>
        </w:rPr>
      </w:pPr>
      <w:r>
        <w:rPr>
          <w:rFonts w:cs="宋体" w:asciiTheme="minorEastAsia" w:hAnsiTheme="minorEastAsia" w:eastAsiaTheme="minorEastAsia"/>
          <w:color w:val="FF0000"/>
          <w:sz w:val="24"/>
          <w:szCs w:val="24"/>
        </w:rPr>
        <w:t>1.1.</w:t>
      </w:r>
      <w:r>
        <w:rPr>
          <w:rFonts w:hint="eastAsia" w:cs="宋体" w:asciiTheme="minorEastAsia" w:hAnsiTheme="minorEastAsia" w:eastAsiaTheme="minorEastAsia"/>
          <w:color w:val="FF0000"/>
          <w:sz w:val="24"/>
          <w:szCs w:val="24"/>
        </w:rPr>
        <w:t>外观检测：</w:t>
      </w:r>
      <w:r>
        <w:rPr>
          <w:rFonts w:asciiTheme="minorEastAsia" w:hAnsiTheme="minorEastAsia" w:eastAsiaTheme="minorEastAsia"/>
          <w:color w:val="FF0000"/>
          <w:sz w:val="24"/>
          <w:szCs w:val="24"/>
        </w:rPr>
        <w:t>成品电缆的护套表面上应有制造厂名、产品型号、额定电压、每米打字和制造年、月的连续标志，标志应字迹清楚，清晰耐磨。</w:t>
      </w:r>
      <w:r>
        <w:rPr>
          <w:rFonts w:asciiTheme="minorEastAsia" w:hAnsiTheme="minorEastAsia" w:eastAsiaTheme="minorEastAsia"/>
          <w:color w:val="FF0000"/>
          <w:spacing w:val="-2"/>
          <w:sz w:val="24"/>
          <w:szCs w:val="24"/>
        </w:rPr>
        <w:t>除非另有规定，电缆应卷绕在符合JB/T 8137的电缆盘上交货，每个电缆盘上只能卷绕一根电缆。</w:t>
      </w:r>
      <w:r>
        <w:rPr>
          <w:rFonts w:asciiTheme="minorEastAsia" w:hAnsiTheme="minorEastAsia" w:eastAsiaTheme="minorEastAsia"/>
          <w:color w:val="FF0000"/>
          <w:sz w:val="24"/>
          <w:szCs w:val="24"/>
        </w:rPr>
        <w:t>电缆的两端应采用防潮帽密封并牢靠地固定在电缆盘上。在每盘电缆的外侧端应装有经采购方认可的敷设电缆时牵引用的拉眼或牵引螺栓。拉眼或牵引螺栓与电缆导体的连接，应能满足敷设电缆时的牵引方式和牵引该长度的电缆所需的机械强度</w:t>
      </w:r>
      <w:r>
        <w:rPr>
          <w:rFonts w:hint="eastAsia" w:cs="宋体" w:asciiTheme="minorEastAsia" w:hAnsiTheme="minorEastAsia" w:eastAsiaTheme="minorEastAsia"/>
          <w:color w:val="FF0000"/>
          <w:sz w:val="24"/>
          <w:szCs w:val="24"/>
        </w:rPr>
        <w:t>；</w:t>
      </w:r>
      <w:r>
        <w:rPr>
          <w:rFonts w:hint="eastAsia" w:ascii="宋体" w:cs="宋体"/>
          <w:sz w:val="24"/>
          <w:szCs w:val="24"/>
        </w:rPr>
        <w:t>每盘电缆应附有产品质量验收合格证和出厂试验报告。需方对所供产品应进行产品结构尺寸解剖检查验收。各种包装应能确保各零部件在运输过程中不致遭到损坏、丢失、变形、受潮和腐蚀。随产品提供的技术资料应完整无缺。电缆每线芯应有色相标志，成品电缆的护套表面上应有制造厂名、产品型号、额定电压和制造年、月的连续标志，标志应字迹清楚，醒目、耐磨。电缆盘应符合GB4005规定，线盘应有足够的机械强度，盘外径不大于3米。每盘要标有盘号、电缆型号、规格、长度、毛重、厂名、盘转动方向等标志。每盘电缆内、外端头加防水护套。电缆盘不允许平放。</w:t>
      </w:r>
    </w:p>
    <w:p>
      <w:pPr>
        <w:pStyle w:val="13"/>
        <w:spacing w:line="360" w:lineRule="auto"/>
        <w:ind w:firstLine="480" w:firstLineChars="200"/>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rPr>
        <w:t>1.2.</w:t>
      </w:r>
      <w:r>
        <w:rPr>
          <w:rFonts w:hint="eastAsia" w:asciiTheme="minorEastAsia" w:hAnsiTheme="minorEastAsia" w:eastAsiaTheme="minorEastAsia"/>
          <w:color w:val="FF0000"/>
          <w:sz w:val="24"/>
          <w:szCs w:val="24"/>
        </w:rPr>
        <w:t xml:space="preserve"> 安装前的抽检试验</w:t>
      </w:r>
      <w:r>
        <w:rPr>
          <w:rFonts w:hint="eastAsia" w:cs="宋体" w:asciiTheme="minorEastAsia" w:hAnsiTheme="minorEastAsia" w:eastAsiaTheme="minorEastAsia"/>
          <w:color w:val="FF0000"/>
          <w:sz w:val="24"/>
          <w:szCs w:val="24"/>
        </w:rPr>
        <w:t>：</w:t>
      </w:r>
      <w:r>
        <w:rPr>
          <w:rFonts w:hint="eastAsia" w:asciiTheme="minorEastAsia" w:hAnsiTheme="minorEastAsia" w:eastAsiaTheme="minorEastAsia"/>
          <w:bCs/>
          <w:color w:val="FF0000"/>
          <w:sz w:val="24"/>
          <w:szCs w:val="24"/>
        </w:rPr>
        <w:t>每种规格电缆运至现场后进行抽检，抽检方法及要求严格执行规程规范的相关要求。</w:t>
      </w:r>
      <w:r>
        <w:rPr>
          <w:rFonts w:asciiTheme="minorEastAsia" w:hAnsiTheme="minorEastAsia" w:eastAsiaTheme="minorEastAsia"/>
          <w:color w:val="FF0000"/>
          <w:kern w:val="2"/>
          <w:sz w:val="24"/>
          <w:szCs w:val="24"/>
        </w:rPr>
        <w:t>电缆的抽样试验应按GB/T 12706、GB/T 5023、GB/T 9330、GB/T 19666等标准或买方要求进行。</w:t>
      </w:r>
      <w:r>
        <w:rPr>
          <w:rFonts w:hint="eastAsia" w:cs="宋体" w:asciiTheme="minorEastAsia" w:hAnsiTheme="minorEastAsia" w:eastAsiaTheme="minorEastAsia"/>
          <w:color w:val="FF0000"/>
          <w:sz w:val="24"/>
          <w:szCs w:val="24"/>
        </w:rPr>
        <w:t>；</w:t>
      </w:r>
    </w:p>
    <w:p>
      <w:pPr>
        <w:pStyle w:val="13"/>
        <w:spacing w:line="360" w:lineRule="auto"/>
        <w:ind w:firstLine="480" w:firstLineChars="200"/>
        <w:rPr>
          <w:rFonts w:hint="eastAsia" w:ascii="宋体" w:hAnsi="宋体" w:cs="宋体"/>
          <w:color w:val="FF0000"/>
          <w:sz w:val="24"/>
          <w:szCs w:val="24"/>
        </w:rPr>
      </w:pPr>
      <w:r>
        <w:rPr>
          <w:rFonts w:hint="eastAsia" w:ascii="宋体" w:hAnsi="宋体" w:cs="宋体"/>
          <w:color w:val="FF0000"/>
          <w:sz w:val="24"/>
          <w:szCs w:val="24"/>
        </w:rPr>
        <w:t>1.3.厂家到货时必须提供</w:t>
      </w:r>
      <w:r>
        <w:rPr>
          <w:color w:val="FF0000"/>
          <w:kern w:val="2"/>
          <w:sz w:val="24"/>
          <w:szCs w:val="24"/>
        </w:rPr>
        <w:t>每盘电缆及每套电缆附件产品质量验收合格证和出厂试验报告</w:t>
      </w:r>
      <w:r>
        <w:rPr>
          <w:rFonts w:hint="eastAsia"/>
          <w:color w:val="FF0000"/>
          <w:kern w:val="2"/>
          <w:sz w:val="24"/>
          <w:szCs w:val="24"/>
        </w:rPr>
        <w:t>。</w:t>
      </w:r>
      <w:r>
        <w:rPr>
          <w:color w:val="FF0000"/>
          <w:kern w:val="2"/>
          <w:sz w:val="24"/>
          <w:szCs w:val="24"/>
        </w:rPr>
        <w:t>电缆合格证书应标示出生产该电缆的绝缘挤出机的开机顺序号和绝缘挤出顺序号</w:t>
      </w:r>
      <w:r>
        <w:rPr>
          <w:rFonts w:hint="eastAsia" w:ascii="宋体" w:hAnsi="宋体" w:cs="宋体"/>
          <w:color w:val="FF0000"/>
          <w:sz w:val="24"/>
          <w:szCs w:val="24"/>
        </w:rPr>
        <w:t>；</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2.违反如下要求将纳入公司考评并上报华能集团取消资格预审资格：</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2.1.供应商提供的电缆存在严重质量问题的；</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2.2.供应商供货期严重超期影响到现场生产的；</w:t>
      </w:r>
    </w:p>
    <w:p>
      <w:pPr>
        <w:pStyle w:val="13"/>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2.3.供应商提供的电缆是外购第三方厂家贴牌的</w:t>
      </w:r>
    </w:p>
    <w:p>
      <w:pPr>
        <w:pStyle w:val="13"/>
        <w:spacing w:line="360" w:lineRule="auto"/>
        <w:ind w:firstLine="480" w:firstLineChars="200"/>
        <w:rPr>
          <w:rFonts w:ascii="宋体" w:hAnsi="宋体" w:cs="宋体"/>
          <w:color w:val="FF0000"/>
          <w:sz w:val="24"/>
          <w:szCs w:val="24"/>
        </w:rPr>
      </w:pPr>
    </w:p>
    <w:p>
      <w:pPr>
        <w:pStyle w:val="13"/>
        <w:spacing w:line="360" w:lineRule="auto"/>
        <w:ind w:firstLine="480" w:firstLineChars="200"/>
        <w:rPr>
          <w:rFonts w:ascii="宋体" w:hAnsi="宋体" w:cs="宋体"/>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93CD0"/>
    <w:multiLevelType w:val="singleLevel"/>
    <w:tmpl w:val="80B93CD0"/>
    <w:lvl w:ilvl="0" w:tentative="0">
      <w:start w:val="1"/>
      <w:numFmt w:val="decimal"/>
      <w:suff w:val="space"/>
      <w:lvlText w:val="(%1)"/>
      <w:lvlJc w:val="left"/>
    </w:lvl>
  </w:abstractNum>
  <w:abstractNum w:abstractNumId="1">
    <w:nsid w:val="B6F0C0E6"/>
    <w:multiLevelType w:val="singleLevel"/>
    <w:tmpl w:val="B6F0C0E6"/>
    <w:lvl w:ilvl="0" w:tentative="0">
      <w:start w:val="2"/>
      <w:numFmt w:val="chineseCounting"/>
      <w:suff w:val="nothing"/>
      <w:lvlText w:val="%1、"/>
      <w:lvlJc w:val="left"/>
      <w:rPr>
        <w:rFonts w:hint="eastAsia"/>
      </w:rPr>
    </w:lvl>
  </w:abstractNum>
  <w:abstractNum w:abstractNumId="2">
    <w:nsid w:val="442F6655"/>
    <w:multiLevelType w:val="singleLevel"/>
    <w:tmpl w:val="442F6655"/>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00983"/>
    <w:rsid w:val="00003DBB"/>
    <w:rsid w:val="00030B97"/>
    <w:rsid w:val="000328D2"/>
    <w:rsid w:val="00036905"/>
    <w:rsid w:val="00047231"/>
    <w:rsid w:val="00060230"/>
    <w:rsid w:val="00067652"/>
    <w:rsid w:val="00070391"/>
    <w:rsid w:val="00086226"/>
    <w:rsid w:val="00095258"/>
    <w:rsid w:val="0009682E"/>
    <w:rsid w:val="000B1C34"/>
    <w:rsid w:val="000C0AC1"/>
    <w:rsid w:val="000F118D"/>
    <w:rsid w:val="000F2AEB"/>
    <w:rsid w:val="00116FF6"/>
    <w:rsid w:val="00180CB7"/>
    <w:rsid w:val="00182D9B"/>
    <w:rsid w:val="00187B85"/>
    <w:rsid w:val="00192F6B"/>
    <w:rsid w:val="001B2009"/>
    <w:rsid w:val="001B2328"/>
    <w:rsid w:val="001B6414"/>
    <w:rsid w:val="001C234E"/>
    <w:rsid w:val="001E6721"/>
    <w:rsid w:val="001F715E"/>
    <w:rsid w:val="00214EBA"/>
    <w:rsid w:val="00217E78"/>
    <w:rsid w:val="00223749"/>
    <w:rsid w:val="00252B5E"/>
    <w:rsid w:val="00272783"/>
    <w:rsid w:val="00284C59"/>
    <w:rsid w:val="002D1462"/>
    <w:rsid w:val="00314814"/>
    <w:rsid w:val="00336BE6"/>
    <w:rsid w:val="00340FDE"/>
    <w:rsid w:val="00341F30"/>
    <w:rsid w:val="00343F60"/>
    <w:rsid w:val="00344F78"/>
    <w:rsid w:val="003632CB"/>
    <w:rsid w:val="00363DAD"/>
    <w:rsid w:val="003674EE"/>
    <w:rsid w:val="003843A6"/>
    <w:rsid w:val="0038475F"/>
    <w:rsid w:val="003A14CD"/>
    <w:rsid w:val="003A320C"/>
    <w:rsid w:val="003A36BA"/>
    <w:rsid w:val="003B1CEE"/>
    <w:rsid w:val="003C37CB"/>
    <w:rsid w:val="003E7FD8"/>
    <w:rsid w:val="003F128E"/>
    <w:rsid w:val="00421C72"/>
    <w:rsid w:val="00443525"/>
    <w:rsid w:val="0044389F"/>
    <w:rsid w:val="00460892"/>
    <w:rsid w:val="00465279"/>
    <w:rsid w:val="004762AD"/>
    <w:rsid w:val="00494F76"/>
    <w:rsid w:val="004A063C"/>
    <w:rsid w:val="004A1BD2"/>
    <w:rsid w:val="004A30F0"/>
    <w:rsid w:val="004A7E88"/>
    <w:rsid w:val="004B0C2A"/>
    <w:rsid w:val="004D0BCE"/>
    <w:rsid w:val="004D36B3"/>
    <w:rsid w:val="004D5BD6"/>
    <w:rsid w:val="004E3C3F"/>
    <w:rsid w:val="005070A6"/>
    <w:rsid w:val="005123ED"/>
    <w:rsid w:val="005667FB"/>
    <w:rsid w:val="005966D2"/>
    <w:rsid w:val="005A2892"/>
    <w:rsid w:val="005B0E3C"/>
    <w:rsid w:val="005B6375"/>
    <w:rsid w:val="005B6688"/>
    <w:rsid w:val="005C5E99"/>
    <w:rsid w:val="005C6E1A"/>
    <w:rsid w:val="005E5A22"/>
    <w:rsid w:val="005F3DDC"/>
    <w:rsid w:val="005F4327"/>
    <w:rsid w:val="006242DA"/>
    <w:rsid w:val="00624775"/>
    <w:rsid w:val="00646EBD"/>
    <w:rsid w:val="006729B1"/>
    <w:rsid w:val="0067650D"/>
    <w:rsid w:val="00691978"/>
    <w:rsid w:val="006969CB"/>
    <w:rsid w:val="006A286B"/>
    <w:rsid w:val="006B0CBD"/>
    <w:rsid w:val="006B1AEC"/>
    <w:rsid w:val="006B5DD8"/>
    <w:rsid w:val="006B6688"/>
    <w:rsid w:val="006D28B0"/>
    <w:rsid w:val="006E5ADC"/>
    <w:rsid w:val="006F2C1B"/>
    <w:rsid w:val="00733294"/>
    <w:rsid w:val="007612E8"/>
    <w:rsid w:val="00775DC9"/>
    <w:rsid w:val="00783505"/>
    <w:rsid w:val="00786D04"/>
    <w:rsid w:val="0078798E"/>
    <w:rsid w:val="00790253"/>
    <w:rsid w:val="0079271D"/>
    <w:rsid w:val="00794EEA"/>
    <w:rsid w:val="00797F28"/>
    <w:rsid w:val="007B7BF6"/>
    <w:rsid w:val="007E7C3C"/>
    <w:rsid w:val="007F1E0A"/>
    <w:rsid w:val="00801DD6"/>
    <w:rsid w:val="00816C86"/>
    <w:rsid w:val="00822641"/>
    <w:rsid w:val="00845369"/>
    <w:rsid w:val="00874D26"/>
    <w:rsid w:val="008A2F54"/>
    <w:rsid w:val="008A31A4"/>
    <w:rsid w:val="008A3DD4"/>
    <w:rsid w:val="008D54A6"/>
    <w:rsid w:val="008F665F"/>
    <w:rsid w:val="008F7A9F"/>
    <w:rsid w:val="00902E85"/>
    <w:rsid w:val="00907F1C"/>
    <w:rsid w:val="009117E0"/>
    <w:rsid w:val="009148C3"/>
    <w:rsid w:val="00920AF7"/>
    <w:rsid w:val="009268FA"/>
    <w:rsid w:val="00930FC7"/>
    <w:rsid w:val="00937535"/>
    <w:rsid w:val="00942E09"/>
    <w:rsid w:val="00956F76"/>
    <w:rsid w:val="00966A77"/>
    <w:rsid w:val="00976BA8"/>
    <w:rsid w:val="0098371C"/>
    <w:rsid w:val="00987243"/>
    <w:rsid w:val="009B049E"/>
    <w:rsid w:val="009B45FA"/>
    <w:rsid w:val="009C1CD3"/>
    <w:rsid w:val="00A31E36"/>
    <w:rsid w:val="00A31F2F"/>
    <w:rsid w:val="00A36122"/>
    <w:rsid w:val="00A4258D"/>
    <w:rsid w:val="00A5071F"/>
    <w:rsid w:val="00A7585C"/>
    <w:rsid w:val="00A81D25"/>
    <w:rsid w:val="00A82314"/>
    <w:rsid w:val="00A952A3"/>
    <w:rsid w:val="00AB43B3"/>
    <w:rsid w:val="00AB56B9"/>
    <w:rsid w:val="00AE6773"/>
    <w:rsid w:val="00AE6839"/>
    <w:rsid w:val="00B23E15"/>
    <w:rsid w:val="00B34E56"/>
    <w:rsid w:val="00B35073"/>
    <w:rsid w:val="00B40D67"/>
    <w:rsid w:val="00B55C4F"/>
    <w:rsid w:val="00B61EDC"/>
    <w:rsid w:val="00B92B87"/>
    <w:rsid w:val="00BB05EE"/>
    <w:rsid w:val="00BC1280"/>
    <w:rsid w:val="00BD1AE1"/>
    <w:rsid w:val="00BD4E84"/>
    <w:rsid w:val="00BD5AA4"/>
    <w:rsid w:val="00BE6184"/>
    <w:rsid w:val="00C2331F"/>
    <w:rsid w:val="00C50ADD"/>
    <w:rsid w:val="00C65B39"/>
    <w:rsid w:val="00C700BA"/>
    <w:rsid w:val="00C727D6"/>
    <w:rsid w:val="00CA0123"/>
    <w:rsid w:val="00CA046D"/>
    <w:rsid w:val="00CB4F9B"/>
    <w:rsid w:val="00CC2814"/>
    <w:rsid w:val="00CD574F"/>
    <w:rsid w:val="00CF35C7"/>
    <w:rsid w:val="00CF5C80"/>
    <w:rsid w:val="00D0751D"/>
    <w:rsid w:val="00D2046B"/>
    <w:rsid w:val="00D2729A"/>
    <w:rsid w:val="00D32076"/>
    <w:rsid w:val="00D55961"/>
    <w:rsid w:val="00D65BA7"/>
    <w:rsid w:val="00D92415"/>
    <w:rsid w:val="00DB7BB8"/>
    <w:rsid w:val="00DC3A59"/>
    <w:rsid w:val="00DC5238"/>
    <w:rsid w:val="00DD2A45"/>
    <w:rsid w:val="00DD5683"/>
    <w:rsid w:val="00E00E09"/>
    <w:rsid w:val="00E01989"/>
    <w:rsid w:val="00E85510"/>
    <w:rsid w:val="00E95A1D"/>
    <w:rsid w:val="00EB38C1"/>
    <w:rsid w:val="00ED59F2"/>
    <w:rsid w:val="00ED7EEB"/>
    <w:rsid w:val="00EE0015"/>
    <w:rsid w:val="00F02E9B"/>
    <w:rsid w:val="00F053B3"/>
    <w:rsid w:val="00F1492A"/>
    <w:rsid w:val="00F16C9E"/>
    <w:rsid w:val="00F25DE5"/>
    <w:rsid w:val="00F335CD"/>
    <w:rsid w:val="00F5249F"/>
    <w:rsid w:val="00F62D9D"/>
    <w:rsid w:val="00F71389"/>
    <w:rsid w:val="00F95708"/>
    <w:rsid w:val="00FA185D"/>
    <w:rsid w:val="00FA7B36"/>
    <w:rsid w:val="00FB6E5B"/>
    <w:rsid w:val="00FD0A3E"/>
    <w:rsid w:val="00FD3B0B"/>
    <w:rsid w:val="00FD58A6"/>
    <w:rsid w:val="02FC428A"/>
    <w:rsid w:val="03723D07"/>
    <w:rsid w:val="06E97266"/>
    <w:rsid w:val="07955C41"/>
    <w:rsid w:val="088A0F96"/>
    <w:rsid w:val="0A1C45C5"/>
    <w:rsid w:val="0C76128C"/>
    <w:rsid w:val="0C9D4FCD"/>
    <w:rsid w:val="0DF70982"/>
    <w:rsid w:val="0E241E4D"/>
    <w:rsid w:val="0EBD0C7C"/>
    <w:rsid w:val="0FEB441D"/>
    <w:rsid w:val="0FFF66C8"/>
    <w:rsid w:val="10C13FCE"/>
    <w:rsid w:val="11981941"/>
    <w:rsid w:val="11E305CB"/>
    <w:rsid w:val="123B23B7"/>
    <w:rsid w:val="12BE1884"/>
    <w:rsid w:val="1352386A"/>
    <w:rsid w:val="143438F4"/>
    <w:rsid w:val="143C1B9D"/>
    <w:rsid w:val="14E02D20"/>
    <w:rsid w:val="1597747E"/>
    <w:rsid w:val="15B64470"/>
    <w:rsid w:val="16264BEA"/>
    <w:rsid w:val="180A6345"/>
    <w:rsid w:val="18765CC7"/>
    <w:rsid w:val="1BC57680"/>
    <w:rsid w:val="1EE80923"/>
    <w:rsid w:val="1F5C7727"/>
    <w:rsid w:val="1F6043D4"/>
    <w:rsid w:val="20216526"/>
    <w:rsid w:val="23D5686F"/>
    <w:rsid w:val="264636FF"/>
    <w:rsid w:val="267B028F"/>
    <w:rsid w:val="272D18C3"/>
    <w:rsid w:val="27302E65"/>
    <w:rsid w:val="291634BC"/>
    <w:rsid w:val="292C1631"/>
    <w:rsid w:val="29944CA7"/>
    <w:rsid w:val="2B683E76"/>
    <w:rsid w:val="2BDA22C9"/>
    <w:rsid w:val="2C1A0BF6"/>
    <w:rsid w:val="2E733545"/>
    <w:rsid w:val="31586E25"/>
    <w:rsid w:val="315F25E5"/>
    <w:rsid w:val="32055ED0"/>
    <w:rsid w:val="32803253"/>
    <w:rsid w:val="340F5783"/>
    <w:rsid w:val="34150BB6"/>
    <w:rsid w:val="35546972"/>
    <w:rsid w:val="35FB39CD"/>
    <w:rsid w:val="37EC6679"/>
    <w:rsid w:val="380A5759"/>
    <w:rsid w:val="389073E4"/>
    <w:rsid w:val="398D35AC"/>
    <w:rsid w:val="39C53AD8"/>
    <w:rsid w:val="39ED13C3"/>
    <w:rsid w:val="3A020157"/>
    <w:rsid w:val="3B194A5E"/>
    <w:rsid w:val="3B5F321A"/>
    <w:rsid w:val="3E663AA1"/>
    <w:rsid w:val="402A192F"/>
    <w:rsid w:val="40327AD0"/>
    <w:rsid w:val="41876004"/>
    <w:rsid w:val="41D54A96"/>
    <w:rsid w:val="46017B2C"/>
    <w:rsid w:val="465D1A42"/>
    <w:rsid w:val="476D7598"/>
    <w:rsid w:val="47C76BBC"/>
    <w:rsid w:val="481A16B4"/>
    <w:rsid w:val="4C140FF6"/>
    <w:rsid w:val="4CD754E3"/>
    <w:rsid w:val="4D780E9D"/>
    <w:rsid w:val="4D7F6D19"/>
    <w:rsid w:val="4E450FF7"/>
    <w:rsid w:val="512E0EC2"/>
    <w:rsid w:val="525004A4"/>
    <w:rsid w:val="52A43681"/>
    <w:rsid w:val="54864D12"/>
    <w:rsid w:val="577271D8"/>
    <w:rsid w:val="5A1B1F62"/>
    <w:rsid w:val="5AA51A5B"/>
    <w:rsid w:val="5AEA1A8B"/>
    <w:rsid w:val="5B295261"/>
    <w:rsid w:val="5E1E1F3B"/>
    <w:rsid w:val="5E312BD6"/>
    <w:rsid w:val="5E767C42"/>
    <w:rsid w:val="5F175D96"/>
    <w:rsid w:val="5F851DD5"/>
    <w:rsid w:val="60EC2520"/>
    <w:rsid w:val="615D667E"/>
    <w:rsid w:val="626E3E83"/>
    <w:rsid w:val="628D4135"/>
    <w:rsid w:val="62AC6020"/>
    <w:rsid w:val="64B2261E"/>
    <w:rsid w:val="65F178EF"/>
    <w:rsid w:val="666309B7"/>
    <w:rsid w:val="672210A8"/>
    <w:rsid w:val="67EB672B"/>
    <w:rsid w:val="682F0840"/>
    <w:rsid w:val="68562388"/>
    <w:rsid w:val="6960493C"/>
    <w:rsid w:val="6A49413E"/>
    <w:rsid w:val="6B0F5B23"/>
    <w:rsid w:val="6C930BD6"/>
    <w:rsid w:val="6DCA2DF1"/>
    <w:rsid w:val="6DE815DC"/>
    <w:rsid w:val="6E2425C6"/>
    <w:rsid w:val="6EEB3F93"/>
    <w:rsid w:val="6F8876E1"/>
    <w:rsid w:val="708E19E6"/>
    <w:rsid w:val="70F73EBF"/>
    <w:rsid w:val="731379BD"/>
    <w:rsid w:val="73907AC2"/>
    <w:rsid w:val="7491363D"/>
    <w:rsid w:val="75414B79"/>
    <w:rsid w:val="756956EC"/>
    <w:rsid w:val="75F90367"/>
    <w:rsid w:val="771F1036"/>
    <w:rsid w:val="789D71EB"/>
    <w:rsid w:val="7AD07EEB"/>
    <w:rsid w:val="7ADC2210"/>
    <w:rsid w:val="7CB22F05"/>
    <w:rsid w:val="7D6D25A1"/>
    <w:rsid w:val="7DDC2B92"/>
    <w:rsid w:val="7EEA3C4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7"/>
    <w:qFormat/>
    <w:locked/>
    <w:uiPriority w:val="0"/>
    <w:pPr>
      <w:snapToGrid w:val="0"/>
      <w:spacing w:beforeLines="50" w:line="360" w:lineRule="auto"/>
      <w:jc w:val="left"/>
      <w:outlineLvl w:val="2"/>
    </w:pPr>
    <w:rPr>
      <w:rFonts w:ascii="宋体" w:hAnsi="宋体" w:eastAsia="黑体" w:cs="宋体"/>
      <w:kern w:val="0"/>
      <w:sz w:val="24"/>
      <w:szCs w:val="28"/>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link w:val="12"/>
    <w:qFormat/>
    <w:uiPriority w:val="99"/>
    <w:pPr>
      <w:adjustRightInd w:val="0"/>
      <w:spacing w:before="240" w:after="60" w:line="360" w:lineRule="atLeast"/>
      <w:jc w:val="center"/>
      <w:outlineLvl w:val="0"/>
    </w:pPr>
    <w:rPr>
      <w:rFonts w:ascii="Arial" w:hAnsi="Arial" w:cs="Arial"/>
      <w:b/>
      <w:bCs/>
      <w:kern w:val="0"/>
      <w:sz w:val="32"/>
      <w:szCs w:val="32"/>
      <w:lang w:val="zh-CN"/>
    </w:rPr>
  </w:style>
  <w:style w:type="table" w:styleId="9">
    <w:name w:val="Table Grid"/>
    <w:basedOn w:val="8"/>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7"/>
    <w:link w:val="3"/>
    <w:qFormat/>
    <w:locked/>
    <w:uiPriority w:val="99"/>
    <w:rPr>
      <w:rFonts w:ascii="Calibri" w:hAnsi="Calibri" w:eastAsia="宋体" w:cs="Calibri"/>
      <w:sz w:val="18"/>
      <w:szCs w:val="18"/>
    </w:rPr>
  </w:style>
  <w:style w:type="character" w:customStyle="1" w:styleId="11">
    <w:name w:val="页眉 Char"/>
    <w:basedOn w:val="7"/>
    <w:link w:val="4"/>
    <w:qFormat/>
    <w:locked/>
    <w:uiPriority w:val="99"/>
    <w:rPr>
      <w:rFonts w:ascii="Calibri" w:hAnsi="Calibri" w:eastAsia="宋体" w:cs="Calibri"/>
      <w:sz w:val="18"/>
      <w:szCs w:val="18"/>
    </w:rPr>
  </w:style>
  <w:style w:type="character" w:customStyle="1" w:styleId="12">
    <w:name w:val="标题 Char"/>
    <w:basedOn w:val="7"/>
    <w:link w:val="6"/>
    <w:qFormat/>
    <w:locked/>
    <w:uiPriority w:val="99"/>
    <w:rPr>
      <w:rFonts w:ascii="Arial" w:hAnsi="Arial" w:eastAsia="宋体" w:cs="Arial"/>
      <w:b/>
      <w:bCs/>
      <w:kern w:val="0"/>
      <w:sz w:val="20"/>
      <w:szCs w:val="20"/>
      <w:lang w:val="zh-CN" w:eastAsia="zh-CN"/>
    </w:rPr>
  </w:style>
  <w:style w:type="paragraph" w:customStyle="1" w:styleId="13">
    <w:name w:val="无间隔1"/>
    <w:link w:val="14"/>
    <w:qFormat/>
    <w:uiPriority w:val="99"/>
    <w:pPr>
      <w:widowControl w:val="0"/>
      <w:jc w:val="both"/>
    </w:pPr>
    <w:rPr>
      <w:rFonts w:ascii="Times New Roman" w:hAnsi="Times New Roman" w:eastAsia="宋体" w:cs="Times New Roman"/>
      <w:lang w:val="en-US" w:eastAsia="zh-CN" w:bidi="ar-SA"/>
    </w:rPr>
  </w:style>
  <w:style w:type="character" w:customStyle="1" w:styleId="14">
    <w:name w:val="无间隔 Char"/>
    <w:link w:val="13"/>
    <w:qFormat/>
    <w:locked/>
    <w:uiPriority w:val="99"/>
    <w:rPr>
      <w:rFonts w:ascii="Times New Roman" w:hAnsi="Times New Roman" w:eastAsia="宋体" w:cs="Times New Roman"/>
      <w:sz w:val="24"/>
      <w:szCs w:val="24"/>
    </w:rPr>
  </w:style>
  <w:style w:type="character" w:customStyle="1" w:styleId="15">
    <w:name w:val="c-gap-left-small c-gap-right-small"/>
    <w:basedOn w:val="7"/>
    <w:qFormat/>
    <w:uiPriority w:val="99"/>
  </w:style>
  <w:style w:type="character" w:customStyle="1" w:styleId="16">
    <w:name w:val="标题 3 Char"/>
    <w:basedOn w:val="7"/>
    <w:semiHidden/>
    <w:qFormat/>
    <w:uiPriority w:val="0"/>
    <w:rPr>
      <w:rFonts w:cs="Calibri"/>
      <w:b/>
      <w:bCs/>
      <w:kern w:val="2"/>
      <w:sz w:val="32"/>
      <w:szCs w:val="32"/>
    </w:rPr>
  </w:style>
  <w:style w:type="character" w:customStyle="1" w:styleId="17">
    <w:name w:val="标题 3 Char1"/>
    <w:basedOn w:val="7"/>
    <w:link w:val="2"/>
    <w:qFormat/>
    <w:uiPriority w:val="0"/>
    <w:rPr>
      <w:rFonts w:ascii="宋体" w:hAnsi="宋体" w:eastAsia="黑体" w:cs="宋体"/>
      <w:sz w:val="24"/>
      <w:szCs w:val="28"/>
      <w:lang w:eastAsia="en-US"/>
    </w:rPr>
  </w:style>
  <w:style w:type="paragraph" w:customStyle="1" w:styleId="18">
    <w:name w:val="wang正文"/>
    <w:basedOn w:val="1"/>
    <w:link w:val="19"/>
    <w:qFormat/>
    <w:uiPriority w:val="0"/>
    <w:pPr>
      <w:widowControl/>
      <w:tabs>
        <w:tab w:val="left" w:pos="6840"/>
      </w:tabs>
      <w:autoSpaceDE w:val="0"/>
      <w:autoSpaceDN w:val="0"/>
      <w:adjustRightInd w:val="0"/>
      <w:snapToGrid w:val="0"/>
      <w:spacing w:line="440" w:lineRule="exact"/>
      <w:ind w:firstLine="480" w:firstLineChars="200"/>
      <w:jc w:val="left"/>
      <w:textAlignment w:val="baseline"/>
    </w:pPr>
    <w:rPr>
      <w:rFonts w:ascii="宋体" w:cs="Times New Roman"/>
      <w:kern w:val="0"/>
      <w:sz w:val="24"/>
      <w:szCs w:val="22"/>
      <w:lang w:eastAsia="en-US" w:bidi="en-US"/>
    </w:rPr>
  </w:style>
  <w:style w:type="character" w:customStyle="1" w:styleId="19">
    <w:name w:val="wang正文 Char Char"/>
    <w:link w:val="18"/>
    <w:qFormat/>
    <w:uiPriority w:val="0"/>
    <w:rPr>
      <w:rFonts w:ascii="宋体"/>
      <w:sz w:val="24"/>
      <w:szCs w:val="22"/>
      <w:lang w:eastAsia="en-US" w:bidi="en-US"/>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7D486-4CBB-4D31-A084-6B95CF2925FB}">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11</Pages>
  <Words>2793</Words>
  <Characters>537</Characters>
  <Lines>4</Lines>
  <Paragraphs>6</Paragraphs>
  <TotalTime>4</TotalTime>
  <ScaleCrop>false</ScaleCrop>
  <LinksUpToDate>false</LinksUpToDate>
  <CharactersWithSpaces>3324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张承刚/BFGS/CHNG</cp:lastModifiedBy>
  <cp:lastPrinted>2022-10-17T07:26:00Z</cp:lastPrinted>
  <dcterms:modified xsi:type="dcterms:W3CDTF">2022-11-11T02:25:14Z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